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4F85" w14:textId="7C6AB341" w:rsidR="00FE2384" w:rsidRPr="00342363" w:rsidRDefault="00FE2384" w:rsidP="005025E1">
      <w:pPr>
        <w:jc w:val="center"/>
        <w:rPr>
          <w:b/>
        </w:rPr>
      </w:pPr>
      <w:r w:rsidRPr="00342363">
        <w:rPr>
          <w:b/>
        </w:rPr>
        <w:t xml:space="preserve">TSC </w:t>
      </w:r>
      <w:proofErr w:type="spellStart"/>
      <w:r w:rsidR="004C479F">
        <w:rPr>
          <w:b/>
        </w:rPr>
        <w:t>W</w:t>
      </w:r>
      <w:r w:rsidRPr="00342363">
        <w:rPr>
          <w:b/>
        </w:rPr>
        <w:t>Report</w:t>
      </w:r>
      <w:proofErr w:type="spellEnd"/>
      <w:r w:rsidRPr="00342363">
        <w:rPr>
          <w:b/>
        </w:rPr>
        <w:t xml:space="preserve"> </w:t>
      </w:r>
      <w:r w:rsidR="006C5684" w:rsidRPr="00342363">
        <w:rPr>
          <w:b/>
        </w:rPr>
        <w:t>–</w:t>
      </w:r>
      <w:r w:rsidR="004D2F85" w:rsidRPr="00342363">
        <w:rPr>
          <w:b/>
        </w:rPr>
        <w:t xml:space="preserve"> </w:t>
      </w:r>
      <w:r w:rsidR="005025E1" w:rsidRPr="00342363">
        <w:rPr>
          <w:b/>
        </w:rPr>
        <w:t>IPHC</w:t>
      </w:r>
      <w:r w:rsidR="006C5684" w:rsidRPr="00342363">
        <w:rPr>
          <w:b/>
        </w:rPr>
        <w:t xml:space="preserve"> </w:t>
      </w:r>
      <w:r w:rsidR="00ED08A2" w:rsidRPr="00342363">
        <w:rPr>
          <w:b/>
        </w:rPr>
        <w:t>202</w:t>
      </w:r>
      <w:r w:rsidR="001B2A08">
        <w:rPr>
          <w:b/>
        </w:rPr>
        <w:t>3</w:t>
      </w:r>
    </w:p>
    <w:sdt>
      <w:sdtPr>
        <w:rPr>
          <w:rFonts w:ascii="Arial" w:eastAsiaTheme="minorHAnsi" w:hAnsi="Arial" w:cs="Arial"/>
          <w:b w:val="0"/>
          <w:bCs w:val="0"/>
          <w:color w:val="auto"/>
          <w:sz w:val="24"/>
          <w:szCs w:val="24"/>
          <w:lang w:eastAsia="en-US"/>
        </w:rPr>
        <w:id w:val="-495345720"/>
        <w:docPartObj>
          <w:docPartGallery w:val="Table of Contents"/>
          <w:docPartUnique/>
        </w:docPartObj>
      </w:sdtPr>
      <w:sdtEndPr>
        <w:rPr>
          <w:noProof/>
        </w:rPr>
      </w:sdtEndPr>
      <w:sdtContent>
        <w:p w14:paraId="461B7EC0" w14:textId="77777777" w:rsidR="00B516EF" w:rsidRPr="008C6153" w:rsidRDefault="00B516EF" w:rsidP="005025E1">
          <w:pPr>
            <w:pStyle w:val="TOCHeading"/>
            <w:rPr>
              <w:rFonts w:ascii="Arial" w:hAnsi="Arial" w:cs="Arial"/>
              <w:b w:val="0"/>
              <w:color w:val="auto"/>
              <w:sz w:val="24"/>
              <w:szCs w:val="24"/>
            </w:rPr>
          </w:pPr>
          <w:r w:rsidRPr="008C6153">
            <w:rPr>
              <w:rFonts w:ascii="Arial" w:hAnsi="Arial" w:cs="Arial"/>
              <w:b w:val="0"/>
              <w:color w:val="auto"/>
              <w:sz w:val="24"/>
              <w:szCs w:val="24"/>
            </w:rPr>
            <w:t>Contents</w:t>
          </w:r>
        </w:p>
        <w:p w14:paraId="5CD7B658" w14:textId="559516EE" w:rsidR="00597847" w:rsidRDefault="00B516EF">
          <w:pPr>
            <w:pStyle w:val="TOC1"/>
            <w:rPr>
              <w:rFonts w:asciiTheme="minorHAnsi" w:eastAsiaTheme="minorEastAsia" w:hAnsiTheme="minorHAnsi" w:cstheme="minorBidi"/>
              <w:noProof/>
              <w:sz w:val="22"/>
              <w:szCs w:val="22"/>
            </w:rPr>
          </w:pPr>
          <w:r w:rsidRPr="008C6153">
            <w:fldChar w:fldCharType="begin"/>
          </w:r>
          <w:r w:rsidRPr="008C6153">
            <w:instrText xml:space="preserve"> TOC \o "1-3" \h \z \u </w:instrText>
          </w:r>
          <w:r w:rsidRPr="008C6153">
            <w:fldChar w:fldCharType="separate"/>
          </w:r>
          <w:hyperlink w:anchor="_Toc130470096" w:history="1">
            <w:r w:rsidR="00597847" w:rsidRPr="0022782C">
              <w:rPr>
                <w:rStyle w:val="Hyperlink"/>
                <w:b/>
                <w:noProof/>
                <w:highlight w:val="lightGray"/>
              </w:rPr>
              <w:t>I.</w:t>
            </w:r>
            <w:r w:rsidR="00597847">
              <w:rPr>
                <w:rFonts w:asciiTheme="minorHAnsi" w:eastAsiaTheme="minorEastAsia" w:hAnsiTheme="minorHAnsi" w:cstheme="minorBidi"/>
                <w:noProof/>
                <w:sz w:val="22"/>
                <w:szCs w:val="22"/>
              </w:rPr>
              <w:tab/>
            </w:r>
            <w:r w:rsidR="00597847" w:rsidRPr="0022782C">
              <w:rPr>
                <w:rStyle w:val="Hyperlink"/>
                <w:b/>
                <w:noProof/>
                <w:highlight w:val="lightGray"/>
                <w:shd w:val="clear" w:color="auto" w:fill="D9D9D9" w:themeFill="background1" w:themeFillShade="D9"/>
              </w:rPr>
              <w:t>Overview</w:t>
            </w:r>
            <w:r w:rsidR="00597847">
              <w:rPr>
                <w:noProof/>
                <w:webHidden/>
              </w:rPr>
              <w:tab/>
            </w:r>
            <w:r w:rsidR="00597847">
              <w:rPr>
                <w:noProof/>
                <w:webHidden/>
              </w:rPr>
              <w:fldChar w:fldCharType="begin"/>
            </w:r>
            <w:r w:rsidR="00597847">
              <w:rPr>
                <w:noProof/>
                <w:webHidden/>
              </w:rPr>
              <w:instrText xml:space="preserve"> PAGEREF _Toc130470096 \h </w:instrText>
            </w:r>
            <w:r w:rsidR="00597847">
              <w:rPr>
                <w:noProof/>
                <w:webHidden/>
              </w:rPr>
            </w:r>
            <w:r w:rsidR="00597847">
              <w:rPr>
                <w:noProof/>
                <w:webHidden/>
              </w:rPr>
              <w:fldChar w:fldCharType="separate"/>
            </w:r>
            <w:r w:rsidR="00873477">
              <w:rPr>
                <w:noProof/>
                <w:webHidden/>
              </w:rPr>
              <w:t>1</w:t>
            </w:r>
            <w:r w:rsidR="00597847">
              <w:rPr>
                <w:noProof/>
                <w:webHidden/>
              </w:rPr>
              <w:fldChar w:fldCharType="end"/>
            </w:r>
          </w:hyperlink>
        </w:p>
        <w:p w14:paraId="5A7B3538" w14:textId="60C425CB" w:rsidR="00597847" w:rsidRDefault="00597847">
          <w:pPr>
            <w:pStyle w:val="TOC1"/>
            <w:rPr>
              <w:rFonts w:asciiTheme="minorHAnsi" w:eastAsiaTheme="minorEastAsia" w:hAnsiTheme="minorHAnsi" w:cstheme="minorBidi"/>
              <w:noProof/>
              <w:sz w:val="22"/>
              <w:szCs w:val="22"/>
            </w:rPr>
          </w:pPr>
          <w:hyperlink w:anchor="_Toc130470097" w:history="1">
            <w:r w:rsidRPr="0022782C">
              <w:rPr>
                <w:rStyle w:val="Hyperlink"/>
                <w:b/>
                <w:noProof/>
                <w:highlight w:val="lightGray"/>
              </w:rPr>
              <w:t>II.</w:t>
            </w:r>
            <w:r>
              <w:rPr>
                <w:rFonts w:asciiTheme="minorHAnsi" w:eastAsiaTheme="minorEastAsia" w:hAnsiTheme="minorHAnsi" w:cstheme="minorBidi"/>
                <w:noProof/>
                <w:sz w:val="22"/>
                <w:szCs w:val="22"/>
              </w:rPr>
              <w:tab/>
            </w:r>
            <w:r w:rsidRPr="0022782C">
              <w:rPr>
                <w:rStyle w:val="Hyperlink"/>
                <w:b/>
                <w:noProof/>
                <w:highlight w:val="lightGray"/>
              </w:rPr>
              <w:t>Fishery-Independent Setline Survey (FISS)</w:t>
            </w:r>
            <w:r>
              <w:rPr>
                <w:noProof/>
                <w:webHidden/>
              </w:rPr>
              <w:tab/>
            </w:r>
            <w:r>
              <w:rPr>
                <w:noProof/>
                <w:webHidden/>
              </w:rPr>
              <w:fldChar w:fldCharType="begin"/>
            </w:r>
            <w:r>
              <w:rPr>
                <w:noProof/>
                <w:webHidden/>
              </w:rPr>
              <w:instrText xml:space="preserve"> PAGEREF _Toc130470097 \h </w:instrText>
            </w:r>
            <w:r>
              <w:rPr>
                <w:noProof/>
                <w:webHidden/>
              </w:rPr>
            </w:r>
            <w:r>
              <w:rPr>
                <w:noProof/>
                <w:webHidden/>
              </w:rPr>
              <w:fldChar w:fldCharType="separate"/>
            </w:r>
            <w:r w:rsidR="00873477">
              <w:rPr>
                <w:noProof/>
                <w:webHidden/>
              </w:rPr>
              <w:t>2</w:t>
            </w:r>
            <w:r>
              <w:rPr>
                <w:noProof/>
                <w:webHidden/>
              </w:rPr>
              <w:fldChar w:fldCharType="end"/>
            </w:r>
          </w:hyperlink>
        </w:p>
        <w:p w14:paraId="43B58AB9" w14:textId="4BCFDA21" w:rsidR="00597847" w:rsidRDefault="00597847">
          <w:pPr>
            <w:pStyle w:val="TOC1"/>
            <w:rPr>
              <w:rFonts w:asciiTheme="minorHAnsi" w:eastAsiaTheme="minorEastAsia" w:hAnsiTheme="minorHAnsi" w:cstheme="minorBidi"/>
              <w:noProof/>
              <w:sz w:val="22"/>
              <w:szCs w:val="22"/>
            </w:rPr>
          </w:pPr>
          <w:hyperlink w:anchor="_Toc130470098" w:history="1">
            <w:r w:rsidRPr="0022782C">
              <w:rPr>
                <w:rStyle w:val="Hyperlink"/>
                <w:b/>
                <w:noProof/>
                <w:highlight w:val="lightGray"/>
              </w:rPr>
              <w:t>III.</w:t>
            </w:r>
            <w:r>
              <w:rPr>
                <w:rFonts w:asciiTheme="minorHAnsi" w:eastAsiaTheme="minorEastAsia" w:hAnsiTheme="minorHAnsi" w:cstheme="minorBidi"/>
                <w:noProof/>
                <w:sz w:val="22"/>
                <w:szCs w:val="22"/>
              </w:rPr>
              <w:tab/>
            </w:r>
            <w:r w:rsidRPr="0022782C">
              <w:rPr>
                <w:rStyle w:val="Hyperlink"/>
                <w:b/>
                <w:noProof/>
                <w:highlight w:val="lightGray"/>
              </w:rPr>
              <w:t>Reserves</w:t>
            </w:r>
            <w:r w:rsidRPr="0022782C">
              <w:rPr>
                <w:rStyle w:val="Hyperlink"/>
                <w:noProof/>
                <w:highlight w:val="lightGray"/>
              </w:rPr>
              <w:t xml:space="preserve"> – N/A</w:t>
            </w:r>
            <w:r>
              <w:rPr>
                <w:noProof/>
                <w:webHidden/>
              </w:rPr>
              <w:tab/>
            </w:r>
            <w:r>
              <w:rPr>
                <w:noProof/>
                <w:webHidden/>
              </w:rPr>
              <w:fldChar w:fldCharType="begin"/>
            </w:r>
            <w:r>
              <w:rPr>
                <w:noProof/>
                <w:webHidden/>
              </w:rPr>
              <w:instrText xml:space="preserve"> PAGEREF _Toc130470098 \h </w:instrText>
            </w:r>
            <w:r>
              <w:rPr>
                <w:noProof/>
                <w:webHidden/>
              </w:rPr>
            </w:r>
            <w:r>
              <w:rPr>
                <w:noProof/>
                <w:webHidden/>
              </w:rPr>
              <w:fldChar w:fldCharType="separate"/>
            </w:r>
            <w:r w:rsidR="00873477">
              <w:rPr>
                <w:noProof/>
                <w:webHidden/>
              </w:rPr>
              <w:t>3</w:t>
            </w:r>
            <w:r>
              <w:rPr>
                <w:noProof/>
                <w:webHidden/>
              </w:rPr>
              <w:fldChar w:fldCharType="end"/>
            </w:r>
          </w:hyperlink>
        </w:p>
        <w:p w14:paraId="2697ABD5" w14:textId="3300D5AD" w:rsidR="00597847" w:rsidRDefault="00597847">
          <w:pPr>
            <w:pStyle w:val="TOC1"/>
            <w:rPr>
              <w:rFonts w:asciiTheme="minorHAnsi" w:eastAsiaTheme="minorEastAsia" w:hAnsiTheme="minorHAnsi" w:cstheme="minorBidi"/>
              <w:noProof/>
              <w:sz w:val="22"/>
              <w:szCs w:val="22"/>
            </w:rPr>
          </w:pPr>
          <w:hyperlink w:anchor="_Toc130470099" w:history="1">
            <w:r w:rsidRPr="0022782C">
              <w:rPr>
                <w:rStyle w:val="Hyperlink"/>
                <w:b/>
                <w:noProof/>
                <w:highlight w:val="lightGray"/>
              </w:rPr>
              <w:t>IV.</w:t>
            </w:r>
            <w:r>
              <w:rPr>
                <w:rFonts w:asciiTheme="minorHAnsi" w:eastAsiaTheme="minorEastAsia" w:hAnsiTheme="minorHAnsi" w:cstheme="minorBidi"/>
                <w:noProof/>
                <w:sz w:val="22"/>
                <w:szCs w:val="22"/>
              </w:rPr>
              <w:tab/>
            </w:r>
            <w:r w:rsidRPr="0022782C">
              <w:rPr>
                <w:rStyle w:val="Hyperlink"/>
                <w:b/>
                <w:noProof/>
                <w:highlight w:val="lightGray"/>
              </w:rPr>
              <w:t>Review of Groundfish Research, Assessment, and Management</w:t>
            </w:r>
            <w:r>
              <w:rPr>
                <w:noProof/>
                <w:webHidden/>
              </w:rPr>
              <w:tab/>
            </w:r>
            <w:r>
              <w:rPr>
                <w:noProof/>
                <w:webHidden/>
              </w:rPr>
              <w:fldChar w:fldCharType="begin"/>
            </w:r>
            <w:r>
              <w:rPr>
                <w:noProof/>
                <w:webHidden/>
              </w:rPr>
              <w:instrText xml:space="preserve"> PAGEREF _Toc130470099 \h </w:instrText>
            </w:r>
            <w:r>
              <w:rPr>
                <w:noProof/>
                <w:webHidden/>
              </w:rPr>
            </w:r>
            <w:r>
              <w:rPr>
                <w:noProof/>
                <w:webHidden/>
              </w:rPr>
              <w:fldChar w:fldCharType="separate"/>
            </w:r>
            <w:r w:rsidR="00873477">
              <w:rPr>
                <w:noProof/>
                <w:webHidden/>
              </w:rPr>
              <w:t>3</w:t>
            </w:r>
            <w:r>
              <w:rPr>
                <w:noProof/>
                <w:webHidden/>
              </w:rPr>
              <w:fldChar w:fldCharType="end"/>
            </w:r>
          </w:hyperlink>
        </w:p>
        <w:p w14:paraId="23A7CEF1" w14:textId="49398E45" w:rsidR="00597847" w:rsidRDefault="00597847">
          <w:pPr>
            <w:pStyle w:val="TOC2"/>
            <w:tabs>
              <w:tab w:val="left" w:pos="880"/>
              <w:tab w:val="right" w:leader="dot" w:pos="9350"/>
            </w:tabs>
            <w:rPr>
              <w:rFonts w:asciiTheme="minorHAnsi" w:eastAsiaTheme="minorEastAsia" w:hAnsiTheme="minorHAnsi" w:cstheme="minorBidi"/>
              <w:noProof/>
              <w:sz w:val="22"/>
              <w:szCs w:val="22"/>
            </w:rPr>
          </w:pPr>
          <w:hyperlink w:anchor="_Toc130470100" w:history="1">
            <w:r w:rsidRPr="0022782C">
              <w:rPr>
                <w:rStyle w:val="Hyperlink"/>
                <w:b/>
                <w:noProof/>
                <w:highlight w:val="lightGray"/>
              </w:rPr>
              <w:t>A.</w:t>
            </w:r>
            <w:r>
              <w:rPr>
                <w:rFonts w:asciiTheme="minorHAnsi" w:eastAsiaTheme="minorEastAsia" w:hAnsiTheme="minorHAnsi" w:cstheme="minorBidi"/>
                <w:noProof/>
                <w:sz w:val="22"/>
                <w:szCs w:val="22"/>
              </w:rPr>
              <w:tab/>
            </w:r>
            <w:r w:rsidRPr="0022782C">
              <w:rPr>
                <w:rStyle w:val="Hyperlink"/>
                <w:b/>
                <w:noProof/>
                <w:highlight w:val="lightGray"/>
              </w:rPr>
              <w:t>Pacific halibut and IPHC activities</w:t>
            </w:r>
            <w:r>
              <w:rPr>
                <w:noProof/>
                <w:webHidden/>
              </w:rPr>
              <w:tab/>
            </w:r>
            <w:r>
              <w:rPr>
                <w:noProof/>
                <w:webHidden/>
              </w:rPr>
              <w:fldChar w:fldCharType="begin"/>
            </w:r>
            <w:r>
              <w:rPr>
                <w:noProof/>
                <w:webHidden/>
              </w:rPr>
              <w:instrText xml:space="preserve"> PAGEREF _Toc130470100 \h </w:instrText>
            </w:r>
            <w:r>
              <w:rPr>
                <w:noProof/>
                <w:webHidden/>
              </w:rPr>
            </w:r>
            <w:r>
              <w:rPr>
                <w:noProof/>
                <w:webHidden/>
              </w:rPr>
              <w:fldChar w:fldCharType="separate"/>
            </w:r>
            <w:r w:rsidR="00873477">
              <w:rPr>
                <w:noProof/>
                <w:webHidden/>
              </w:rPr>
              <w:t>3</w:t>
            </w:r>
            <w:r>
              <w:rPr>
                <w:noProof/>
                <w:webHidden/>
              </w:rPr>
              <w:fldChar w:fldCharType="end"/>
            </w:r>
          </w:hyperlink>
        </w:p>
        <w:p w14:paraId="77BAAEBE" w14:textId="5321342D" w:rsidR="00597847" w:rsidRDefault="00597847">
          <w:pPr>
            <w:pStyle w:val="TOC3"/>
            <w:tabs>
              <w:tab w:val="left" w:pos="1100"/>
              <w:tab w:val="right" w:leader="dot" w:pos="9350"/>
            </w:tabs>
            <w:rPr>
              <w:rFonts w:asciiTheme="minorHAnsi" w:eastAsiaTheme="minorEastAsia" w:hAnsiTheme="minorHAnsi" w:cstheme="minorBidi"/>
              <w:noProof/>
              <w:sz w:val="22"/>
              <w:szCs w:val="22"/>
            </w:rPr>
          </w:pPr>
          <w:hyperlink w:anchor="_Toc130470101" w:history="1">
            <w:r w:rsidRPr="0022782C">
              <w:rPr>
                <w:rStyle w:val="Hyperlink"/>
                <w:b/>
                <w:noProof/>
                <w:highlight w:val="lightGray"/>
              </w:rPr>
              <w:t>1.</w:t>
            </w:r>
            <w:r>
              <w:rPr>
                <w:rFonts w:asciiTheme="minorHAnsi" w:eastAsiaTheme="minorEastAsia" w:hAnsiTheme="minorHAnsi" w:cstheme="minorBidi"/>
                <w:noProof/>
                <w:sz w:val="22"/>
                <w:szCs w:val="22"/>
              </w:rPr>
              <w:tab/>
            </w:r>
            <w:r w:rsidRPr="0022782C">
              <w:rPr>
                <w:rStyle w:val="Hyperlink"/>
                <w:b/>
                <w:noProof/>
                <w:highlight w:val="lightGray"/>
              </w:rPr>
              <w:t>Research</w:t>
            </w:r>
            <w:r>
              <w:rPr>
                <w:noProof/>
                <w:webHidden/>
              </w:rPr>
              <w:tab/>
            </w:r>
            <w:r>
              <w:rPr>
                <w:noProof/>
                <w:webHidden/>
              </w:rPr>
              <w:fldChar w:fldCharType="begin"/>
            </w:r>
            <w:r>
              <w:rPr>
                <w:noProof/>
                <w:webHidden/>
              </w:rPr>
              <w:instrText xml:space="preserve"> PAGEREF _Toc130470101 \h </w:instrText>
            </w:r>
            <w:r>
              <w:rPr>
                <w:noProof/>
                <w:webHidden/>
              </w:rPr>
            </w:r>
            <w:r>
              <w:rPr>
                <w:noProof/>
                <w:webHidden/>
              </w:rPr>
              <w:fldChar w:fldCharType="separate"/>
            </w:r>
            <w:r w:rsidR="00873477">
              <w:rPr>
                <w:noProof/>
                <w:webHidden/>
              </w:rPr>
              <w:t>3</w:t>
            </w:r>
            <w:r>
              <w:rPr>
                <w:noProof/>
                <w:webHidden/>
              </w:rPr>
              <w:fldChar w:fldCharType="end"/>
            </w:r>
          </w:hyperlink>
        </w:p>
        <w:p w14:paraId="4FCE9BE5" w14:textId="6D8B96DE" w:rsidR="00597847" w:rsidRDefault="00597847">
          <w:pPr>
            <w:pStyle w:val="TOC3"/>
            <w:tabs>
              <w:tab w:val="left" w:pos="1100"/>
              <w:tab w:val="right" w:leader="dot" w:pos="9350"/>
            </w:tabs>
            <w:rPr>
              <w:rFonts w:asciiTheme="minorHAnsi" w:eastAsiaTheme="minorEastAsia" w:hAnsiTheme="minorHAnsi" w:cstheme="minorBidi"/>
              <w:noProof/>
              <w:sz w:val="22"/>
              <w:szCs w:val="22"/>
            </w:rPr>
          </w:pPr>
          <w:hyperlink w:anchor="_Toc130470102" w:history="1">
            <w:r w:rsidRPr="0022782C">
              <w:rPr>
                <w:rStyle w:val="Hyperlink"/>
                <w:b/>
                <w:noProof/>
                <w:highlight w:val="lightGray"/>
              </w:rPr>
              <w:t>2.</w:t>
            </w:r>
            <w:r>
              <w:rPr>
                <w:rFonts w:asciiTheme="minorHAnsi" w:eastAsiaTheme="minorEastAsia" w:hAnsiTheme="minorHAnsi" w:cstheme="minorBidi"/>
                <w:noProof/>
                <w:sz w:val="22"/>
                <w:szCs w:val="22"/>
              </w:rPr>
              <w:tab/>
            </w:r>
            <w:r w:rsidRPr="0022782C">
              <w:rPr>
                <w:rStyle w:val="Hyperlink"/>
                <w:b/>
                <w:noProof/>
                <w:highlight w:val="lightGray"/>
              </w:rPr>
              <w:t>Assessment</w:t>
            </w:r>
            <w:r>
              <w:rPr>
                <w:noProof/>
                <w:webHidden/>
              </w:rPr>
              <w:tab/>
            </w:r>
            <w:r>
              <w:rPr>
                <w:noProof/>
                <w:webHidden/>
              </w:rPr>
              <w:fldChar w:fldCharType="begin"/>
            </w:r>
            <w:r>
              <w:rPr>
                <w:noProof/>
                <w:webHidden/>
              </w:rPr>
              <w:instrText xml:space="preserve"> PAGEREF _Toc130470102 \h </w:instrText>
            </w:r>
            <w:r>
              <w:rPr>
                <w:noProof/>
                <w:webHidden/>
              </w:rPr>
            </w:r>
            <w:r>
              <w:rPr>
                <w:noProof/>
                <w:webHidden/>
              </w:rPr>
              <w:fldChar w:fldCharType="separate"/>
            </w:r>
            <w:r w:rsidR="00873477">
              <w:rPr>
                <w:noProof/>
                <w:webHidden/>
              </w:rPr>
              <w:t>9</w:t>
            </w:r>
            <w:r>
              <w:rPr>
                <w:noProof/>
                <w:webHidden/>
              </w:rPr>
              <w:fldChar w:fldCharType="end"/>
            </w:r>
          </w:hyperlink>
        </w:p>
        <w:p w14:paraId="443F772F" w14:textId="50295C72" w:rsidR="00597847" w:rsidRDefault="00597847">
          <w:pPr>
            <w:pStyle w:val="TOC3"/>
            <w:tabs>
              <w:tab w:val="left" w:pos="1100"/>
              <w:tab w:val="right" w:leader="dot" w:pos="9350"/>
            </w:tabs>
            <w:rPr>
              <w:rFonts w:asciiTheme="minorHAnsi" w:eastAsiaTheme="minorEastAsia" w:hAnsiTheme="minorHAnsi" w:cstheme="minorBidi"/>
              <w:noProof/>
              <w:sz w:val="22"/>
              <w:szCs w:val="22"/>
            </w:rPr>
          </w:pPr>
          <w:hyperlink w:anchor="_Toc130470103" w:history="1">
            <w:r w:rsidRPr="0022782C">
              <w:rPr>
                <w:rStyle w:val="Hyperlink"/>
                <w:b/>
                <w:noProof/>
                <w:highlight w:val="lightGray"/>
              </w:rPr>
              <w:t>3.</w:t>
            </w:r>
            <w:r>
              <w:rPr>
                <w:rFonts w:asciiTheme="minorHAnsi" w:eastAsiaTheme="minorEastAsia" w:hAnsiTheme="minorHAnsi" w:cstheme="minorBidi"/>
                <w:noProof/>
                <w:sz w:val="22"/>
                <w:szCs w:val="22"/>
              </w:rPr>
              <w:tab/>
            </w:r>
            <w:r w:rsidRPr="0022782C">
              <w:rPr>
                <w:rStyle w:val="Hyperlink"/>
                <w:b/>
                <w:noProof/>
                <w:highlight w:val="lightGray"/>
              </w:rPr>
              <w:t>Management</w:t>
            </w:r>
            <w:r>
              <w:rPr>
                <w:noProof/>
                <w:webHidden/>
              </w:rPr>
              <w:tab/>
            </w:r>
            <w:r>
              <w:rPr>
                <w:noProof/>
                <w:webHidden/>
              </w:rPr>
              <w:fldChar w:fldCharType="begin"/>
            </w:r>
            <w:r>
              <w:rPr>
                <w:noProof/>
                <w:webHidden/>
              </w:rPr>
              <w:instrText xml:space="preserve"> PAGEREF _Toc130470103 \h </w:instrText>
            </w:r>
            <w:r>
              <w:rPr>
                <w:noProof/>
                <w:webHidden/>
              </w:rPr>
            </w:r>
            <w:r>
              <w:rPr>
                <w:noProof/>
                <w:webHidden/>
              </w:rPr>
              <w:fldChar w:fldCharType="separate"/>
            </w:r>
            <w:r w:rsidR="00873477">
              <w:rPr>
                <w:noProof/>
                <w:webHidden/>
              </w:rPr>
              <w:t>10</w:t>
            </w:r>
            <w:r>
              <w:rPr>
                <w:noProof/>
                <w:webHidden/>
              </w:rPr>
              <w:fldChar w:fldCharType="end"/>
            </w:r>
          </w:hyperlink>
        </w:p>
        <w:p w14:paraId="51CC1B7E" w14:textId="05AFE8F3" w:rsidR="00597847" w:rsidRDefault="00597847">
          <w:pPr>
            <w:pStyle w:val="TOC1"/>
            <w:rPr>
              <w:rFonts w:asciiTheme="minorHAnsi" w:eastAsiaTheme="minorEastAsia" w:hAnsiTheme="minorHAnsi" w:cstheme="minorBidi"/>
              <w:noProof/>
              <w:sz w:val="22"/>
              <w:szCs w:val="22"/>
            </w:rPr>
          </w:pPr>
          <w:hyperlink w:anchor="_Toc130470104" w:history="1">
            <w:r w:rsidRPr="0022782C">
              <w:rPr>
                <w:rStyle w:val="Hyperlink"/>
                <w:b/>
                <w:noProof/>
                <w:highlight w:val="lightGray"/>
              </w:rPr>
              <w:t>V.</w:t>
            </w:r>
            <w:r>
              <w:rPr>
                <w:rFonts w:asciiTheme="minorHAnsi" w:eastAsiaTheme="minorEastAsia" w:hAnsiTheme="minorHAnsi" w:cstheme="minorBidi"/>
                <w:noProof/>
                <w:sz w:val="22"/>
                <w:szCs w:val="22"/>
              </w:rPr>
              <w:tab/>
            </w:r>
            <w:r w:rsidRPr="0022782C">
              <w:rPr>
                <w:rStyle w:val="Hyperlink"/>
                <w:b/>
                <w:noProof/>
                <w:highlight w:val="lightGray"/>
              </w:rPr>
              <w:t>Ecosystem Studies</w:t>
            </w:r>
            <w:r>
              <w:rPr>
                <w:noProof/>
                <w:webHidden/>
              </w:rPr>
              <w:tab/>
            </w:r>
            <w:r>
              <w:rPr>
                <w:noProof/>
                <w:webHidden/>
              </w:rPr>
              <w:fldChar w:fldCharType="begin"/>
            </w:r>
            <w:r>
              <w:rPr>
                <w:noProof/>
                <w:webHidden/>
              </w:rPr>
              <w:instrText xml:space="preserve"> PAGEREF _Toc130470104 \h </w:instrText>
            </w:r>
            <w:r>
              <w:rPr>
                <w:noProof/>
                <w:webHidden/>
              </w:rPr>
            </w:r>
            <w:r>
              <w:rPr>
                <w:noProof/>
                <w:webHidden/>
              </w:rPr>
              <w:fldChar w:fldCharType="separate"/>
            </w:r>
            <w:r w:rsidR="00873477">
              <w:rPr>
                <w:noProof/>
                <w:webHidden/>
              </w:rPr>
              <w:t>12</w:t>
            </w:r>
            <w:r>
              <w:rPr>
                <w:noProof/>
                <w:webHidden/>
              </w:rPr>
              <w:fldChar w:fldCharType="end"/>
            </w:r>
          </w:hyperlink>
        </w:p>
        <w:p w14:paraId="1E478D50" w14:textId="35387D54" w:rsidR="00597847" w:rsidRDefault="00597847">
          <w:pPr>
            <w:pStyle w:val="TOC1"/>
            <w:rPr>
              <w:rFonts w:asciiTheme="minorHAnsi" w:eastAsiaTheme="minorEastAsia" w:hAnsiTheme="minorHAnsi" w:cstheme="minorBidi"/>
              <w:noProof/>
              <w:sz w:val="22"/>
              <w:szCs w:val="22"/>
            </w:rPr>
          </w:pPr>
          <w:hyperlink w:anchor="_Toc130470105" w:history="1">
            <w:r w:rsidRPr="0022782C">
              <w:rPr>
                <w:rStyle w:val="Hyperlink"/>
                <w:b/>
                <w:noProof/>
                <w:highlight w:val="lightGray"/>
              </w:rPr>
              <w:t>VI.</w:t>
            </w:r>
            <w:r>
              <w:rPr>
                <w:rFonts w:asciiTheme="minorHAnsi" w:eastAsiaTheme="minorEastAsia" w:hAnsiTheme="minorHAnsi" w:cstheme="minorBidi"/>
                <w:noProof/>
                <w:sz w:val="22"/>
                <w:szCs w:val="22"/>
              </w:rPr>
              <w:tab/>
            </w:r>
            <w:r w:rsidRPr="0022782C">
              <w:rPr>
                <w:rStyle w:val="Hyperlink"/>
                <w:b/>
                <w:noProof/>
                <w:highlight w:val="lightGray"/>
              </w:rPr>
              <w:t>Publications in 2022</w:t>
            </w:r>
            <w:r>
              <w:rPr>
                <w:noProof/>
                <w:webHidden/>
              </w:rPr>
              <w:tab/>
            </w:r>
            <w:r>
              <w:rPr>
                <w:noProof/>
                <w:webHidden/>
              </w:rPr>
              <w:fldChar w:fldCharType="begin"/>
            </w:r>
            <w:r>
              <w:rPr>
                <w:noProof/>
                <w:webHidden/>
              </w:rPr>
              <w:instrText xml:space="preserve"> PAGEREF _Toc130470105 \h </w:instrText>
            </w:r>
            <w:r>
              <w:rPr>
                <w:noProof/>
                <w:webHidden/>
              </w:rPr>
            </w:r>
            <w:r>
              <w:rPr>
                <w:noProof/>
                <w:webHidden/>
              </w:rPr>
              <w:fldChar w:fldCharType="separate"/>
            </w:r>
            <w:r w:rsidR="00873477">
              <w:rPr>
                <w:noProof/>
                <w:webHidden/>
              </w:rPr>
              <w:t>12</w:t>
            </w:r>
            <w:r>
              <w:rPr>
                <w:noProof/>
                <w:webHidden/>
              </w:rPr>
              <w:fldChar w:fldCharType="end"/>
            </w:r>
          </w:hyperlink>
        </w:p>
        <w:p w14:paraId="6F461719" w14:textId="3A04F60D" w:rsidR="00B516EF" w:rsidRPr="008C6153" w:rsidRDefault="00B516EF" w:rsidP="005025E1">
          <w:r w:rsidRPr="008C6153">
            <w:rPr>
              <w:b/>
              <w:bCs/>
              <w:noProof/>
            </w:rPr>
            <w:fldChar w:fldCharType="end"/>
          </w:r>
        </w:p>
      </w:sdtContent>
    </w:sdt>
    <w:p w14:paraId="6EF12020" w14:textId="43FF14A7" w:rsidR="00B72708" w:rsidRPr="008C6153" w:rsidRDefault="00B72708" w:rsidP="005025E1">
      <w:pPr>
        <w:pStyle w:val="Heading1"/>
        <w:rPr>
          <w:rFonts w:ascii="Arial" w:hAnsi="Arial" w:cs="Arial"/>
          <w:b/>
          <w:highlight w:val="lightGray"/>
        </w:rPr>
      </w:pPr>
      <w:bookmarkStart w:id="0" w:name="_Toc130470096"/>
      <w:r w:rsidRPr="008C6153">
        <w:rPr>
          <w:rFonts w:ascii="Arial" w:hAnsi="Arial" w:cs="Arial"/>
          <w:b/>
          <w:highlight w:val="lightGray"/>
          <w:shd w:val="clear" w:color="auto" w:fill="D9D9D9" w:themeFill="background1" w:themeFillShade="D9"/>
        </w:rPr>
        <w:t>Overview</w:t>
      </w:r>
      <w:bookmarkEnd w:id="0"/>
    </w:p>
    <w:p w14:paraId="336A6A2E" w14:textId="3C09F581" w:rsidR="00593069" w:rsidRPr="008C6153" w:rsidRDefault="00593069" w:rsidP="007D3DCB">
      <w:pPr>
        <w:ind w:firstLine="360"/>
      </w:pPr>
      <w:r w:rsidRPr="008C6153">
        <w:t>Management of the Pacific halibut resource and fishery has been the responsibility of the International Pacific Halibut Commission (IPHC) since its creation in 1923</w:t>
      </w:r>
      <w:r w:rsidR="00CB2350" w:rsidRPr="008C6153">
        <w:t xml:space="preserve">, see </w:t>
      </w:r>
      <w:hyperlink w:anchor="Fig1" w:history="1">
        <w:r w:rsidR="00001EA5">
          <w:rPr>
            <w:rStyle w:val="Hyperlink"/>
          </w:rPr>
          <w:t>Figure </w:t>
        </w:r>
        <w:r w:rsidR="00CB2350" w:rsidRPr="008C6153">
          <w:rPr>
            <w:rStyle w:val="Hyperlink"/>
          </w:rPr>
          <w:t>1</w:t>
        </w:r>
      </w:hyperlink>
      <w:r w:rsidR="00CB2350" w:rsidRPr="008C6153">
        <w:t xml:space="preserve"> for a map of the </w:t>
      </w:r>
      <w:r w:rsidR="008C6153" w:rsidRPr="008C6153">
        <w:t xml:space="preserve">IPHC </w:t>
      </w:r>
      <w:r w:rsidR="00CB2350" w:rsidRPr="008C6153">
        <w:t>Convention Area</w:t>
      </w:r>
      <w:r w:rsidRPr="008C6153">
        <w:t>. Assessing, forecasting, and managing the resource and fishery requires accurate assessments, continuous monitoring, and research responsive to the needs of managers and stakeholders. The fishery for Pacific halibut (</w:t>
      </w:r>
      <w:proofErr w:type="spellStart"/>
      <w:r w:rsidRPr="008C6153">
        <w:rPr>
          <w:i/>
        </w:rPr>
        <w:t>Hippoglossus</w:t>
      </w:r>
      <w:proofErr w:type="spellEnd"/>
      <w:r w:rsidRPr="008C6153">
        <w:rPr>
          <w:i/>
        </w:rPr>
        <w:t xml:space="preserve"> </w:t>
      </w:r>
      <w:proofErr w:type="spellStart"/>
      <w:r w:rsidRPr="008C6153">
        <w:rPr>
          <w:i/>
        </w:rPr>
        <w:t>stenolepis</w:t>
      </w:r>
      <w:proofErr w:type="spellEnd"/>
      <w:r w:rsidRPr="008C6153">
        <w:t xml:space="preserve">) is one of the most valuable and geographically largest in the northeast Pacific Ocean. Industry participants from Canada and the United States </w:t>
      </w:r>
      <w:r w:rsidR="006B3D0F" w:rsidRPr="008C6153">
        <w:t xml:space="preserve">of America </w:t>
      </w:r>
      <w:r w:rsidRPr="008C6153">
        <w:t xml:space="preserve">have prosecuted the </w:t>
      </w:r>
      <w:r w:rsidR="0077516D" w:rsidRPr="008C6153">
        <w:t xml:space="preserve">modern </w:t>
      </w:r>
      <w:r w:rsidRPr="008C6153">
        <w:t xml:space="preserve">fishery and have depended upon the resource since </w:t>
      </w:r>
      <w:r w:rsidR="0077516D" w:rsidRPr="008C6153">
        <w:t>the 1880s</w:t>
      </w:r>
      <w:r w:rsidRPr="008C6153">
        <w:t>. Annual removals have been as high as 100 million pounds, and the long-term average of removals is 64 million pounds.</w:t>
      </w:r>
    </w:p>
    <w:p w14:paraId="2C98E9B4" w14:textId="7611312B" w:rsidR="008C6153" w:rsidRDefault="00FF1DAE" w:rsidP="008C6153">
      <w:bookmarkStart w:id="1" w:name="Fig1"/>
      <w:r>
        <w:rPr>
          <w:noProof/>
          <w:color w:val="000000" w:themeColor="text1"/>
          <w:szCs w:val="18"/>
        </w:rPr>
        <w:lastRenderedPageBreak/>
        <w:drawing>
          <wp:anchor distT="0" distB="0" distL="114300" distR="114300" simplePos="0" relativeHeight="251659264" behindDoc="0" locked="0" layoutInCell="1" allowOverlap="1" wp14:anchorId="5974DCDF" wp14:editId="63DD74AE">
            <wp:simplePos x="0" y="0"/>
            <wp:positionH relativeFrom="margin">
              <wp:posOffset>4800600</wp:posOffset>
            </wp:positionH>
            <wp:positionV relativeFrom="paragraph">
              <wp:posOffset>321310</wp:posOffset>
            </wp:positionV>
            <wp:extent cx="1013254" cy="66439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phc_logo_goldblack_txt.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3254" cy="664397"/>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8C6153">
        <w:rPr>
          <w:noProof/>
        </w:rPr>
        <w:drawing>
          <wp:inline distT="0" distB="0" distL="0" distR="0" wp14:anchorId="1F46F461" wp14:editId="0C982AE5">
            <wp:extent cx="6241312" cy="3941916"/>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2660" cy="3980663"/>
                    </a:xfrm>
                    <a:prstGeom prst="rect">
                      <a:avLst/>
                    </a:prstGeom>
                  </pic:spPr>
                </pic:pic>
              </a:graphicData>
            </a:graphic>
          </wp:inline>
        </w:drawing>
      </w:r>
    </w:p>
    <w:bookmarkEnd w:id="1"/>
    <w:p w14:paraId="14389D9E" w14:textId="68402318" w:rsidR="00CB2350" w:rsidRPr="008C6153" w:rsidRDefault="00CB2350" w:rsidP="00FE78F1">
      <w:pPr>
        <w:ind w:firstLine="720"/>
      </w:pPr>
      <w:r w:rsidRPr="008C6153">
        <w:rPr>
          <w:b/>
        </w:rPr>
        <w:t xml:space="preserve">Figure 1. </w:t>
      </w:r>
      <w:r w:rsidRPr="008C6153">
        <w:t>Map of the IPHC Convention Area and IPHC Regulatory Areas.</w:t>
      </w:r>
    </w:p>
    <w:p w14:paraId="1C069896" w14:textId="22849B8B" w:rsidR="0015336F" w:rsidRPr="008C6153" w:rsidRDefault="00AF6724" w:rsidP="004E2470">
      <w:pPr>
        <w:spacing w:before="240" w:after="240"/>
      </w:pPr>
      <w:r w:rsidRPr="008C6153">
        <w:t>Staffing Updates:</w:t>
      </w:r>
      <w:r w:rsidR="009D4E83" w:rsidRPr="008C6153">
        <w:t xml:space="preserve"> </w:t>
      </w:r>
      <w:r w:rsidR="0015336F" w:rsidRPr="008C6153">
        <w:t xml:space="preserve">see </w:t>
      </w:r>
      <w:hyperlink r:id="rId10" w:history="1">
        <w:r w:rsidR="0015336F" w:rsidRPr="008C6153">
          <w:rPr>
            <w:color w:val="0000FF"/>
            <w:u w:val="single"/>
          </w:rPr>
          <w:t>https://www.iphc.int/locations/map</w:t>
        </w:r>
      </w:hyperlink>
      <w:r w:rsidR="004E2470" w:rsidRPr="004E2470">
        <w:t>.</w:t>
      </w:r>
    </w:p>
    <w:p w14:paraId="380A8A43" w14:textId="02A5FA58" w:rsidR="00B72708" w:rsidRPr="008C6153" w:rsidRDefault="0015336F" w:rsidP="005025E1">
      <w:pPr>
        <w:pStyle w:val="Heading1"/>
        <w:rPr>
          <w:rFonts w:ascii="Arial" w:hAnsi="Arial" w:cs="Arial"/>
          <w:b/>
          <w:highlight w:val="lightGray"/>
        </w:rPr>
      </w:pPr>
      <w:bookmarkStart w:id="2" w:name="_Toc130470097"/>
      <w:r w:rsidRPr="008C6153">
        <w:rPr>
          <w:rFonts w:ascii="Arial" w:hAnsi="Arial" w:cs="Arial"/>
          <w:b/>
          <w:highlight w:val="lightGray"/>
        </w:rPr>
        <w:t>Fishery-Independent Setline Survey (FISS)</w:t>
      </w:r>
      <w:bookmarkEnd w:id="2"/>
      <w:r w:rsidR="00B72708" w:rsidRPr="008C6153">
        <w:rPr>
          <w:rFonts w:ascii="Arial" w:hAnsi="Arial" w:cs="Arial"/>
          <w:b/>
          <w:highlight w:val="lightGray"/>
        </w:rPr>
        <w:t xml:space="preserve"> </w:t>
      </w:r>
    </w:p>
    <w:p w14:paraId="180E513F" w14:textId="68769F01" w:rsidR="007F5E72" w:rsidRPr="008C6153" w:rsidRDefault="007F5E72" w:rsidP="00C67F09">
      <w:pPr>
        <w:ind w:firstLine="360"/>
        <w:rPr>
          <w:rFonts w:eastAsia="Times New Roman"/>
        </w:rPr>
      </w:pPr>
      <w:r w:rsidRPr="008C6153">
        <w:rPr>
          <w:rFonts w:eastAsia="Times New Roman"/>
        </w:rPr>
        <w:t xml:space="preserve">The </w:t>
      </w:r>
      <w:r w:rsidR="008C6153">
        <w:rPr>
          <w:rFonts w:eastAsia="Times New Roman"/>
        </w:rPr>
        <w:t>IPHC’s Fishery-Independent Setline S</w:t>
      </w:r>
      <w:r w:rsidRPr="008C6153">
        <w:rPr>
          <w:rFonts w:eastAsia="Times New Roman"/>
        </w:rPr>
        <w:t>urvey (FISS) provides catch</w:t>
      </w:r>
      <w:r w:rsidRPr="008C6153">
        <w:t xml:space="preserve"> </w:t>
      </w:r>
      <w:r w:rsidRPr="008C6153">
        <w:rPr>
          <w:rFonts w:eastAsia="Times New Roman"/>
        </w:rPr>
        <w:t>information and biological data on Pacific halibut (</w:t>
      </w:r>
      <w:proofErr w:type="spellStart"/>
      <w:r w:rsidRPr="008C6153">
        <w:rPr>
          <w:rFonts w:eastAsia="Times New Roman"/>
          <w:i/>
        </w:rPr>
        <w:t>Hippoglossus</w:t>
      </w:r>
      <w:proofErr w:type="spellEnd"/>
      <w:r w:rsidRPr="008C6153">
        <w:rPr>
          <w:rFonts w:eastAsia="Times New Roman"/>
          <w:i/>
        </w:rPr>
        <w:t xml:space="preserve"> </w:t>
      </w:r>
      <w:proofErr w:type="spellStart"/>
      <w:r w:rsidRPr="008C6153">
        <w:rPr>
          <w:rFonts w:eastAsia="Times New Roman"/>
          <w:i/>
        </w:rPr>
        <w:t>stenolepis</w:t>
      </w:r>
      <w:proofErr w:type="spellEnd"/>
      <w:r w:rsidRPr="008C6153">
        <w:rPr>
          <w:rFonts w:eastAsia="Times New Roman"/>
          <w:i/>
        </w:rPr>
        <w:t>)</w:t>
      </w:r>
      <w:r w:rsidRPr="008C6153">
        <w:rPr>
          <w:rFonts w:eastAsia="Times New Roman"/>
        </w:rPr>
        <w:t xml:space="preserve"> that are collected independently of the commercial fishery. These data, which are collected using standardized methods, </w:t>
      </w:r>
      <w:proofErr w:type="gramStart"/>
      <w:r w:rsidRPr="008C6153">
        <w:rPr>
          <w:rFonts w:eastAsia="Times New Roman"/>
        </w:rPr>
        <w:t>bait</w:t>
      </w:r>
      <w:proofErr w:type="gramEnd"/>
      <w:r w:rsidRPr="008C6153">
        <w:rPr>
          <w:rFonts w:eastAsia="Times New Roman"/>
        </w:rPr>
        <w:t xml:space="preserve"> and gear during the summer of each calendar year, provide an important comparison with data collected from the commercial fishery. The </w:t>
      </w:r>
      <w:r w:rsidR="008C6153">
        <w:rPr>
          <w:rFonts w:eastAsia="Times New Roman"/>
        </w:rPr>
        <w:t xml:space="preserve">directed </w:t>
      </w:r>
      <w:r w:rsidRPr="008C6153">
        <w:rPr>
          <w:rFonts w:eastAsia="Times New Roman"/>
        </w:rPr>
        <w:t xml:space="preserve">commercial fishery is variable in its gear composition and distribution of fishing effort over </w:t>
      </w:r>
      <w:proofErr w:type="gramStart"/>
      <w:r w:rsidRPr="008C6153">
        <w:rPr>
          <w:rFonts w:eastAsia="Times New Roman"/>
        </w:rPr>
        <w:t>time, and</w:t>
      </w:r>
      <w:proofErr w:type="gramEnd"/>
      <w:r w:rsidRPr="008C6153">
        <w:rPr>
          <w:rFonts w:eastAsia="Times New Roman"/>
        </w:rPr>
        <w:t xml:space="preserve"> presents a broad spatial and temporal sampling of the stock. Pacific halibut biological data collected on the </w:t>
      </w:r>
      <w:r w:rsidR="007E4419" w:rsidRPr="008C6153">
        <w:rPr>
          <w:rFonts w:eastAsia="Times New Roman"/>
        </w:rPr>
        <w:t>FISS</w:t>
      </w:r>
      <w:r w:rsidRPr="008C6153">
        <w:rPr>
          <w:rFonts w:eastAsia="Times New Roman"/>
        </w:rPr>
        <w:t xml:space="preserve"> (</w:t>
      </w:r>
      <w:proofErr w:type="gramStart"/>
      <w:r w:rsidRPr="008C6153">
        <w:rPr>
          <w:rFonts w:eastAsia="Times New Roman"/>
        </w:rPr>
        <w:t>e.g.</w:t>
      </w:r>
      <w:proofErr w:type="gramEnd"/>
      <w:r w:rsidRPr="008C6153">
        <w:rPr>
          <w:rFonts w:eastAsia="Times New Roman"/>
        </w:rPr>
        <w:t xml:space="preserve"> the size, age, and sex composition) are used to monitor changes in biomass, growth, and mortality in adult and sub-adult components of the Pacific halibut population. In addition, records of non-target species caught during </w:t>
      </w:r>
      <w:r w:rsidR="007E4419" w:rsidRPr="008C6153">
        <w:rPr>
          <w:rFonts w:eastAsia="Times New Roman"/>
        </w:rPr>
        <w:t>FISS</w:t>
      </w:r>
      <w:r w:rsidRPr="008C6153">
        <w:rPr>
          <w:rFonts w:eastAsia="Times New Roman"/>
        </w:rPr>
        <w:t xml:space="preserve"> operations provide insight into bait competition, rate of bait attacks, and serve as an index of abundance over time, making them valuable to the assessment, management, and avoidance of non-target species.</w:t>
      </w:r>
      <w:r w:rsidR="0058664C">
        <w:rPr>
          <w:rFonts w:eastAsia="Times New Roman"/>
        </w:rPr>
        <w:t xml:space="preserve"> In addition, oceanographic data is collected at each station</w:t>
      </w:r>
      <w:r w:rsidR="005F30DD">
        <w:rPr>
          <w:rFonts w:eastAsia="Times New Roman"/>
        </w:rPr>
        <w:t xml:space="preserve"> (please see section in </w:t>
      </w:r>
      <w:hyperlink w:anchor="Ongoing" w:history="1">
        <w:r w:rsidR="005F30DD" w:rsidRPr="005F30DD">
          <w:rPr>
            <w:rStyle w:val="Hyperlink"/>
            <w:rFonts w:eastAsia="Times New Roman"/>
          </w:rPr>
          <w:t>Other Ongoing Data Collection Programs</w:t>
        </w:r>
      </w:hyperlink>
      <w:r w:rsidR="005F30DD">
        <w:rPr>
          <w:rFonts w:eastAsia="Times New Roman"/>
        </w:rPr>
        <w:t>)</w:t>
      </w:r>
      <w:r w:rsidR="0058664C">
        <w:rPr>
          <w:rFonts w:eastAsia="Times New Roman"/>
        </w:rPr>
        <w:t>.</w:t>
      </w:r>
    </w:p>
    <w:p w14:paraId="065FC454" w14:textId="66D4DAC6" w:rsidR="00FF6DFB" w:rsidRPr="00C46AA8" w:rsidRDefault="00FF6DFB" w:rsidP="007D3DCB">
      <w:pPr>
        <w:ind w:firstLine="360"/>
        <w:rPr>
          <w:rFonts w:eastAsia="Times New Roman"/>
        </w:rPr>
      </w:pPr>
      <w:r w:rsidRPr="008C6153">
        <w:rPr>
          <w:rFonts w:eastAsia="Times New Roman"/>
        </w:rPr>
        <w:t xml:space="preserve">For details on FISS work conducted in </w:t>
      </w:r>
      <w:r w:rsidR="008C6153" w:rsidRPr="008C6153">
        <w:rPr>
          <w:rFonts w:eastAsia="Times New Roman"/>
        </w:rPr>
        <w:t>202</w:t>
      </w:r>
      <w:r w:rsidR="00E75B9D">
        <w:rPr>
          <w:rFonts w:eastAsia="Times New Roman"/>
        </w:rPr>
        <w:t>2</w:t>
      </w:r>
      <w:r w:rsidRPr="008C6153">
        <w:rPr>
          <w:rFonts w:eastAsia="Times New Roman"/>
        </w:rPr>
        <w:t xml:space="preserve">, please refer to the following paper </w:t>
      </w:r>
      <w:hyperlink r:id="rId11" w:history="1">
        <w:r w:rsidRPr="002F6E0A">
          <w:rPr>
            <w:rStyle w:val="Hyperlink"/>
            <w:i/>
            <w:iCs/>
          </w:rPr>
          <w:t xml:space="preserve">IPHC Fishery-Independent Setline Survey (FISS) design and implementation in </w:t>
        </w:r>
        <w:r w:rsidR="00C46AA8" w:rsidRPr="002F6E0A">
          <w:rPr>
            <w:rStyle w:val="Hyperlink"/>
            <w:i/>
            <w:iCs/>
          </w:rPr>
          <w:t>202</w:t>
        </w:r>
        <w:r w:rsidR="00E75B9D">
          <w:rPr>
            <w:rStyle w:val="Hyperlink"/>
            <w:i/>
            <w:iCs/>
          </w:rPr>
          <w:t>2</w:t>
        </w:r>
      </w:hyperlink>
      <w:r w:rsidR="002F6E0A">
        <w:t>.</w:t>
      </w:r>
    </w:p>
    <w:p w14:paraId="37DD1A96" w14:textId="77777777" w:rsidR="00F264A7" w:rsidRPr="00C46AA8" w:rsidRDefault="00F264A7" w:rsidP="00B15855">
      <w:pPr>
        <w:pStyle w:val="Heading1"/>
        <w:keepNext/>
        <w:rPr>
          <w:rFonts w:ascii="Arial" w:hAnsi="Arial" w:cs="Arial"/>
          <w:highlight w:val="lightGray"/>
        </w:rPr>
      </w:pPr>
      <w:bookmarkStart w:id="3" w:name="_Toc130470098"/>
      <w:r w:rsidRPr="00C46AA8">
        <w:rPr>
          <w:rFonts w:ascii="Arial" w:hAnsi="Arial" w:cs="Arial"/>
          <w:b/>
          <w:highlight w:val="lightGray"/>
        </w:rPr>
        <w:lastRenderedPageBreak/>
        <w:t>Reserves</w:t>
      </w:r>
      <w:r w:rsidRPr="00C46AA8">
        <w:rPr>
          <w:rFonts w:ascii="Arial" w:hAnsi="Arial" w:cs="Arial"/>
          <w:highlight w:val="lightGray"/>
        </w:rPr>
        <w:t xml:space="preserve"> – N/A</w:t>
      </w:r>
      <w:bookmarkEnd w:id="3"/>
    </w:p>
    <w:p w14:paraId="55BBFD11" w14:textId="47A1E7FA" w:rsidR="00B72708" w:rsidRPr="00C46AA8" w:rsidRDefault="00B72708" w:rsidP="009618EB">
      <w:pPr>
        <w:pStyle w:val="Heading1"/>
        <w:keepNext/>
        <w:keepLines/>
        <w:rPr>
          <w:rFonts w:ascii="Arial" w:hAnsi="Arial" w:cs="Arial"/>
          <w:b/>
          <w:highlight w:val="lightGray"/>
        </w:rPr>
      </w:pPr>
      <w:bookmarkStart w:id="4" w:name="_Toc130470099"/>
      <w:r w:rsidRPr="00C46AA8">
        <w:rPr>
          <w:rFonts w:ascii="Arial" w:hAnsi="Arial" w:cs="Arial"/>
          <w:b/>
          <w:highlight w:val="lightGray"/>
        </w:rPr>
        <w:t>Review of Groundfish Research, Assessment</w:t>
      </w:r>
      <w:r w:rsidR="00CA289C" w:rsidRPr="00C46AA8">
        <w:rPr>
          <w:rFonts w:ascii="Arial" w:hAnsi="Arial" w:cs="Arial"/>
          <w:b/>
          <w:highlight w:val="lightGray"/>
        </w:rPr>
        <w:t>,</w:t>
      </w:r>
      <w:r w:rsidRPr="00C46AA8">
        <w:rPr>
          <w:rFonts w:ascii="Arial" w:hAnsi="Arial" w:cs="Arial"/>
          <w:b/>
          <w:highlight w:val="lightGray"/>
        </w:rPr>
        <w:t xml:space="preserve"> and Management</w:t>
      </w:r>
      <w:bookmarkEnd w:id="4"/>
      <w:r w:rsidRPr="00C46AA8">
        <w:rPr>
          <w:rFonts w:ascii="Arial" w:hAnsi="Arial" w:cs="Arial"/>
          <w:b/>
          <w:highlight w:val="lightGray"/>
        </w:rPr>
        <w:t xml:space="preserve"> </w:t>
      </w:r>
    </w:p>
    <w:p w14:paraId="27E853E3" w14:textId="77777777" w:rsidR="00B72708" w:rsidRPr="00C46AA8" w:rsidRDefault="00B72708" w:rsidP="009618EB">
      <w:pPr>
        <w:pStyle w:val="Heading2"/>
        <w:keepNext/>
        <w:keepLines/>
        <w:rPr>
          <w:rFonts w:ascii="Arial" w:hAnsi="Arial" w:cs="Arial"/>
          <w:b/>
          <w:highlight w:val="lightGray"/>
        </w:rPr>
      </w:pPr>
      <w:bookmarkStart w:id="5" w:name="_Toc130470100"/>
      <w:r w:rsidRPr="00C46AA8">
        <w:rPr>
          <w:rFonts w:ascii="Arial" w:hAnsi="Arial" w:cs="Arial"/>
          <w:b/>
          <w:highlight w:val="lightGray"/>
        </w:rPr>
        <w:t xml:space="preserve">Pacific halibut </w:t>
      </w:r>
      <w:r w:rsidR="00CA289C" w:rsidRPr="00C46AA8">
        <w:rPr>
          <w:rFonts w:ascii="Arial" w:hAnsi="Arial" w:cs="Arial"/>
          <w:b/>
          <w:highlight w:val="lightGray"/>
        </w:rPr>
        <w:t>and</w:t>
      </w:r>
      <w:r w:rsidRPr="00C46AA8">
        <w:rPr>
          <w:rFonts w:ascii="Arial" w:hAnsi="Arial" w:cs="Arial"/>
          <w:b/>
          <w:highlight w:val="lightGray"/>
        </w:rPr>
        <w:t xml:space="preserve"> IPHC activities</w:t>
      </w:r>
      <w:bookmarkEnd w:id="5"/>
    </w:p>
    <w:p w14:paraId="16E6F5B9" w14:textId="77777777" w:rsidR="009D4E83" w:rsidRPr="00C46AA8" w:rsidRDefault="009D4E83" w:rsidP="009618EB">
      <w:pPr>
        <w:pStyle w:val="Heading3"/>
        <w:keepLines/>
        <w:rPr>
          <w:rFonts w:ascii="Arial" w:hAnsi="Arial" w:cs="Arial"/>
          <w:highlight w:val="lightGray"/>
        </w:rPr>
      </w:pPr>
      <w:bookmarkStart w:id="6" w:name="_Toc130470101"/>
      <w:r w:rsidRPr="00C46AA8">
        <w:rPr>
          <w:rFonts w:ascii="Arial" w:hAnsi="Arial" w:cs="Arial"/>
          <w:b/>
          <w:highlight w:val="lightGray"/>
        </w:rPr>
        <w:t>Research</w:t>
      </w:r>
      <w:bookmarkEnd w:id="6"/>
    </w:p>
    <w:p w14:paraId="15EA3300" w14:textId="20A2AA17" w:rsidR="008E10BB" w:rsidRPr="00C46AA8" w:rsidRDefault="00AF546D" w:rsidP="00C67F09">
      <w:pPr>
        <w:ind w:firstLine="360"/>
      </w:pPr>
      <w:r w:rsidRPr="00AF546D">
        <w:t xml:space="preserve">The primary biological research activities at IPHC that follow Commission objectives are identified and described in the </w:t>
      </w:r>
      <w:hyperlink r:id="rId12" w:history="1">
        <w:r w:rsidRPr="00AF546D">
          <w:rPr>
            <w:rStyle w:val="Hyperlink"/>
          </w:rPr>
          <w:t>IPHC Five-Year Program of Integrated Research and Monitoring (2022-2026)</w:t>
        </w:r>
      </w:hyperlink>
      <w:r w:rsidRPr="00AF546D">
        <w:t>.</w:t>
      </w:r>
    </w:p>
    <w:p w14:paraId="7A2AB3C0" w14:textId="23D52913" w:rsidR="008E10BB" w:rsidRPr="00C46AA8" w:rsidRDefault="008E10BB" w:rsidP="004E2470">
      <w:pPr>
        <w:tabs>
          <w:tab w:val="left" w:pos="432"/>
        </w:tabs>
        <w:spacing w:before="240" w:after="240"/>
        <w:rPr>
          <w:u w:val="single"/>
        </w:rPr>
      </w:pPr>
      <w:r w:rsidRPr="00C46AA8">
        <w:rPr>
          <w:u w:val="single"/>
        </w:rPr>
        <w:t xml:space="preserve">Overview of research activities in </w:t>
      </w:r>
      <w:r w:rsidR="00ED08A2" w:rsidRPr="00C46AA8">
        <w:rPr>
          <w:u w:val="single"/>
        </w:rPr>
        <w:t>202</w:t>
      </w:r>
      <w:r w:rsidR="009A0B6C">
        <w:rPr>
          <w:u w:val="single"/>
        </w:rPr>
        <w:t>2</w:t>
      </w:r>
      <w:r w:rsidR="00ED08A2" w:rsidRPr="00C46AA8">
        <w:rPr>
          <w:u w:val="single"/>
        </w:rPr>
        <w:t xml:space="preserve"> </w:t>
      </w:r>
      <w:r w:rsidRPr="00C46AA8">
        <w:rPr>
          <w:u w:val="single"/>
        </w:rPr>
        <w:t xml:space="preserve">and planned for </w:t>
      </w:r>
      <w:proofErr w:type="gramStart"/>
      <w:r w:rsidR="00ED08A2" w:rsidRPr="00C46AA8">
        <w:rPr>
          <w:u w:val="single"/>
        </w:rPr>
        <w:t>202</w:t>
      </w:r>
      <w:r w:rsidR="009A0B6C">
        <w:rPr>
          <w:u w:val="single"/>
        </w:rPr>
        <w:t>3</w:t>
      </w:r>
      <w:proofErr w:type="gramEnd"/>
    </w:p>
    <w:p w14:paraId="61FADDCF" w14:textId="77777777" w:rsidR="00AF546D" w:rsidRPr="00B26731" w:rsidRDefault="00AF546D" w:rsidP="00AF546D">
      <w:pPr>
        <w:pStyle w:val="ListParagraph"/>
        <w:numPr>
          <w:ilvl w:val="0"/>
          <w:numId w:val="21"/>
        </w:numPr>
        <w:spacing w:before="0"/>
        <w:contextualSpacing w:val="0"/>
        <w:rPr>
          <w:rFonts w:eastAsia="Times New Roman"/>
          <w:bCs/>
          <w:snapToGrid w:val="0"/>
        </w:rPr>
      </w:pPr>
      <w:r w:rsidRPr="00B26731">
        <w:rPr>
          <w:rFonts w:eastAsia="Times New Roman"/>
          <w:snapToGrid w:val="0"/>
          <w:u w:val="single"/>
        </w:rPr>
        <w:t xml:space="preserve">Migration and </w:t>
      </w:r>
      <w:r>
        <w:rPr>
          <w:rFonts w:eastAsia="Times New Roman"/>
          <w:snapToGrid w:val="0"/>
          <w:u w:val="single"/>
        </w:rPr>
        <w:t>Population Dynamics</w:t>
      </w:r>
      <w:r w:rsidRPr="00B26731">
        <w:rPr>
          <w:rFonts w:eastAsia="Times New Roman"/>
          <w:snapToGrid w:val="0"/>
        </w:rPr>
        <w:t xml:space="preserve">. </w:t>
      </w:r>
    </w:p>
    <w:p w14:paraId="701C2749" w14:textId="6AC0C480" w:rsidR="00AF546D" w:rsidRDefault="00AF546D" w:rsidP="00AF546D">
      <w:pPr>
        <w:pStyle w:val="ListParagraph"/>
        <w:autoSpaceDE w:val="0"/>
        <w:autoSpaceDN w:val="0"/>
        <w:adjustRightInd w:val="0"/>
        <w:ind w:left="360"/>
        <w:rPr>
          <w:rFonts w:eastAsia="Times New Roman"/>
          <w:snapToGrid w:val="0"/>
          <w:color w:val="000000" w:themeColor="text1"/>
        </w:rPr>
      </w:pPr>
      <w:r w:rsidRPr="006A527A">
        <w:rPr>
          <w:color w:val="000000" w:themeColor="text1"/>
        </w:rPr>
        <w:t xml:space="preserve">The IPHC Secretariat is currently conducting studies on Pacific halibut juvenile habitat and movement through conventional wire tagging, as well as studies that incorporate genomics approaches </w:t>
      </w:r>
      <w:proofErr w:type="gramStart"/>
      <w:r w:rsidRPr="006A527A">
        <w:rPr>
          <w:color w:val="000000" w:themeColor="text1"/>
        </w:rPr>
        <w:t>in order to</w:t>
      </w:r>
      <w:proofErr w:type="gramEnd"/>
      <w:r w:rsidRPr="006A527A">
        <w:rPr>
          <w:color w:val="000000" w:themeColor="text1"/>
        </w:rPr>
        <w:t xml:space="preserve"> produce useful information on population structure</w:t>
      </w:r>
      <w:r>
        <w:rPr>
          <w:color w:val="000000" w:themeColor="text1"/>
        </w:rPr>
        <w:t>,</w:t>
      </w:r>
      <w:r w:rsidRPr="006A527A">
        <w:rPr>
          <w:color w:val="000000" w:themeColor="text1"/>
        </w:rPr>
        <w:t xml:space="preserve"> distribution and connectivity of Pacific halibut.</w:t>
      </w:r>
    </w:p>
    <w:p w14:paraId="031C1A9A" w14:textId="77777777" w:rsidR="00AF546D" w:rsidRPr="006A527A" w:rsidRDefault="00AF546D" w:rsidP="00AF546D">
      <w:pPr>
        <w:pStyle w:val="ListParagraph"/>
        <w:autoSpaceDE w:val="0"/>
        <w:autoSpaceDN w:val="0"/>
        <w:adjustRightInd w:val="0"/>
        <w:ind w:left="360"/>
        <w:rPr>
          <w:rFonts w:eastAsia="Times New Roman"/>
          <w:bCs/>
          <w:snapToGrid w:val="0"/>
          <w:color w:val="000000" w:themeColor="text1"/>
        </w:rPr>
      </w:pPr>
    </w:p>
    <w:p w14:paraId="68353BD1" w14:textId="5EA3A08B" w:rsidR="00AF546D" w:rsidRPr="00053F29" w:rsidRDefault="00AF546D" w:rsidP="009765D8">
      <w:pPr>
        <w:pStyle w:val="ListParagraph"/>
        <w:numPr>
          <w:ilvl w:val="1"/>
          <w:numId w:val="21"/>
        </w:numPr>
        <w:spacing w:after="0"/>
        <w:ind w:left="720"/>
        <w:rPr>
          <w:rFonts w:eastAsia="Times New Roman"/>
          <w:snapToGrid w:val="0"/>
        </w:rPr>
      </w:pPr>
      <w:r w:rsidRPr="00053F29">
        <w:rPr>
          <w:rFonts w:eastAsia="Times New Roman"/>
          <w:snapToGrid w:val="0"/>
          <w:u w:val="single"/>
        </w:rPr>
        <w:t>Estimation of Pacific halibut juvenile habitat</w:t>
      </w:r>
      <w:r w:rsidRPr="00053F29">
        <w:rPr>
          <w:rFonts w:eastAsia="Times New Roman"/>
          <w:snapToGrid w:val="0"/>
        </w:rPr>
        <w:t xml:space="preserve">. Although it is known that following the pelagic larval phase Pacific halibut begin their demersal stage as </w:t>
      </w:r>
      <w:r>
        <w:rPr>
          <w:rFonts w:eastAsia="Times New Roman"/>
          <w:snapToGrid w:val="0"/>
        </w:rPr>
        <w:t>approximately</w:t>
      </w:r>
      <w:r w:rsidRPr="00053F29">
        <w:rPr>
          <w:rFonts w:eastAsia="Times New Roman"/>
          <w:snapToGrid w:val="0"/>
        </w:rPr>
        <w:t xml:space="preserve"> 6-month-old juveniles, settling in shallow nursery (settlement) areas, near or outside the mouths of bays (</w:t>
      </w:r>
      <w:r w:rsidR="004A0D54">
        <w:rPr>
          <w:rFonts w:eastAsia="Times New Roman"/>
          <w:snapToGrid w:val="0"/>
        </w:rPr>
        <w:t>reviewed in Carpi et al., 2021</w:t>
      </w:r>
      <w:r>
        <w:rPr>
          <w:rFonts w:eastAsia="Times New Roman"/>
          <w:snapToGrid w:val="0"/>
        </w:rPr>
        <w:t xml:space="preserve">: </w:t>
      </w:r>
      <w:hyperlink r:id="rId13" w:history="1">
        <w:r w:rsidRPr="00342CA0">
          <w:rPr>
            <w:rStyle w:val="Hyperlink"/>
          </w:rPr>
          <w:t>https://doi.org/10.1007/s11160-021-09672-w</w:t>
        </w:r>
      </w:hyperlink>
      <w:r w:rsidRPr="00053F29">
        <w:rPr>
          <w:rFonts w:eastAsia="Times New Roman"/>
          <w:snapToGrid w:val="0"/>
        </w:rPr>
        <w:t>), very little information is available on the geographic location and physical chara</w:t>
      </w:r>
      <w:r>
        <w:rPr>
          <w:rFonts w:eastAsia="Times New Roman"/>
          <w:snapToGrid w:val="0"/>
        </w:rPr>
        <w:t>c</w:t>
      </w:r>
      <w:r w:rsidRPr="00053F29">
        <w:rPr>
          <w:rFonts w:eastAsia="Times New Roman"/>
          <w:snapToGrid w:val="0"/>
        </w:rPr>
        <w:t xml:space="preserve">teristics of these areas. </w:t>
      </w:r>
      <w:proofErr w:type="gramStart"/>
      <w:r w:rsidRPr="00053F29">
        <w:rPr>
          <w:rFonts w:eastAsia="Times New Roman"/>
          <w:snapToGrid w:val="0"/>
        </w:rPr>
        <w:t>In order to</w:t>
      </w:r>
      <w:proofErr w:type="gramEnd"/>
      <w:r w:rsidRPr="00053F29">
        <w:rPr>
          <w:rFonts w:eastAsia="Times New Roman"/>
          <w:snapToGrid w:val="0"/>
        </w:rPr>
        <w:t xml:space="preserve"> fill this knowledge gap</w:t>
      </w:r>
      <w:r>
        <w:rPr>
          <w:rFonts w:eastAsia="Times New Roman"/>
          <w:snapToGrid w:val="0"/>
        </w:rPr>
        <w:t xml:space="preserve"> and set the stage for future studies to further investigate the connectivity between spawning and nursery grounds</w:t>
      </w:r>
      <w:r w:rsidRPr="00053F29">
        <w:rPr>
          <w:rFonts w:eastAsia="Times New Roman"/>
          <w:snapToGrid w:val="0"/>
        </w:rPr>
        <w:t>, the IPHC Secretariat has initiated studies to identify potential settlement areas for juvenile Pacific halibut throughout IPHC Convention Waters. A first objective of this study is to create a map of suitable settlement habitat by combining available bathymetry information (</w:t>
      </w:r>
      <w:proofErr w:type="gramStart"/>
      <w:r w:rsidRPr="00053F29">
        <w:rPr>
          <w:rFonts w:eastAsia="Times New Roman"/>
          <w:snapToGrid w:val="0"/>
        </w:rPr>
        <w:t>e.g.</w:t>
      </w:r>
      <w:proofErr w:type="gramEnd"/>
      <w:r w:rsidRPr="00053F29">
        <w:rPr>
          <w:rFonts w:eastAsia="Times New Roman"/>
          <w:snapToGrid w:val="0"/>
        </w:rPr>
        <w:t xml:space="preserve"> benthic sediment composition and shoreline morphological data) and information on recorded presence of age-0, age-1 and age-2</w:t>
      </w:r>
      <w:r>
        <w:rPr>
          <w:rFonts w:eastAsia="Times New Roman"/>
          <w:snapToGrid w:val="0"/>
        </w:rPr>
        <w:t xml:space="preserve"> Pacific halibut juveniles </w:t>
      </w:r>
      <w:bookmarkStart w:id="7" w:name="_Hlk109915996"/>
      <w:r>
        <w:rPr>
          <w:rFonts w:eastAsia="Times New Roman"/>
          <w:snapToGrid w:val="0"/>
        </w:rPr>
        <w:t>as well as absence of young Pacific halibut noted by various nursery habitat projects focused on other flatfish species</w:t>
      </w:r>
      <w:bookmarkEnd w:id="7"/>
      <w:r w:rsidRPr="00053F29">
        <w:rPr>
          <w:rFonts w:eastAsia="Times New Roman"/>
          <w:snapToGrid w:val="0"/>
        </w:rPr>
        <w:t>. Data sources are currently being collected.</w:t>
      </w:r>
    </w:p>
    <w:p w14:paraId="5D44B1C5" w14:textId="77777777" w:rsidR="00AF546D" w:rsidRPr="001840B1" w:rsidRDefault="00AF546D" w:rsidP="009765D8">
      <w:pPr>
        <w:ind w:left="720" w:hanging="360"/>
        <w:rPr>
          <w:rFonts w:eastAsia="Times New Roman"/>
          <w:i/>
          <w:snapToGrid w:val="0"/>
        </w:rPr>
      </w:pPr>
    </w:p>
    <w:p w14:paraId="2F64B22D" w14:textId="6E059D3A" w:rsidR="00AF546D" w:rsidRDefault="00AF546D" w:rsidP="009765D8">
      <w:pPr>
        <w:pStyle w:val="ListParagraph"/>
        <w:numPr>
          <w:ilvl w:val="1"/>
          <w:numId w:val="21"/>
        </w:numPr>
        <w:spacing w:before="0"/>
        <w:ind w:left="720"/>
      </w:pPr>
      <w:r w:rsidRPr="00150FDA">
        <w:rPr>
          <w:u w:val="single"/>
        </w:rPr>
        <w:t xml:space="preserve">Wire tagging of </w:t>
      </w:r>
      <w:r w:rsidR="002D36E0">
        <w:rPr>
          <w:u w:val="single"/>
        </w:rPr>
        <w:t>sub-legal</w:t>
      </w:r>
      <w:r w:rsidRPr="00150FDA">
        <w:rPr>
          <w:u w:val="single"/>
        </w:rPr>
        <w:t xml:space="preserve"> Pacific halibut</w:t>
      </w:r>
      <w:r w:rsidRPr="00150FDA">
        <w:t xml:space="preserve">. The patterns of movement of Pacific halibut among IPHC Regulatory Areas have important implications for management of the Pacific halibut fishery. The IPHC Secretariat has undertaken a long-term study of the migratory behavior of Pacific halibut </w:t>
      </w:r>
      <w:proofErr w:type="gramStart"/>
      <w:r w:rsidRPr="00150FDA">
        <w:t>through the use of</w:t>
      </w:r>
      <w:proofErr w:type="gramEnd"/>
      <w:r w:rsidRPr="00150FDA">
        <w:t xml:space="preserve"> externally visible tags (wire tags) on captured and released fish that must be retrieved and returned by workers in the fishing industry. In 2015, with the goal of gaining additional insight into movement and growth of young Pacific halibut (less than 32 inches [82 cm]; </w:t>
      </w:r>
      <w:r w:rsidR="00340C65">
        <w:t>sub-legal</w:t>
      </w:r>
      <w:r w:rsidRPr="00150FDA">
        <w:t xml:space="preserve">), the IPHC began wire-tagging small Pacific halibut encountered on the </w:t>
      </w:r>
      <w:r w:rsidR="004C479F">
        <w:t>NOAA Fisheries</w:t>
      </w:r>
      <w:r w:rsidRPr="00150FDA">
        <w:t xml:space="preserve"> groundfish trawl survey and, beginning in 2016, on the IPHC fishery-independent setline survey (FISS). </w:t>
      </w:r>
      <w:r>
        <w:t>In</w:t>
      </w:r>
      <w:r w:rsidRPr="00150FDA">
        <w:t xml:space="preserve"> 2022, 1,</w:t>
      </w:r>
      <w:r>
        <w:t>499</w:t>
      </w:r>
      <w:r w:rsidRPr="00150FDA">
        <w:t xml:space="preserve"> Pacific halibut </w:t>
      </w:r>
      <w:r>
        <w:t>were</w:t>
      </w:r>
      <w:r w:rsidRPr="00150FDA">
        <w:t xml:space="preserve"> tagged and released on the IPHC </w:t>
      </w:r>
      <w:proofErr w:type="gramStart"/>
      <w:r w:rsidRPr="00150FDA">
        <w:t>FISS</w:t>
      </w:r>
      <w:proofErr w:type="gramEnd"/>
      <w:r w:rsidRPr="00150FDA">
        <w:t xml:space="preserve"> but no tagging was conducted in the NMFS groundfish trawl surveys. Therefore, a total of 7,</w:t>
      </w:r>
      <w:r>
        <w:t>610</w:t>
      </w:r>
      <w:r w:rsidRPr="00150FDA">
        <w:t xml:space="preserve"> U32 Pacific halibut have been wire tagged and released on the IPHC FISS </w:t>
      </w:r>
      <w:r>
        <w:t>to date. Of these, a total of 149</w:t>
      </w:r>
      <w:r w:rsidRPr="00150FDA">
        <w:t xml:space="preserve"> </w:t>
      </w:r>
      <w:r>
        <w:t xml:space="preserve">tags </w:t>
      </w:r>
      <w:r w:rsidRPr="00150FDA">
        <w:t>have been recovered</w:t>
      </w:r>
      <w:r>
        <w:t xml:space="preserve"> to date</w:t>
      </w:r>
      <w:r w:rsidRPr="00150FDA">
        <w:t xml:space="preserve">. In the NMFS groundfish trawl surveys through 2019, a total of 6,421 tags have been released and, to date, 78 tags have been recovered. </w:t>
      </w:r>
    </w:p>
    <w:p w14:paraId="4514397F" w14:textId="77777777" w:rsidR="00AF546D" w:rsidRDefault="00AF546D" w:rsidP="009765D8">
      <w:pPr>
        <w:pStyle w:val="ListParagraph"/>
        <w:ind w:hanging="360"/>
      </w:pPr>
    </w:p>
    <w:p w14:paraId="33EE8C1D" w14:textId="588EFE33" w:rsidR="00AF546D" w:rsidRPr="00CE2C56" w:rsidRDefault="00AF546D" w:rsidP="009765D8">
      <w:pPr>
        <w:pStyle w:val="ListParagraph"/>
        <w:numPr>
          <w:ilvl w:val="1"/>
          <w:numId w:val="21"/>
        </w:numPr>
        <w:spacing w:after="0"/>
        <w:ind w:left="720"/>
        <w:rPr>
          <w:rFonts w:eastAsia="Times New Roman"/>
          <w:snapToGrid w:val="0"/>
        </w:rPr>
      </w:pPr>
      <w:r w:rsidRPr="00711CD2">
        <w:rPr>
          <w:u w:val="single"/>
        </w:rPr>
        <w:t>Population genomics</w:t>
      </w:r>
      <w:r w:rsidRPr="00711CD2">
        <w:t xml:space="preserve">. </w:t>
      </w:r>
      <w:r w:rsidRPr="00CE2C56">
        <w:rPr>
          <w:rFonts w:eastAsia="Times New Roman"/>
          <w:snapToGrid w:val="0"/>
        </w:rPr>
        <w:t>The primary objective of the</w:t>
      </w:r>
      <w:r w:rsidR="000E396B">
        <w:rPr>
          <w:rFonts w:eastAsia="Times New Roman"/>
          <w:snapToGrid w:val="0"/>
        </w:rPr>
        <w:t>se</w:t>
      </w:r>
      <w:r w:rsidRPr="00CE2C56">
        <w:rPr>
          <w:rFonts w:eastAsia="Times New Roman"/>
          <w:snapToGrid w:val="0"/>
        </w:rPr>
        <w:t xml:space="preserve"> studies is to investigate the genetic structure of the Pacific halibut population and to conduct genetic analyses to inform on Pacific halibut movement and distribution within the Convention Area.</w:t>
      </w:r>
    </w:p>
    <w:p w14:paraId="6181F93E" w14:textId="77777777" w:rsidR="00AF546D" w:rsidRPr="00E43BFF" w:rsidRDefault="00AF546D" w:rsidP="00AF546D">
      <w:pPr>
        <w:spacing w:after="0"/>
        <w:ind w:left="720"/>
        <w:contextualSpacing/>
        <w:rPr>
          <w:rFonts w:eastAsia="Times New Roman"/>
          <w:snapToGrid w:val="0"/>
        </w:rPr>
      </w:pPr>
    </w:p>
    <w:p w14:paraId="5243AF04" w14:textId="06126D71" w:rsidR="00AF546D" w:rsidRPr="00E43BFF" w:rsidRDefault="007E321F" w:rsidP="00AF546D">
      <w:pPr>
        <w:pStyle w:val="ListParagraph"/>
        <w:numPr>
          <w:ilvl w:val="2"/>
          <w:numId w:val="21"/>
        </w:numPr>
        <w:spacing w:before="0"/>
        <w:ind w:left="1620"/>
        <w:rPr>
          <w:rFonts w:eastAsia="Times New Roman"/>
          <w:snapToGrid w:val="0"/>
        </w:rPr>
      </w:pPr>
      <w:r>
        <w:rPr>
          <w:rFonts w:eastAsia="Times New Roman"/>
          <w:snapToGrid w:val="0"/>
          <w:u w:val="single"/>
        </w:rPr>
        <w:t xml:space="preserve">Revised assembly of the </w:t>
      </w:r>
      <w:r w:rsidR="00AF546D" w:rsidRPr="00E43BFF">
        <w:rPr>
          <w:rFonts w:eastAsia="Times New Roman"/>
          <w:snapToGrid w:val="0"/>
          <w:u w:val="single"/>
        </w:rPr>
        <w:t xml:space="preserve">Pacific halibut genome and characterization of </w:t>
      </w:r>
      <w:r>
        <w:rPr>
          <w:rFonts w:eastAsia="Times New Roman"/>
          <w:snapToGrid w:val="0"/>
          <w:u w:val="single"/>
        </w:rPr>
        <w:t>its</w:t>
      </w:r>
      <w:r w:rsidR="00AF546D" w:rsidRPr="00E43BFF">
        <w:rPr>
          <w:rFonts w:eastAsia="Times New Roman"/>
          <w:snapToGrid w:val="0"/>
          <w:u w:val="single"/>
        </w:rPr>
        <w:t xml:space="preserve"> sex determining region</w:t>
      </w:r>
      <w:r w:rsidR="00AF546D" w:rsidRPr="00E43BFF">
        <w:rPr>
          <w:rFonts w:eastAsia="Times New Roman"/>
          <w:snapToGrid w:val="0"/>
        </w:rPr>
        <w:t>. The IPHC Secretariat has updated the Pacific halibut genome assembly</w:t>
      </w:r>
      <w:r w:rsidR="000E396B">
        <w:rPr>
          <w:rFonts w:eastAsia="Times New Roman"/>
          <w:snapToGrid w:val="0"/>
        </w:rPr>
        <w:t xml:space="preserve">, with an </w:t>
      </w:r>
      <w:r w:rsidR="00AF546D" w:rsidRPr="00E43BFF">
        <w:rPr>
          <w:rFonts w:eastAsia="Times New Roman"/>
          <w:snapToGrid w:val="0"/>
        </w:rPr>
        <w:t>estimated size of 602 Mb, 24 chromosome-length scaffolds that contain 99.8% of the assembly and a N</w:t>
      </w:r>
      <w:r w:rsidR="00AF546D" w:rsidRPr="00E43BFF">
        <w:rPr>
          <w:rFonts w:eastAsia="Times New Roman"/>
          <w:snapToGrid w:val="0"/>
          <w:vertAlign w:val="subscript"/>
        </w:rPr>
        <w:t>50</w:t>
      </w:r>
      <w:r w:rsidR="00AF546D" w:rsidRPr="00E43BFF">
        <w:rPr>
          <w:rFonts w:eastAsia="Times New Roman"/>
          <w:snapToGrid w:val="0"/>
        </w:rPr>
        <w:t xml:space="preserve"> scaffold length of 27.3 Mb</w:t>
      </w:r>
      <w:r w:rsidR="009765D8">
        <w:rPr>
          <w:rFonts w:eastAsia="Times New Roman"/>
          <w:snapToGrid w:val="0"/>
        </w:rPr>
        <w:t xml:space="preserve"> (Jasonowicz et al., 2022: </w:t>
      </w:r>
      <w:hyperlink r:id="rId14" w:history="1">
        <w:r w:rsidR="009765D8" w:rsidRPr="00077236">
          <w:rPr>
            <w:rStyle w:val="Hyperlink"/>
          </w:rPr>
          <w:t>https://doi.org/10.1111/1755-0998.13641</w:t>
        </w:r>
      </w:hyperlink>
      <w:r w:rsidR="009765D8">
        <w:rPr>
          <w:rStyle w:val="Hyperlink"/>
        </w:rPr>
        <w:t>)</w:t>
      </w:r>
      <w:r w:rsidR="00AF546D" w:rsidRPr="00E43BFF">
        <w:rPr>
          <w:rFonts w:eastAsia="Times New Roman"/>
          <w:snapToGrid w:val="0"/>
        </w:rPr>
        <w:t xml:space="preserve">. The Pacific halibut whole genome sequencing data are openly available in NCBI at </w:t>
      </w:r>
      <w:hyperlink r:id="rId15" w:history="1">
        <w:r w:rsidR="00AF546D" w:rsidRPr="00E43BFF">
          <w:rPr>
            <w:rStyle w:val="Hyperlink"/>
            <w:rFonts w:eastAsia="Times New Roman"/>
            <w:snapToGrid w:val="0"/>
          </w:rPr>
          <w:t>https://www.ncbi.nlm.nih.gov/bioproject/622249</w:t>
        </w:r>
      </w:hyperlink>
      <w:r w:rsidR="00AF546D" w:rsidRPr="00E43BFF">
        <w:rPr>
          <w:rFonts w:eastAsia="Times New Roman"/>
          <w:snapToGrid w:val="0"/>
        </w:rPr>
        <w:t xml:space="preserve">, under </w:t>
      </w:r>
      <w:proofErr w:type="spellStart"/>
      <w:r w:rsidR="00AF546D" w:rsidRPr="00E43BFF">
        <w:rPr>
          <w:rFonts w:eastAsia="Times New Roman"/>
          <w:snapToGrid w:val="0"/>
        </w:rPr>
        <w:t>BioProject</w:t>
      </w:r>
      <w:proofErr w:type="spellEnd"/>
      <w:r w:rsidR="00AF546D" w:rsidRPr="00E43BFF">
        <w:rPr>
          <w:rFonts w:eastAsia="Times New Roman"/>
          <w:snapToGrid w:val="0"/>
        </w:rPr>
        <w:t xml:space="preserve"> PRJNA622249, and the updated assembly is openly available in NCBI at </w:t>
      </w:r>
      <w:hyperlink r:id="rId16" w:history="1">
        <w:r w:rsidR="00AF546D" w:rsidRPr="00E43BFF">
          <w:rPr>
            <w:rStyle w:val="Hyperlink"/>
            <w:rFonts w:eastAsia="Times New Roman"/>
            <w:snapToGrid w:val="0"/>
          </w:rPr>
          <w:t>https://www.ncbi.nlm.nih.gov/assembly/GCA_022539355.2/</w:t>
        </w:r>
      </w:hyperlink>
      <w:r w:rsidR="00AF546D" w:rsidRPr="00E43BFF">
        <w:rPr>
          <w:rFonts w:eastAsia="Times New Roman"/>
          <w:snapToGrid w:val="0"/>
        </w:rPr>
        <w:t xml:space="preserve"> with GenBank assembly accession number GCA_022539355.2. </w:t>
      </w:r>
      <w:r w:rsidR="00AF546D">
        <w:t>This improved genome assembly will increase our ability to resolve Pacific halibut population structure at a fine scale using the proposed approach (Section 1.3.2)</w:t>
      </w:r>
      <w:r w:rsidR="00AF546D" w:rsidRPr="00B85B7C">
        <w:t>.</w:t>
      </w:r>
    </w:p>
    <w:p w14:paraId="099E1116" w14:textId="77777777" w:rsidR="00AF546D" w:rsidRPr="00E43BFF" w:rsidRDefault="00AF546D" w:rsidP="00AF546D">
      <w:pPr>
        <w:pStyle w:val="ListParagraph"/>
        <w:ind w:left="1620"/>
        <w:rPr>
          <w:rFonts w:eastAsia="Times New Roman"/>
          <w:snapToGrid w:val="0"/>
          <w:u w:val="single"/>
        </w:rPr>
      </w:pPr>
    </w:p>
    <w:p w14:paraId="10022A4C" w14:textId="59EAD331" w:rsidR="00AF546D" w:rsidRPr="00E43BFF" w:rsidRDefault="00AF546D" w:rsidP="00AF546D">
      <w:pPr>
        <w:pStyle w:val="ListParagraph"/>
        <w:ind w:left="1620"/>
        <w:rPr>
          <w:rFonts w:eastAsia="Times New Roman"/>
          <w:snapToGrid w:val="0"/>
        </w:rPr>
      </w:pPr>
      <w:r w:rsidRPr="00E43BFF">
        <w:rPr>
          <w:rFonts w:eastAsia="Times New Roman"/>
          <w:snapToGrid w:val="0"/>
        </w:rPr>
        <w:t>Using the updated genome assembly, genome-wide analyses of sex-specific genetic variation</w:t>
      </w:r>
      <w:r w:rsidR="000E396B">
        <w:rPr>
          <w:rFonts w:eastAsia="Times New Roman"/>
          <w:snapToGrid w:val="0"/>
        </w:rPr>
        <w:t xml:space="preserve"> was</w:t>
      </w:r>
      <w:r w:rsidR="000E396B" w:rsidRPr="00E43BFF">
        <w:rPr>
          <w:rFonts w:eastAsia="Times New Roman"/>
          <w:snapToGrid w:val="0"/>
        </w:rPr>
        <w:t xml:space="preserve"> conducted </w:t>
      </w:r>
      <w:r w:rsidRPr="00E43BFF">
        <w:rPr>
          <w:rFonts w:eastAsia="Times New Roman"/>
          <w:snapToGrid w:val="0"/>
        </w:rPr>
        <w:t xml:space="preserve">by mapping </w:t>
      </w:r>
      <w:r w:rsidRPr="00E43BFF">
        <w:rPr>
          <w:rFonts w:eastAsia="Times New Roman"/>
          <w:iCs/>
          <w:snapToGrid w:val="0"/>
        </w:rPr>
        <w:t xml:space="preserve">reads from male and female pools to the Pacific halibut genome assembly. </w:t>
      </w:r>
      <w:r w:rsidR="000E396B">
        <w:rPr>
          <w:rFonts w:eastAsia="Times New Roman"/>
          <w:iCs/>
          <w:snapToGrid w:val="0"/>
        </w:rPr>
        <w:t>A</w:t>
      </w:r>
      <w:r w:rsidRPr="00E43BFF">
        <w:rPr>
          <w:rFonts w:eastAsia="Times New Roman"/>
          <w:snapToGrid w:val="0"/>
        </w:rPr>
        <w:t xml:space="preserve"> potential sex-determining region of approximately 12 Mb </w:t>
      </w:r>
      <w:r w:rsidR="000E396B">
        <w:rPr>
          <w:rFonts w:eastAsia="Times New Roman"/>
          <w:snapToGrid w:val="0"/>
        </w:rPr>
        <w:t xml:space="preserve">was identified </w:t>
      </w:r>
      <w:r w:rsidR="000E396B" w:rsidRPr="00E43BFF">
        <w:rPr>
          <w:rFonts w:eastAsia="Times New Roman"/>
          <w:snapToGrid w:val="0"/>
        </w:rPr>
        <w:t>in chromosome 9</w:t>
      </w:r>
      <w:r w:rsidR="000E396B">
        <w:rPr>
          <w:rFonts w:eastAsia="Times New Roman"/>
          <w:snapToGrid w:val="0"/>
        </w:rPr>
        <w:t>,</w:t>
      </w:r>
      <w:r w:rsidR="000E396B" w:rsidRPr="00E43BFF">
        <w:rPr>
          <w:rFonts w:eastAsia="Times New Roman"/>
          <w:snapToGrid w:val="0"/>
        </w:rPr>
        <w:t xml:space="preserve"> </w:t>
      </w:r>
      <w:r w:rsidRPr="00E43BFF">
        <w:rPr>
          <w:rFonts w:eastAsia="Times New Roman"/>
          <w:snapToGrid w:val="0"/>
        </w:rPr>
        <w:t xml:space="preserve">containing a high density of female-specific SNPs. Within this sex-determining region, we identified among the annotated genes a potential candidate for the master sex-determining gene in Pacific halibut. </w:t>
      </w:r>
      <w:r w:rsidRPr="00E43BFF">
        <w:rPr>
          <w:rFonts w:eastAsia="Times New Roman"/>
          <w:iCs/>
          <w:snapToGrid w:val="0"/>
        </w:rPr>
        <w:t xml:space="preserve">Mapping of previously identified Pacific halibut RAD-tags associated with sex </w:t>
      </w:r>
      <w:r w:rsidRPr="00E43BFF">
        <w:rPr>
          <w:rFonts w:eastAsia="Times New Roman"/>
          <w:iCs/>
          <w:snapToGrid w:val="0"/>
        </w:rPr>
        <w:fldChar w:fldCharType="begin"/>
      </w:r>
      <w:r w:rsidRPr="00E43BFF">
        <w:rPr>
          <w:rFonts w:eastAsia="Times New Roman"/>
          <w:iCs/>
          <w:snapToGrid w:val="0"/>
        </w:rPr>
        <w:instrText xml:space="preserve"> ADDIN EN.CITE &lt;EndNote&gt;&lt;Cite&gt;&lt;Author&gt;Drinan&lt;/Author&gt;&lt;Year&gt;2018&lt;/Year&gt;&lt;RecNum&gt;12&lt;/RecNum&gt;&lt;DisplayText&gt;(Drinan et al., 2018)&lt;/DisplayText&gt;&lt;record&gt;&lt;rec-number&gt;12&lt;/rec-number&gt;&lt;foreign-keys&gt;&lt;key app="EN" db-id="vr5rxet2ivaevle2dd6x9fpptx9e0e5pr05e" timestamp="1635872962"&gt;12&lt;/key&gt;&lt;/foreign-keys&gt;&lt;ref-type name="Journal Article"&gt;17&lt;/ref-type&gt;&lt;contributors&gt;&lt;authors&gt;&lt;author&gt;Drinan, Daniel P.&lt;/author&gt;&lt;author&gt;Loher, Timothy&lt;/author&gt;&lt;author&gt;Hauser, Lorenz&lt;/author&gt;&lt;/authors&gt;&lt;/contributors&gt;&lt;titles&gt;&lt;title&gt;Identification of Genomic Regions Associated With Sex in Pacific Halibut&lt;/title&gt;&lt;secondary-title&gt;Journal of Heredity&lt;/secondary-title&gt;&lt;/titles&gt;&lt;pages&gt;326-332&lt;/pages&gt;&lt;volume&gt;109&lt;/volume&gt;&lt;number&gt;3&lt;/number&gt;&lt;keywords&gt;&lt;keyword&gt;Pacific halibut&lt;/keyword&gt;&lt;keyword&gt;RAD&lt;/keyword&gt;&lt;keyword&gt;comparative genomics&lt;/keyword&gt;&lt;keyword&gt;fisheries&lt;/keyword&gt;&lt;keyword&gt;sex determination&lt;/keyword&gt;&lt;keyword&gt;sex identification&lt;/keyword&gt;&lt;/keywords&gt;&lt;dates&gt;&lt;year&gt;2018&lt;/year&gt;&lt;/dates&gt;&lt;urls&gt;&lt;related-urls&gt;&lt;url&gt;https://academic.oup.com/jhered/article/109/3/326/4609799&lt;/url&gt;&lt;/related-urls&gt;&lt;/urls&gt;&lt;electronic-resource-num&gt;10.1093/jhered/esx102&lt;/electronic-resource-num&gt;&lt;/record&gt;&lt;/Cite&gt;&lt;/EndNote&gt;</w:instrText>
      </w:r>
      <w:r w:rsidRPr="00E43BFF">
        <w:rPr>
          <w:rFonts w:eastAsia="Times New Roman"/>
          <w:iCs/>
          <w:snapToGrid w:val="0"/>
        </w:rPr>
        <w:fldChar w:fldCharType="separate"/>
      </w:r>
      <w:r w:rsidRPr="00E43BFF">
        <w:rPr>
          <w:rFonts w:eastAsia="Times New Roman"/>
          <w:iCs/>
          <w:snapToGrid w:val="0"/>
        </w:rPr>
        <w:t>(Drinan et al., 2018)</w:t>
      </w:r>
      <w:r w:rsidRPr="00E43BFF">
        <w:rPr>
          <w:rFonts w:eastAsia="Times New Roman"/>
          <w:snapToGrid w:val="0"/>
        </w:rPr>
        <w:fldChar w:fldCharType="end"/>
      </w:r>
      <w:r w:rsidRPr="00E43BFF">
        <w:rPr>
          <w:rFonts w:eastAsia="Times New Roman"/>
          <w:iCs/>
          <w:snapToGrid w:val="0"/>
        </w:rPr>
        <w:t xml:space="preserve"> to the updated Pacific halibut genome assembly resulted in the alignment of </w:t>
      </w:r>
      <w:r w:rsidRPr="00E43BFF">
        <w:rPr>
          <w:rFonts w:eastAsia="Times New Roman"/>
          <w:snapToGrid w:val="0"/>
        </w:rPr>
        <w:t>55 of the 56 RAD-tags, all of which mapped to the putative SD region, including the two tags containing the sex-linked markers currently used for genetic sex identification (</w:t>
      </w:r>
      <w:r w:rsidR="007E321F">
        <w:rPr>
          <w:rFonts w:eastAsia="Times New Roman"/>
          <w:snapToGrid w:val="0"/>
        </w:rPr>
        <w:t xml:space="preserve">Section </w:t>
      </w:r>
      <w:r w:rsidRPr="00E43BFF">
        <w:rPr>
          <w:rFonts w:eastAsia="Times New Roman"/>
          <w:snapToGrid w:val="0"/>
        </w:rPr>
        <w:t>2.</w:t>
      </w:r>
      <w:r w:rsidR="007E321F">
        <w:rPr>
          <w:rFonts w:eastAsia="Times New Roman"/>
          <w:snapToGrid w:val="0"/>
        </w:rPr>
        <w:t>2</w:t>
      </w:r>
      <w:r w:rsidRPr="00E43BFF">
        <w:rPr>
          <w:rFonts w:eastAsia="Times New Roman"/>
          <w:snapToGrid w:val="0"/>
        </w:rPr>
        <w:t>)</w:t>
      </w:r>
      <w:r w:rsidR="009765D8">
        <w:rPr>
          <w:rFonts w:eastAsia="Times New Roman"/>
          <w:snapToGrid w:val="0"/>
        </w:rPr>
        <w:t xml:space="preserve"> (Jasonowicz et al., 2022: </w:t>
      </w:r>
      <w:hyperlink r:id="rId17" w:history="1">
        <w:r w:rsidR="009765D8" w:rsidRPr="00077236">
          <w:rPr>
            <w:rStyle w:val="Hyperlink"/>
          </w:rPr>
          <w:t>https://doi.org/10.1111/1755-0998.13641</w:t>
        </w:r>
      </w:hyperlink>
      <w:r w:rsidR="009765D8">
        <w:rPr>
          <w:rStyle w:val="Hyperlink"/>
        </w:rPr>
        <w:t>)</w:t>
      </w:r>
      <w:r w:rsidRPr="00E43BFF">
        <w:rPr>
          <w:rFonts w:eastAsia="Times New Roman"/>
          <w:snapToGrid w:val="0"/>
        </w:rPr>
        <w:t>.</w:t>
      </w:r>
    </w:p>
    <w:p w14:paraId="3E1D6D04" w14:textId="77777777" w:rsidR="00AF546D" w:rsidRPr="00ED4970" w:rsidRDefault="00AF546D" w:rsidP="00AF546D">
      <w:pPr>
        <w:pStyle w:val="ListParagraph"/>
        <w:ind w:left="1620"/>
        <w:rPr>
          <w:rFonts w:eastAsia="Times New Roman"/>
          <w:snapToGrid w:val="0"/>
        </w:rPr>
      </w:pPr>
    </w:p>
    <w:p w14:paraId="09EC1044" w14:textId="7BA4F5FA" w:rsidR="00AF546D" w:rsidRPr="00ED4970" w:rsidRDefault="00AF546D" w:rsidP="00AF546D">
      <w:pPr>
        <w:pStyle w:val="ListParagraph"/>
        <w:numPr>
          <w:ilvl w:val="2"/>
          <w:numId w:val="21"/>
        </w:numPr>
        <w:spacing w:before="0"/>
        <w:ind w:left="1620"/>
        <w:rPr>
          <w:rFonts w:eastAsia="Times New Roman"/>
          <w:snapToGrid w:val="0"/>
        </w:rPr>
      </w:pPr>
      <w:r w:rsidRPr="004045A1">
        <w:rPr>
          <w:rFonts w:eastAsia="Times New Roman"/>
          <w:snapToGrid w:val="0"/>
          <w:u w:val="single"/>
        </w:rPr>
        <w:t>Studies to resolve the genetic structure of the Pacific halibut population in the Convention Area</w:t>
      </w:r>
      <w:r w:rsidRPr="004045A1">
        <w:rPr>
          <w:rFonts w:eastAsia="Times New Roman"/>
          <w:snapToGrid w:val="0"/>
        </w:rPr>
        <w:t xml:space="preserve">. </w:t>
      </w:r>
      <w:r w:rsidR="000E396B">
        <w:t>With</w:t>
      </w:r>
      <w:r w:rsidRPr="004045A1">
        <w:t xml:space="preserve"> funding from the North Pacific Research Board (NPRB Project No. 2110</w:t>
      </w:r>
      <w:hyperlink w:anchor="APP5" w:history="1"/>
      <w:r w:rsidRPr="004045A1">
        <w:t>)</w:t>
      </w:r>
      <w:r w:rsidR="000E396B">
        <w:t>, the</w:t>
      </w:r>
      <w:r w:rsidRPr="006A54BE">
        <w:rPr>
          <w:rFonts w:eastAsia="Times New Roman"/>
          <w:snapToGrid w:val="0"/>
        </w:rPr>
        <w:t xml:space="preserve"> IPHC Secretariat has generated genomic sequences from 610 individual Pacific halibut collected from five </w:t>
      </w:r>
      <w:r>
        <w:rPr>
          <w:rFonts w:eastAsia="Times New Roman"/>
          <w:snapToGrid w:val="0"/>
        </w:rPr>
        <w:t xml:space="preserve">spawning </w:t>
      </w:r>
      <w:r>
        <w:rPr>
          <w:rFonts w:eastAsia="Times New Roman"/>
          <w:snapToGrid w:val="0"/>
        </w:rPr>
        <w:lastRenderedPageBreak/>
        <w:t xml:space="preserve">groups in different </w:t>
      </w:r>
      <w:r w:rsidRPr="006A54BE">
        <w:rPr>
          <w:rFonts w:eastAsia="Times New Roman"/>
          <w:snapToGrid w:val="0"/>
        </w:rPr>
        <w:t>geographic areas (Figure 1) using low-coverage whole-genome resequencing (</w:t>
      </w:r>
      <w:proofErr w:type="spellStart"/>
      <w:r w:rsidRPr="006A54BE">
        <w:rPr>
          <w:rFonts w:eastAsia="Times New Roman"/>
          <w:snapToGrid w:val="0"/>
        </w:rPr>
        <w:t>lcWGR</w:t>
      </w:r>
      <w:proofErr w:type="spellEnd"/>
      <w:r w:rsidRPr="006A54BE">
        <w:rPr>
          <w:rFonts w:eastAsia="Times New Roman"/>
          <w:snapToGrid w:val="0"/>
        </w:rPr>
        <w:t xml:space="preserve">). </w:t>
      </w:r>
      <w:r>
        <w:rPr>
          <w:rFonts w:eastAsia="Times New Roman"/>
          <w:snapToGrid w:val="0"/>
        </w:rPr>
        <w:t xml:space="preserve">The </w:t>
      </w:r>
      <w:proofErr w:type="spellStart"/>
      <w:r>
        <w:rPr>
          <w:rFonts w:eastAsia="Times New Roman"/>
          <w:snapToGrid w:val="0"/>
        </w:rPr>
        <w:t>lcWGR</w:t>
      </w:r>
      <w:proofErr w:type="spellEnd"/>
      <w:r>
        <w:rPr>
          <w:rFonts w:eastAsia="Times New Roman"/>
          <w:snapToGrid w:val="0"/>
        </w:rPr>
        <w:t xml:space="preserve"> approach</w:t>
      </w:r>
      <w:r w:rsidRPr="006A54BE">
        <w:rPr>
          <w:rFonts w:eastAsia="Times New Roman"/>
          <w:snapToGrid w:val="0"/>
        </w:rPr>
        <w:t xml:space="preserve"> offers a cost-effective way to develop a large number (~millions) of single nucleotide polymorphisms (SNPs) that can be used as genetic markers to evaluate population structure with very high resolution. Using this method, </w:t>
      </w:r>
      <w:r>
        <w:rPr>
          <w:rFonts w:eastAsia="Times New Roman"/>
          <w:snapToGrid w:val="0"/>
        </w:rPr>
        <w:t>the IPHC Secretariat is</w:t>
      </w:r>
      <w:r w:rsidRPr="006A54BE">
        <w:rPr>
          <w:rFonts w:eastAsia="Times New Roman"/>
          <w:snapToGrid w:val="0"/>
        </w:rPr>
        <w:t xml:space="preserve"> working to establish a baseline of genetic diversity using sample collections made during the spawning season and </w:t>
      </w:r>
      <w:r>
        <w:rPr>
          <w:rFonts w:eastAsia="Times New Roman"/>
          <w:snapToGrid w:val="0"/>
        </w:rPr>
        <w:t>will</w:t>
      </w:r>
      <w:r w:rsidRPr="006A54BE">
        <w:rPr>
          <w:rFonts w:eastAsia="Times New Roman"/>
          <w:snapToGrid w:val="0"/>
        </w:rPr>
        <w:t xml:space="preserve"> use this data set to develop genomic tools (</w:t>
      </w:r>
      <w:proofErr w:type="gramStart"/>
      <w:r w:rsidRPr="006A54BE">
        <w:rPr>
          <w:rFonts w:eastAsia="Times New Roman"/>
          <w:snapToGrid w:val="0"/>
        </w:rPr>
        <w:t>i.e.</w:t>
      </w:r>
      <w:proofErr w:type="gramEnd"/>
      <w:r w:rsidRPr="006A54BE">
        <w:rPr>
          <w:rFonts w:eastAsia="Times New Roman"/>
          <w:snapToGrid w:val="0"/>
        </w:rPr>
        <w:t xml:space="preserve"> genetic marker panels) that can be </w:t>
      </w:r>
      <w:r>
        <w:rPr>
          <w:rFonts w:eastAsia="Times New Roman"/>
          <w:snapToGrid w:val="0"/>
        </w:rPr>
        <w:t>applied</w:t>
      </w:r>
      <w:r w:rsidRPr="006A54BE">
        <w:rPr>
          <w:rFonts w:eastAsia="Times New Roman"/>
          <w:snapToGrid w:val="0"/>
        </w:rPr>
        <w:t xml:space="preserve"> to conduct mixed stock analysis and identify the population of origin for samples collected outside of the spawning season.</w:t>
      </w:r>
    </w:p>
    <w:p w14:paraId="4038C410" w14:textId="77777777" w:rsidR="00AF546D" w:rsidRPr="00ED4970" w:rsidRDefault="00AF546D" w:rsidP="00AF546D">
      <w:pPr>
        <w:pStyle w:val="ListParagraph"/>
        <w:ind w:left="1620"/>
        <w:rPr>
          <w:rFonts w:eastAsia="Times New Roman"/>
          <w:snapToGrid w:val="0"/>
        </w:rPr>
      </w:pPr>
    </w:p>
    <w:p w14:paraId="5CC67EF7" w14:textId="77777777" w:rsidR="00AF546D" w:rsidRPr="00ED4970" w:rsidRDefault="00AF546D" w:rsidP="00AF546D">
      <w:pPr>
        <w:pStyle w:val="ListParagraph"/>
        <w:ind w:left="1620"/>
        <w:rPr>
          <w:rFonts w:eastAsia="Times New Roman"/>
          <w:snapToGrid w:val="0"/>
        </w:rPr>
      </w:pPr>
    </w:p>
    <w:p w14:paraId="4601ABD0" w14:textId="77777777" w:rsidR="00AF546D" w:rsidRPr="00ED4970" w:rsidRDefault="00AF546D" w:rsidP="00AF546D">
      <w:pPr>
        <w:pStyle w:val="ListParagraph"/>
        <w:ind w:left="1620"/>
        <w:rPr>
          <w:rFonts w:eastAsia="Times New Roman"/>
          <w:snapToGrid w:val="0"/>
        </w:rPr>
      </w:pPr>
      <w:r w:rsidRPr="00ED4970">
        <w:rPr>
          <w:rFonts w:eastAsia="Times New Roman"/>
          <w:noProof/>
          <w:snapToGrid w:val="0"/>
        </w:rPr>
        <w:drawing>
          <wp:inline distT="0" distB="0" distL="0" distR="0" wp14:anchorId="5320C1D5" wp14:editId="2AB8F5A0">
            <wp:extent cx="4986655" cy="2517775"/>
            <wp:effectExtent l="0" t="0" r="4445"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6655" cy="2517775"/>
                    </a:xfrm>
                    <a:prstGeom prst="rect">
                      <a:avLst/>
                    </a:prstGeom>
                    <a:noFill/>
                  </pic:spPr>
                </pic:pic>
              </a:graphicData>
            </a:graphic>
          </wp:inline>
        </w:drawing>
      </w:r>
    </w:p>
    <w:p w14:paraId="49291B7C" w14:textId="77777777" w:rsidR="00AF546D" w:rsidRDefault="00AF546D" w:rsidP="00AF546D">
      <w:pPr>
        <w:pStyle w:val="ListParagraph"/>
        <w:ind w:left="1620"/>
        <w:rPr>
          <w:rFonts w:eastAsia="Times New Roman"/>
          <w:snapToGrid w:val="0"/>
        </w:rPr>
      </w:pPr>
    </w:p>
    <w:p w14:paraId="4910447B" w14:textId="77777777" w:rsidR="00AF546D" w:rsidRPr="007C4081" w:rsidRDefault="00AF546D" w:rsidP="00AF546D">
      <w:pPr>
        <w:ind w:left="1620" w:right="990"/>
        <w:rPr>
          <w:rFonts w:eastAsia="Times New Roman"/>
          <w:snapToGrid w:val="0"/>
        </w:rPr>
      </w:pPr>
      <w:r w:rsidRPr="0046724F">
        <w:rPr>
          <w:b/>
          <w:bCs/>
        </w:rPr>
        <w:t xml:space="preserve">Figure </w:t>
      </w:r>
      <w:r>
        <w:rPr>
          <w:b/>
          <w:bCs/>
        </w:rPr>
        <w:t>1</w:t>
      </w:r>
      <w:r w:rsidRPr="0046724F">
        <w:t xml:space="preserve">. </w:t>
      </w:r>
      <w:r w:rsidRPr="006A54BE">
        <w:rPr>
          <w:rFonts w:eastAsia="Times New Roman"/>
          <w:snapToGrid w:val="0"/>
        </w:rPr>
        <w:t xml:space="preserve">Map of sample collections made during the spawning season used for genomic analysis of population structure in Pacific halibut in the </w:t>
      </w:r>
      <w:r>
        <w:rPr>
          <w:rFonts w:eastAsia="Times New Roman"/>
          <w:snapToGrid w:val="0"/>
        </w:rPr>
        <w:t>N</w:t>
      </w:r>
      <w:r w:rsidRPr="006A54BE">
        <w:rPr>
          <w:rFonts w:eastAsia="Times New Roman"/>
          <w:snapToGrid w:val="0"/>
        </w:rPr>
        <w:t>ortheast Pacific Ocean.</w:t>
      </w:r>
    </w:p>
    <w:p w14:paraId="101FF3C2" w14:textId="77777777" w:rsidR="00AF546D" w:rsidRPr="00ED4970" w:rsidRDefault="00AF546D" w:rsidP="00AF546D">
      <w:pPr>
        <w:pStyle w:val="ListParagraph"/>
        <w:ind w:left="1620"/>
        <w:rPr>
          <w:rFonts w:eastAsia="Times New Roman"/>
          <w:snapToGrid w:val="0"/>
        </w:rPr>
      </w:pPr>
    </w:p>
    <w:p w14:paraId="34D7217C" w14:textId="77777777" w:rsidR="00AF546D" w:rsidRPr="00195BED" w:rsidRDefault="00AF546D" w:rsidP="00AF546D">
      <w:pPr>
        <w:pStyle w:val="ListParagraph"/>
        <w:numPr>
          <w:ilvl w:val="0"/>
          <w:numId w:val="21"/>
        </w:numPr>
        <w:spacing w:before="0"/>
        <w:rPr>
          <w:rFonts w:eastAsia="Times New Roman"/>
          <w:snapToGrid w:val="0"/>
        </w:rPr>
      </w:pPr>
      <w:r w:rsidRPr="00195BED">
        <w:rPr>
          <w:rFonts w:eastAsia="Times New Roman"/>
          <w:snapToGrid w:val="0"/>
          <w:u w:val="single"/>
        </w:rPr>
        <w:t>Reproduction</w:t>
      </w:r>
      <w:r w:rsidRPr="00195BED">
        <w:rPr>
          <w:rFonts w:eastAsia="Times New Roman"/>
          <w:snapToGrid w:val="0"/>
        </w:rPr>
        <w:t xml:space="preserve">. </w:t>
      </w:r>
    </w:p>
    <w:p w14:paraId="3C2C5AE1" w14:textId="77777777" w:rsidR="00AF546D" w:rsidRPr="00195BED" w:rsidRDefault="00AF546D" w:rsidP="00AF546D">
      <w:pPr>
        <w:pStyle w:val="ListParagraph"/>
        <w:ind w:left="360"/>
        <w:rPr>
          <w:rFonts w:eastAsia="Times New Roman"/>
          <w:snapToGrid w:val="0"/>
        </w:rPr>
      </w:pPr>
    </w:p>
    <w:p w14:paraId="0CA7327F" w14:textId="748B532D" w:rsidR="00AF546D" w:rsidRPr="00195BED" w:rsidRDefault="00AF546D" w:rsidP="00AF546D">
      <w:pPr>
        <w:pStyle w:val="ListParagraph"/>
        <w:ind w:left="360"/>
        <w:rPr>
          <w:bCs/>
          <w:snapToGrid w:val="0"/>
        </w:rPr>
      </w:pPr>
      <w:r w:rsidRPr="00195BED">
        <w:rPr>
          <w:bCs/>
          <w:snapToGrid w:val="0"/>
        </w:rPr>
        <w:t xml:space="preserve">Research activities aim at </w:t>
      </w:r>
      <w:r w:rsidRPr="00195BED">
        <w:rPr>
          <w:rFonts w:eastAsia="Times New Roman"/>
          <w:snapToGrid w:val="0"/>
        </w:rPr>
        <w:t xml:space="preserve">providing information on key biological processes related to reproduction in Pacific halibut (maturity and fecundity) and to provide sex ratio information of Pacific halibut commercial landings. </w:t>
      </w:r>
    </w:p>
    <w:p w14:paraId="0548F3ED" w14:textId="77777777" w:rsidR="00AF546D" w:rsidRPr="00195BED" w:rsidRDefault="00AF546D" w:rsidP="00AF546D">
      <w:pPr>
        <w:pStyle w:val="ListParagraph"/>
        <w:ind w:left="360"/>
        <w:rPr>
          <w:rFonts w:eastAsia="Times New Roman"/>
          <w:snapToGrid w:val="0"/>
        </w:rPr>
      </w:pPr>
    </w:p>
    <w:p w14:paraId="76533664" w14:textId="420D7DB3" w:rsidR="00AF546D" w:rsidRPr="00CE2C56" w:rsidRDefault="004E0F1D" w:rsidP="009765D8">
      <w:pPr>
        <w:pStyle w:val="ListParagraph"/>
        <w:numPr>
          <w:ilvl w:val="1"/>
          <w:numId w:val="21"/>
        </w:numPr>
        <w:spacing w:before="0"/>
        <w:ind w:left="720"/>
        <w:rPr>
          <w:rFonts w:eastAsia="Times New Roman"/>
          <w:snapToGrid w:val="0"/>
        </w:rPr>
      </w:pPr>
      <w:r>
        <w:rPr>
          <w:rFonts w:eastAsia="Times New Roman"/>
          <w:snapToGrid w:val="0"/>
          <w:u w:val="single"/>
        </w:rPr>
        <w:t>Female m</w:t>
      </w:r>
      <w:r w:rsidR="00AF546D" w:rsidRPr="00195BED">
        <w:rPr>
          <w:rFonts w:eastAsia="Times New Roman"/>
          <w:snapToGrid w:val="0"/>
          <w:u w:val="single"/>
        </w:rPr>
        <w:t xml:space="preserve">aturity </w:t>
      </w:r>
      <w:r>
        <w:rPr>
          <w:rFonts w:eastAsia="Times New Roman"/>
          <w:snapToGrid w:val="0"/>
          <w:u w:val="single"/>
        </w:rPr>
        <w:t xml:space="preserve">and fecundity </w:t>
      </w:r>
      <w:r w:rsidR="00AF546D" w:rsidRPr="00195BED">
        <w:rPr>
          <w:rFonts w:eastAsia="Times New Roman"/>
          <w:snapToGrid w:val="0"/>
          <w:u w:val="single"/>
        </w:rPr>
        <w:t>assessment.</w:t>
      </w:r>
      <w:r w:rsidR="00AF546D" w:rsidRPr="00195BED">
        <w:rPr>
          <w:rFonts w:eastAsia="Times New Roman"/>
          <w:snapToGrid w:val="0"/>
        </w:rPr>
        <w:t xml:space="preserve"> </w:t>
      </w:r>
      <w:r w:rsidR="00AF546D" w:rsidRPr="00CE2C56">
        <w:rPr>
          <w:rFonts w:eastAsia="Times New Roman"/>
          <w:snapToGrid w:val="0"/>
        </w:rPr>
        <w:t xml:space="preserve">Recent </w:t>
      </w:r>
      <w:r w:rsidR="00AF546D" w:rsidRPr="00CE2C56">
        <w:t xml:space="preserve">sensitivity analyses have shown the importance of changes in </w:t>
      </w:r>
      <w:r w:rsidR="001D57C1" w:rsidRPr="00CE2C56">
        <w:t xml:space="preserve">maturity schedules and/or due to skip spawning changes in </w:t>
      </w:r>
      <w:r w:rsidR="00AF546D" w:rsidRPr="00CE2C56">
        <w:t xml:space="preserve">spawning output for stock assessment (Stewart and Hicks, 2018). Information </w:t>
      </w:r>
      <w:r w:rsidR="00AF546D">
        <w:t>on</w:t>
      </w:r>
      <w:r w:rsidR="00AF546D" w:rsidRPr="00CE2C56">
        <w:t xml:space="preserve"> these key reproductive parameters provides direct input to stock assessment. </w:t>
      </w:r>
      <w:r w:rsidR="00AF546D" w:rsidRPr="00CE2C56">
        <w:rPr>
          <w:rFonts w:eastAsia="Times New Roman"/>
          <w:snapToGrid w:val="0"/>
        </w:rPr>
        <w:t xml:space="preserve">In order to fill existing knowledge gaps related to the reproductive biology of female Pacific halibut, research efforts are devoted to </w:t>
      </w:r>
      <w:proofErr w:type="gramStart"/>
      <w:r w:rsidR="00AF546D" w:rsidRPr="00CE2C56">
        <w:rPr>
          <w:rFonts w:eastAsia="Times New Roman"/>
          <w:snapToGrid w:val="0"/>
        </w:rPr>
        <w:t>characterize</w:t>
      </w:r>
      <w:proofErr w:type="gramEnd"/>
      <w:r w:rsidR="00AF546D" w:rsidRPr="00CE2C56">
        <w:rPr>
          <w:rFonts w:eastAsia="Times New Roman"/>
          <w:snapToGrid w:val="0"/>
        </w:rPr>
        <w:t xml:space="preserve"> female maturity and fecundity in this species. Specific objectives of current studies include: 1) histological assessment of the temporal progression of </w:t>
      </w:r>
      <w:r w:rsidR="00AF546D" w:rsidRPr="00CE2C56">
        <w:rPr>
          <w:rFonts w:eastAsia="Times New Roman"/>
          <w:snapToGrid w:val="0"/>
        </w:rPr>
        <w:lastRenderedPageBreak/>
        <w:t xml:space="preserve">female developmental stages and reproductive phases throughout an entire reproductive cycle; 2) update of maturity schedules based on histological-based data; </w:t>
      </w:r>
      <w:proofErr w:type="gramStart"/>
      <w:r w:rsidR="00AF546D" w:rsidRPr="00CE2C56">
        <w:rPr>
          <w:rFonts w:eastAsia="Times New Roman"/>
          <w:snapToGrid w:val="0"/>
        </w:rPr>
        <w:t>and,</w:t>
      </w:r>
      <w:proofErr w:type="gramEnd"/>
      <w:r w:rsidR="00AF546D" w:rsidRPr="00CE2C56">
        <w:rPr>
          <w:rFonts w:eastAsia="Times New Roman"/>
          <w:snapToGrid w:val="0"/>
        </w:rPr>
        <w:t xml:space="preserve"> 3) fecundity determinations.</w:t>
      </w:r>
    </w:p>
    <w:p w14:paraId="715A9E6D" w14:textId="77777777" w:rsidR="00AF546D" w:rsidRPr="00195BED" w:rsidRDefault="00AF546D" w:rsidP="00AF546D">
      <w:pPr>
        <w:pStyle w:val="ListParagraph"/>
        <w:ind w:left="900"/>
        <w:rPr>
          <w:rFonts w:eastAsia="Times New Roman"/>
          <w:snapToGrid w:val="0"/>
        </w:rPr>
      </w:pPr>
    </w:p>
    <w:p w14:paraId="3C7C9E6E" w14:textId="6AEFCAB2" w:rsidR="00AF546D" w:rsidRPr="00195BED" w:rsidRDefault="00AF546D" w:rsidP="00AF546D">
      <w:pPr>
        <w:pStyle w:val="ListParagraph"/>
        <w:numPr>
          <w:ilvl w:val="2"/>
          <w:numId w:val="21"/>
        </w:numPr>
        <w:spacing w:before="0"/>
        <w:ind w:left="1620"/>
        <w:rPr>
          <w:rFonts w:eastAsia="Times New Roman"/>
          <w:snapToGrid w:val="0"/>
        </w:rPr>
      </w:pPr>
      <w:r w:rsidRPr="00195BED">
        <w:rPr>
          <w:rFonts w:eastAsia="Times New Roman"/>
          <w:snapToGrid w:val="0"/>
          <w:u w:val="single"/>
        </w:rPr>
        <w:t>Histological assessment of the temporal progression of female developmental stages and reproductive phases throughout an entire reproductive cycle</w:t>
      </w:r>
      <w:r w:rsidRPr="00195BED">
        <w:rPr>
          <w:rFonts w:eastAsia="Times New Roman"/>
          <w:snapToGrid w:val="0"/>
        </w:rPr>
        <w:t xml:space="preserve">. The IPHC Secretariat </w:t>
      </w:r>
      <w:r>
        <w:rPr>
          <w:rFonts w:eastAsia="Times New Roman"/>
          <w:snapToGrid w:val="0"/>
        </w:rPr>
        <w:t>completed</w:t>
      </w:r>
      <w:r w:rsidRPr="00195BED">
        <w:rPr>
          <w:rFonts w:eastAsia="Times New Roman"/>
          <w:snapToGrid w:val="0"/>
        </w:rPr>
        <w:t xml:space="preserve"> </w:t>
      </w:r>
      <w:r w:rsidR="002D36E0">
        <w:rPr>
          <w:rFonts w:eastAsia="Times New Roman"/>
          <w:snapToGrid w:val="0"/>
        </w:rPr>
        <w:t xml:space="preserve">in 2022 </w:t>
      </w:r>
      <w:r w:rsidRPr="00195BED">
        <w:rPr>
          <w:rFonts w:eastAsia="Times New Roman"/>
          <w:snapToGrid w:val="0"/>
        </w:rPr>
        <w:t>the first detailed examination of temporal changes in female ovarian developmental stages, reproductive phases, and biological indicators of Pacific halibut reproductive development. The results obtained by ovarian histological examination indicate that female Pacific halibut follow an annual reproductive cycle involving a clear progression of female developmental stages towards spawning within a single year</w:t>
      </w:r>
      <w:r w:rsidR="004A0D54">
        <w:rPr>
          <w:rFonts w:eastAsia="Times New Roman"/>
          <w:snapToGrid w:val="0"/>
        </w:rPr>
        <w:t xml:space="preserve"> (Fish et al., 2020: </w:t>
      </w:r>
      <w:hyperlink r:id="rId19" w:history="1">
        <w:r w:rsidR="004A0D54" w:rsidRPr="002E4838">
          <w:rPr>
            <w:rStyle w:val="Hyperlink"/>
            <w:rFonts w:eastAsia="Times New Roman"/>
            <w:snapToGrid w:val="0"/>
          </w:rPr>
          <w:t>https://doi.org/10.1111/jfb.14551</w:t>
        </w:r>
      </w:hyperlink>
      <w:r w:rsidR="004A0D54">
        <w:rPr>
          <w:rFonts w:eastAsia="Times New Roman"/>
          <w:snapToGrid w:val="0"/>
        </w:rPr>
        <w:t xml:space="preserve">); Fish et al., 2022: </w:t>
      </w:r>
      <w:hyperlink r:id="rId20" w:history="1">
        <w:r w:rsidR="004A0D54" w:rsidRPr="005D7DE3">
          <w:rPr>
            <w:rStyle w:val="Hyperlink"/>
            <w:rFonts w:eastAsia="Times New Roman"/>
            <w:snapToGrid w:val="0"/>
            <w:color w:val="0000FF"/>
          </w:rPr>
          <w:t>https://doi.org/10.3389/fmars.2022.801759</w:t>
        </w:r>
      </w:hyperlink>
      <w:r w:rsidR="004A0D54">
        <w:rPr>
          <w:rStyle w:val="Hyperlink"/>
          <w:rFonts w:eastAsia="Times New Roman"/>
          <w:snapToGrid w:val="0"/>
        </w:rPr>
        <w:t>)</w:t>
      </w:r>
      <w:r w:rsidRPr="00195BED">
        <w:rPr>
          <w:rFonts w:eastAsia="Times New Roman"/>
          <w:snapToGrid w:val="0"/>
        </w:rPr>
        <w:t xml:space="preserve">. </w:t>
      </w:r>
    </w:p>
    <w:p w14:paraId="13D6ABEB" w14:textId="77777777" w:rsidR="00AF546D" w:rsidRPr="00195BED" w:rsidRDefault="00AF546D" w:rsidP="00AF546D">
      <w:pPr>
        <w:pStyle w:val="ListParagraph"/>
        <w:ind w:left="1620"/>
        <w:rPr>
          <w:rFonts w:eastAsia="Times New Roman"/>
          <w:snapToGrid w:val="0"/>
        </w:rPr>
      </w:pPr>
    </w:p>
    <w:p w14:paraId="2D8E1490" w14:textId="0F5F19A5" w:rsidR="00AF546D" w:rsidRPr="00195BED" w:rsidRDefault="00AF546D" w:rsidP="00AF546D">
      <w:pPr>
        <w:pStyle w:val="ListParagraph"/>
        <w:numPr>
          <w:ilvl w:val="2"/>
          <w:numId w:val="21"/>
        </w:numPr>
        <w:spacing w:before="0"/>
        <w:ind w:left="1620"/>
        <w:rPr>
          <w:rFonts w:eastAsia="Times New Roman"/>
          <w:snapToGrid w:val="0"/>
        </w:rPr>
      </w:pPr>
      <w:r w:rsidRPr="00195BED">
        <w:rPr>
          <w:rFonts w:eastAsia="Times New Roman"/>
          <w:snapToGrid w:val="0"/>
          <w:u w:val="single"/>
        </w:rPr>
        <w:t>Update of maturity schedules based on histological-based data</w:t>
      </w:r>
      <w:r w:rsidRPr="00195BED">
        <w:rPr>
          <w:rFonts w:eastAsia="Times New Roman"/>
          <w:snapToGrid w:val="0"/>
        </w:rPr>
        <w:t xml:space="preserve">. </w:t>
      </w:r>
      <w:r>
        <w:rPr>
          <w:rFonts w:eastAsia="Times New Roman"/>
          <w:snapToGrid w:val="0"/>
        </w:rPr>
        <w:t xml:space="preserve">The IPHC Secretariat is undertaking studies to revise maturity schedules </w:t>
      </w:r>
      <w:r w:rsidR="002D36E0">
        <w:rPr>
          <w:rFonts w:eastAsia="Times New Roman"/>
          <w:snapToGrid w:val="0"/>
        </w:rPr>
        <w:t>in Pacific halibut females</w:t>
      </w:r>
      <w:r>
        <w:rPr>
          <w:rFonts w:eastAsia="Times New Roman"/>
          <w:snapToGrid w:val="0"/>
        </w:rPr>
        <w:t xml:space="preserve"> through histological (</w:t>
      </w:r>
      <w:proofErr w:type="gramStart"/>
      <w:r>
        <w:rPr>
          <w:rFonts w:eastAsia="Times New Roman"/>
          <w:snapToGrid w:val="0"/>
        </w:rPr>
        <w:t>i.e.</w:t>
      </w:r>
      <w:proofErr w:type="gramEnd"/>
      <w:r>
        <w:rPr>
          <w:rFonts w:eastAsia="Times New Roman"/>
          <w:snapToGrid w:val="0"/>
        </w:rPr>
        <w:t xml:space="preserve"> microscopic) characterization of maturity</w:t>
      </w:r>
      <w:r w:rsidR="004E0F1D">
        <w:rPr>
          <w:rFonts w:eastAsia="Times New Roman"/>
          <w:snapToGrid w:val="0"/>
        </w:rPr>
        <w:t xml:space="preserve"> based on studies described in 2.1.1</w:t>
      </w:r>
      <w:r>
        <w:rPr>
          <w:rFonts w:eastAsia="Times New Roman"/>
          <w:snapToGrid w:val="0"/>
        </w:rPr>
        <w:t xml:space="preserve">. The maturity schedule that is currently used in </w:t>
      </w:r>
      <w:r w:rsidR="002D36E0">
        <w:rPr>
          <w:rFonts w:eastAsia="Times New Roman"/>
          <w:snapToGrid w:val="0"/>
        </w:rPr>
        <w:t>stock assessment</w:t>
      </w:r>
      <w:r>
        <w:rPr>
          <w:rFonts w:eastAsia="Times New Roman"/>
          <w:snapToGrid w:val="0"/>
        </w:rPr>
        <w:t xml:space="preserve"> was based on past visual (</w:t>
      </w:r>
      <w:proofErr w:type="gramStart"/>
      <w:r>
        <w:rPr>
          <w:rFonts w:eastAsia="Times New Roman"/>
          <w:snapToGrid w:val="0"/>
        </w:rPr>
        <w:t>i.e.</w:t>
      </w:r>
      <w:proofErr w:type="gramEnd"/>
      <w:r>
        <w:rPr>
          <w:rFonts w:eastAsia="Times New Roman"/>
          <w:snapToGrid w:val="0"/>
        </w:rPr>
        <w:t xml:space="preserve"> macroscopic) maturity classifications in the field (FISS). </w:t>
      </w:r>
      <w:r w:rsidR="002D36E0">
        <w:rPr>
          <w:rFonts w:eastAsia="Times New Roman"/>
          <w:snapToGrid w:val="0"/>
        </w:rPr>
        <w:t>T</w:t>
      </w:r>
      <w:r w:rsidRPr="00195BED">
        <w:rPr>
          <w:rFonts w:eastAsia="Times New Roman"/>
          <w:snapToGrid w:val="0"/>
        </w:rPr>
        <w:t xml:space="preserve">he IPHC Secretariat </w:t>
      </w:r>
      <w:r>
        <w:rPr>
          <w:rFonts w:eastAsia="Times New Roman"/>
          <w:snapToGrid w:val="0"/>
        </w:rPr>
        <w:t>collected</w:t>
      </w:r>
      <w:r w:rsidRPr="00195BED">
        <w:rPr>
          <w:rFonts w:eastAsia="Times New Roman"/>
          <w:snapToGrid w:val="0"/>
        </w:rPr>
        <w:t xml:space="preserve"> ovarian samples for histology </w:t>
      </w:r>
      <w:r>
        <w:rPr>
          <w:rFonts w:eastAsia="Times New Roman"/>
          <w:snapToGrid w:val="0"/>
        </w:rPr>
        <w:t>in</w:t>
      </w:r>
      <w:r w:rsidRPr="00195BED">
        <w:rPr>
          <w:rFonts w:eastAsia="Times New Roman"/>
          <w:snapToGrid w:val="0"/>
        </w:rPr>
        <w:t xml:space="preserve"> the 2022 FISS</w:t>
      </w:r>
      <w:r>
        <w:rPr>
          <w:rFonts w:eastAsia="Times New Roman"/>
          <w:snapToGrid w:val="0"/>
        </w:rPr>
        <w:t xml:space="preserve"> </w:t>
      </w:r>
      <w:r w:rsidR="002D36E0">
        <w:rPr>
          <w:rFonts w:eastAsia="Times New Roman"/>
          <w:snapToGrid w:val="0"/>
        </w:rPr>
        <w:t>coastwide</w:t>
      </w:r>
      <w:r w:rsidR="004E0F1D">
        <w:rPr>
          <w:rFonts w:eastAsia="Times New Roman"/>
          <w:snapToGrid w:val="0"/>
        </w:rPr>
        <w:t xml:space="preserve"> (June to August)</w:t>
      </w:r>
      <w:r w:rsidRPr="00195BED">
        <w:rPr>
          <w:rFonts w:eastAsia="Times New Roman"/>
          <w:snapToGrid w:val="0"/>
        </w:rPr>
        <w:t>.</w:t>
      </w:r>
      <w:r>
        <w:rPr>
          <w:rFonts w:eastAsia="Times New Roman"/>
          <w:snapToGrid w:val="0"/>
        </w:rPr>
        <w:t xml:space="preserve"> Ovarian samples </w:t>
      </w:r>
      <w:r w:rsidR="002D36E0">
        <w:rPr>
          <w:rFonts w:eastAsia="Times New Roman"/>
          <w:snapToGrid w:val="0"/>
        </w:rPr>
        <w:t>have been</w:t>
      </w:r>
      <w:r>
        <w:rPr>
          <w:rFonts w:eastAsia="Times New Roman"/>
          <w:snapToGrid w:val="0"/>
        </w:rPr>
        <w:t xml:space="preserve"> processed for histology and are </w:t>
      </w:r>
      <w:r w:rsidR="002D36E0">
        <w:rPr>
          <w:rFonts w:eastAsia="Times New Roman"/>
          <w:snapToGrid w:val="0"/>
        </w:rPr>
        <w:t xml:space="preserve">currently being analyzed. </w:t>
      </w:r>
      <w:r>
        <w:rPr>
          <w:rFonts w:eastAsia="Times New Roman"/>
          <w:snapToGrid w:val="0"/>
        </w:rPr>
        <w:t xml:space="preserve">A comparison between macroscopic and histological maturity classification criteria will be established. </w:t>
      </w:r>
    </w:p>
    <w:p w14:paraId="3EB7A903" w14:textId="77777777" w:rsidR="00AF546D" w:rsidRPr="00195BED" w:rsidRDefault="00AF546D" w:rsidP="00AF546D">
      <w:pPr>
        <w:pStyle w:val="ListParagraph"/>
        <w:rPr>
          <w:rFonts w:eastAsia="Times New Roman"/>
          <w:snapToGrid w:val="0"/>
        </w:rPr>
      </w:pPr>
    </w:p>
    <w:p w14:paraId="26DBA39F" w14:textId="35812D5C" w:rsidR="00AF546D" w:rsidRPr="00340C65" w:rsidRDefault="00AF546D" w:rsidP="009765D8">
      <w:pPr>
        <w:pStyle w:val="ListParagraph"/>
        <w:numPr>
          <w:ilvl w:val="2"/>
          <w:numId w:val="21"/>
        </w:numPr>
        <w:spacing w:before="0" w:after="0"/>
        <w:ind w:left="1627"/>
        <w:rPr>
          <w:rFonts w:eastAsia="Times New Roman"/>
          <w:snapToGrid w:val="0"/>
        </w:rPr>
      </w:pPr>
      <w:r w:rsidRPr="00195BED">
        <w:rPr>
          <w:rFonts w:eastAsia="Times New Roman"/>
          <w:snapToGrid w:val="0"/>
          <w:u w:val="single"/>
        </w:rPr>
        <w:t>Fecundity estimations.</w:t>
      </w:r>
      <w:r w:rsidRPr="00195BED">
        <w:rPr>
          <w:rFonts w:eastAsia="Times New Roman"/>
          <w:snapToGrid w:val="0"/>
        </w:rPr>
        <w:t xml:space="preserve"> </w:t>
      </w:r>
      <w:r w:rsidR="002D36E0">
        <w:t>An important existing knowledge gap regarding the reproductive biology of Pacific halibut is the current lack of understanding of fecundity-at-age and fecundity-at-size. Information on these two parameters could be used to replace spawning biomass with egg output as the metric of reproductive capability in the stock assessment and management reference points. For this purpose, the IPHC Secretariat is planning gonadal sample collections during the 2023 FISS for fecundity estimations using</w:t>
      </w:r>
      <w:r w:rsidRPr="00195BED">
        <w:rPr>
          <w:rFonts w:eastAsia="Times New Roman"/>
          <w:bCs/>
          <w:snapToGrid w:val="0"/>
        </w:rPr>
        <w:t xml:space="preserve"> the auto-diametric method (</w:t>
      </w:r>
      <w:proofErr w:type="spellStart"/>
      <w:r w:rsidRPr="00195BED">
        <w:rPr>
          <w:rFonts w:eastAsia="Times New Roman"/>
          <w:bCs/>
          <w:snapToGrid w:val="0"/>
        </w:rPr>
        <w:t>Witthames</w:t>
      </w:r>
      <w:proofErr w:type="spellEnd"/>
      <w:r w:rsidRPr="00195BED">
        <w:rPr>
          <w:rFonts w:eastAsia="Times New Roman"/>
          <w:bCs/>
          <w:snapToGrid w:val="0"/>
        </w:rPr>
        <w:t xml:space="preserve"> et al., 2009). </w:t>
      </w:r>
    </w:p>
    <w:p w14:paraId="37B5FB10" w14:textId="612AFE8D" w:rsidR="00340C65" w:rsidRDefault="00340C65" w:rsidP="00340C65">
      <w:pPr>
        <w:spacing w:before="0"/>
        <w:rPr>
          <w:rFonts w:eastAsia="Times New Roman"/>
          <w:snapToGrid w:val="0"/>
        </w:rPr>
      </w:pPr>
    </w:p>
    <w:p w14:paraId="0B9D783D" w14:textId="77777777" w:rsidR="00580C0D" w:rsidRPr="00CE2C56" w:rsidRDefault="00580C0D" w:rsidP="009765D8">
      <w:pPr>
        <w:pStyle w:val="ListParagraph"/>
        <w:numPr>
          <w:ilvl w:val="1"/>
          <w:numId w:val="21"/>
        </w:numPr>
        <w:spacing w:before="0"/>
        <w:ind w:left="720"/>
        <w:rPr>
          <w:rFonts w:eastAsia="Times New Roman"/>
          <w:snapToGrid w:val="0"/>
        </w:rPr>
      </w:pPr>
      <w:r w:rsidRPr="00195BED">
        <w:rPr>
          <w:rFonts w:eastAsia="Times New Roman"/>
          <w:snapToGrid w:val="0"/>
          <w:u w:val="single"/>
        </w:rPr>
        <w:t>Sex ratio of the commercial landings</w:t>
      </w:r>
      <w:r w:rsidRPr="00195BED">
        <w:rPr>
          <w:rFonts w:eastAsia="Times New Roman"/>
          <w:snapToGrid w:val="0"/>
        </w:rPr>
        <w:t xml:space="preserve">. </w:t>
      </w:r>
      <w:r w:rsidRPr="00CE2C56">
        <w:t xml:space="preserve">The IPHC Secretariat </w:t>
      </w:r>
      <w:r w:rsidRPr="00CE2C56">
        <w:rPr>
          <w:rFonts w:eastAsia="Times New Roman"/>
          <w:snapToGrid w:val="0"/>
        </w:rPr>
        <w:t xml:space="preserve">has completed </w:t>
      </w:r>
      <w:r w:rsidRPr="00CE2C56">
        <w:t xml:space="preserve">five consecutive years of sex ratio </w:t>
      </w:r>
      <w:r>
        <w:t>data of aged commercial landings</w:t>
      </w:r>
      <w:r w:rsidRPr="00CE2C56">
        <w:t xml:space="preserve"> (2017-2021)</w:t>
      </w:r>
      <w:r>
        <w:rPr>
          <w:rFonts w:eastAsia="Times New Roman"/>
          <w:snapToGrid w:val="0"/>
        </w:rPr>
        <w:t xml:space="preserve"> by genotyping and is currently processing samples from 2022. </w:t>
      </w:r>
    </w:p>
    <w:p w14:paraId="49743EE3" w14:textId="77777777" w:rsidR="00580C0D" w:rsidRPr="00340C65" w:rsidRDefault="00580C0D" w:rsidP="00340C65">
      <w:pPr>
        <w:spacing w:before="0"/>
        <w:rPr>
          <w:rFonts w:eastAsia="Times New Roman"/>
          <w:snapToGrid w:val="0"/>
        </w:rPr>
      </w:pPr>
    </w:p>
    <w:p w14:paraId="6308068D" w14:textId="129BBD3A" w:rsidR="008E10BB" w:rsidRDefault="00580C0D" w:rsidP="00C969A5">
      <w:pPr>
        <w:pStyle w:val="ListParagraph"/>
        <w:numPr>
          <w:ilvl w:val="0"/>
          <w:numId w:val="21"/>
        </w:numPr>
      </w:pPr>
      <w:r w:rsidRPr="008546C1">
        <w:rPr>
          <w:rFonts w:eastAsia="Times New Roman"/>
          <w:snapToGrid w:val="0"/>
          <w:u w:val="single"/>
        </w:rPr>
        <w:t>Mortality and Survival Assessment</w:t>
      </w:r>
      <w:r w:rsidR="008E10BB" w:rsidRPr="00C46AA8">
        <w:t xml:space="preserve">. </w:t>
      </w:r>
      <w:r w:rsidR="00B92C7E" w:rsidRPr="00C46AA8">
        <w:t xml:space="preserve">Information on all Pacific halibut removals is integrated by the IPHC Secretariat, providing annual estimates of total mortality from all sources for its stock assessment. Bycatch and wastage of Pacific halibut, as defined by the incidental catch of fish in non-target fisheries and by the mortality that </w:t>
      </w:r>
      <w:r w:rsidR="00B92C7E" w:rsidRPr="00C46AA8">
        <w:lastRenderedPageBreak/>
        <w:t>occurs in the directed fishery (</w:t>
      </w:r>
      <w:proofErr w:type="gramStart"/>
      <w:r w:rsidR="00B92C7E" w:rsidRPr="00C46AA8">
        <w:t>i.e.</w:t>
      </w:r>
      <w:proofErr w:type="gramEnd"/>
      <w:r w:rsidR="00B92C7E" w:rsidRPr="00C46AA8">
        <w:t xml:space="preserve"> fish discarded for sublegal size or for regulatory reasons), respectively, represent sources of mortality that can result in significant reductions in exploitable yield in the directed fishery. Given that the incidental mortality from the commercial Pacific halibut fisheries and bycatch fisheries is included as part of the total removals that are accounted for in stock assessment, changes in the estimates of incidental mortality will influence the output of the stock assessment and, consequently, the catch levels of the directed fishery. For this reason, the IPHC Secretariat is conducting investigations on the effects of capture and release on survival and on providing </w:t>
      </w:r>
      <w:proofErr w:type="gramStart"/>
      <w:r w:rsidR="00B92C7E" w:rsidRPr="00C46AA8">
        <w:t>experimentally-derived</w:t>
      </w:r>
      <w:proofErr w:type="gramEnd"/>
      <w:r w:rsidR="00B92C7E" w:rsidRPr="00C46AA8">
        <w:t xml:space="preserve"> estimates of </w:t>
      </w:r>
      <w:r>
        <w:t>discard mortality rates (</w:t>
      </w:r>
      <w:r w:rsidR="00B92C7E" w:rsidRPr="00C46AA8">
        <w:t>DMRs</w:t>
      </w:r>
      <w:r>
        <w:t>)</w:t>
      </w:r>
      <w:r w:rsidR="00B92C7E" w:rsidRPr="00C46AA8">
        <w:t xml:space="preserve"> in the directed longline and guided recreational Pacific halibut fisheries</w:t>
      </w:r>
      <w:r w:rsidR="00C969A5">
        <w:t>.</w:t>
      </w:r>
    </w:p>
    <w:p w14:paraId="7BB71A6E" w14:textId="77777777" w:rsidR="004A0D54" w:rsidRDefault="004A0D54" w:rsidP="009765D8">
      <w:pPr>
        <w:pStyle w:val="ListParagraph"/>
        <w:spacing w:before="0" w:after="0"/>
        <w:ind w:left="360"/>
      </w:pPr>
    </w:p>
    <w:p w14:paraId="4F8D8275" w14:textId="38E4AC8D" w:rsidR="00D31D98" w:rsidRDefault="008E10BB" w:rsidP="009765D8">
      <w:pPr>
        <w:numPr>
          <w:ilvl w:val="1"/>
          <w:numId w:val="21"/>
        </w:numPr>
        <w:spacing w:before="0" w:after="0"/>
        <w:ind w:left="720"/>
      </w:pPr>
      <w:r w:rsidRPr="00C969A5">
        <w:rPr>
          <w:u w:val="single"/>
        </w:rPr>
        <w:t xml:space="preserve">Evaluation of the effects of </w:t>
      </w:r>
      <w:r w:rsidRPr="002644C2">
        <w:rPr>
          <w:bCs/>
          <w:u w:val="single"/>
        </w:rPr>
        <w:t>hook release techniques on</w:t>
      </w:r>
      <w:r w:rsidRPr="00C969A5">
        <w:rPr>
          <w:u w:val="single"/>
        </w:rPr>
        <w:t xml:space="preserve"> injury levels and association with the physiological condition </w:t>
      </w:r>
      <w:r w:rsidR="002644C2">
        <w:rPr>
          <w:u w:val="single"/>
        </w:rPr>
        <w:t xml:space="preserve">and survival </w:t>
      </w:r>
      <w:r w:rsidRPr="00C969A5">
        <w:rPr>
          <w:u w:val="single"/>
        </w:rPr>
        <w:t>of longline-caught Pacific halibut</w:t>
      </w:r>
      <w:r w:rsidRPr="00C46AA8">
        <w:t xml:space="preserve">. </w:t>
      </w:r>
      <w:r w:rsidR="00EE7186" w:rsidRPr="00EE7186">
        <w:t xml:space="preserve">The IPHC Secretariat, with funding by a grant from the </w:t>
      </w:r>
      <w:proofErr w:type="spellStart"/>
      <w:r w:rsidR="00EE7186" w:rsidRPr="00EE7186">
        <w:t>Saltonstall</w:t>
      </w:r>
      <w:proofErr w:type="spellEnd"/>
      <w:r w:rsidR="00EE7186" w:rsidRPr="00EE7186">
        <w:t xml:space="preserve">-Kennedy Grant Program NOAA (NA17NMF4270240; 2017-2020), has conducted studies to evaluate the effects of hook release techniques on injury levels, their association with the physiological condition of captured Pacific halibut and, importantly, has generated </w:t>
      </w:r>
      <w:proofErr w:type="gramStart"/>
      <w:r w:rsidR="00EE7186" w:rsidRPr="00EE7186">
        <w:t>experimentally-derived</w:t>
      </w:r>
      <w:proofErr w:type="gramEnd"/>
      <w:r w:rsidR="00EE7186" w:rsidRPr="00EE7186">
        <w:t xml:space="preserve"> estimates of DMR in the directed longline fishery. </w:t>
      </w:r>
      <w:r w:rsidR="00EE7186">
        <w:t>R</w:t>
      </w:r>
      <w:r w:rsidR="00EE7186" w:rsidRPr="00EE7186">
        <w:t xml:space="preserve">esults on individual survival outcomes for Pacific halibut released in excellent </w:t>
      </w:r>
      <w:r w:rsidR="00EE7186">
        <w:t xml:space="preserve">viability </w:t>
      </w:r>
      <w:r w:rsidR="00EE7186" w:rsidRPr="00EE7186">
        <w:t xml:space="preserve">condition indicate a </w:t>
      </w:r>
      <w:r w:rsidR="00E86B8E" w:rsidRPr="00EE7186">
        <w:t xml:space="preserve">minimum </w:t>
      </w:r>
      <w:r w:rsidR="00EE7186" w:rsidRPr="00EE7186">
        <w:t>DMR</w:t>
      </w:r>
      <w:r w:rsidR="00E86B8E">
        <w:t xml:space="preserve"> of</w:t>
      </w:r>
      <w:r w:rsidR="00EE7186" w:rsidRPr="00EE7186">
        <w:t xml:space="preserve"> 4.2%, that is consistent with the currently-applied DMR value of 3.5%</w:t>
      </w:r>
      <w:r w:rsidR="00EE7186">
        <w:t xml:space="preserve"> </w:t>
      </w:r>
      <w:r w:rsidR="00B5499B">
        <w:t xml:space="preserve">(Loher et al., 2022a: </w:t>
      </w:r>
      <w:hyperlink r:id="rId21" w:history="1">
        <w:r w:rsidR="00B5499B">
          <w:rPr>
            <w:rStyle w:val="Hyperlink"/>
          </w:rPr>
          <w:t>https://doi.org/10.1002/nafm.10711</w:t>
        </w:r>
      </w:hyperlink>
      <w:r w:rsidR="006C7B08">
        <w:t>)</w:t>
      </w:r>
      <w:r w:rsidR="00EE7186" w:rsidRPr="00EE7186">
        <w:t>.</w:t>
      </w:r>
    </w:p>
    <w:p w14:paraId="78115C20" w14:textId="77777777" w:rsidR="004A0D54" w:rsidRPr="00C46AA8" w:rsidRDefault="004A0D54" w:rsidP="009765D8">
      <w:pPr>
        <w:spacing w:before="0" w:after="0"/>
        <w:ind w:left="720"/>
      </w:pPr>
    </w:p>
    <w:p w14:paraId="3B00E1C3" w14:textId="2793CA8C" w:rsidR="00E86B8E" w:rsidRDefault="008E10BB" w:rsidP="009765D8">
      <w:pPr>
        <w:numPr>
          <w:ilvl w:val="1"/>
          <w:numId w:val="21"/>
        </w:numPr>
        <w:spacing w:before="0" w:after="0"/>
        <w:ind w:left="720"/>
      </w:pPr>
      <w:r w:rsidRPr="00C46AA8">
        <w:rPr>
          <w:u w:val="single"/>
        </w:rPr>
        <w:t>Discard mortality rates of Pacific halibut in the charter recreational fishery</w:t>
      </w:r>
      <w:r w:rsidRPr="00C46AA8">
        <w:t xml:space="preserve">. </w:t>
      </w:r>
      <w:r w:rsidR="00C06129" w:rsidRPr="00C06129">
        <w:t xml:space="preserve">The IPHC Secretariat is conducting a research project to better characterize the nature of charter recreational fisheries with the </w:t>
      </w:r>
      <w:proofErr w:type="gramStart"/>
      <w:r w:rsidR="00C06129" w:rsidRPr="00C06129">
        <w:t>ultimate goal</w:t>
      </w:r>
      <w:proofErr w:type="gramEnd"/>
      <w:r w:rsidR="00C06129" w:rsidRPr="00C06129">
        <w:t xml:space="preserve"> of </w:t>
      </w:r>
      <w:r w:rsidR="00E86B8E">
        <w:t xml:space="preserve">providing direct estimates of DMRs in this fishery and to </w:t>
      </w:r>
      <w:r w:rsidR="00C06129" w:rsidRPr="00C06129">
        <w:t>better understand discard practices relative to that which is employed in the directed longline fishery. This project has received funding from the National Fish and Wildlife Foundation (NFWF Project No. 61484) and the North Pacific Research Board (NPRB Project No. 2009).</w:t>
      </w:r>
      <w:r w:rsidR="00E86B8E">
        <w:t xml:space="preserve"> Based on the use of </w:t>
      </w:r>
      <w:proofErr w:type="spellStart"/>
      <w:r w:rsidR="00E86B8E">
        <w:t>sPAT</w:t>
      </w:r>
      <w:proofErr w:type="spellEnd"/>
      <w:r w:rsidR="00E86B8E">
        <w:t xml:space="preserve"> tags, </w:t>
      </w:r>
      <w:proofErr w:type="gramStart"/>
      <w:r w:rsidR="00E86B8E">
        <w:t>e</w:t>
      </w:r>
      <w:r w:rsidR="00E86B8E" w:rsidRPr="00E86B8E">
        <w:t>xperimentally-derived</w:t>
      </w:r>
      <w:proofErr w:type="gramEnd"/>
      <w:r w:rsidR="00E86B8E" w:rsidRPr="00E86B8E">
        <w:t xml:space="preserve"> estimates of discard mortality from the </w:t>
      </w:r>
      <w:r w:rsidR="00E86B8E">
        <w:t>charter</w:t>
      </w:r>
      <w:r w:rsidR="00E86B8E" w:rsidRPr="00E86B8E">
        <w:t xml:space="preserve"> recreational fishery point towards a 1.35% (95% CI 0.00-3.95%) discard mortality rate for Pacific halibut released in excellent viability category captured and released from circle hooks. </w:t>
      </w:r>
      <w:r w:rsidR="00E86B8E">
        <w:t>The levels in the blood of s</w:t>
      </w:r>
      <w:r w:rsidR="00E86B8E" w:rsidRPr="00E86B8E">
        <w:t xml:space="preserve">tress parameters (cortisol, </w:t>
      </w:r>
      <w:proofErr w:type="gramStart"/>
      <w:r w:rsidR="00E86B8E" w:rsidRPr="00E86B8E">
        <w:t>glucose</w:t>
      </w:r>
      <w:proofErr w:type="gramEnd"/>
      <w:r w:rsidR="00E86B8E" w:rsidRPr="00E86B8E">
        <w:t xml:space="preserve"> and lactate</w:t>
      </w:r>
      <w:r w:rsidR="00E86B8E">
        <w:t>)</w:t>
      </w:r>
      <w:r w:rsidR="00E86B8E" w:rsidRPr="00E86B8E">
        <w:t xml:space="preserve"> did not vary by release viability but appeared to increase with fight time, suggestive of a positive relationship between stress levels and fight time in recreationally captured Pacific halibut. </w:t>
      </w:r>
      <w:r w:rsidR="002960EF">
        <w:t>Analysis of diurnal activity patterns, focusing on the periods shortly after capture and release, is being conducted to identify typical patterns in activity as fish recover from the capture and release event.</w:t>
      </w:r>
    </w:p>
    <w:p w14:paraId="215C8B67" w14:textId="713F61B2" w:rsidR="008E10BB" w:rsidRPr="00C46AA8" w:rsidRDefault="008E10BB" w:rsidP="009765D8">
      <w:pPr>
        <w:spacing w:before="0" w:after="0"/>
        <w:ind w:left="720"/>
      </w:pPr>
    </w:p>
    <w:p w14:paraId="5F30CC85" w14:textId="7436E116" w:rsidR="008E10BB" w:rsidRDefault="006A1E9A" w:rsidP="008E10BB">
      <w:pPr>
        <w:numPr>
          <w:ilvl w:val="0"/>
          <w:numId w:val="21"/>
        </w:numPr>
        <w:tabs>
          <w:tab w:val="left" w:pos="432"/>
        </w:tabs>
      </w:pPr>
      <w:r>
        <w:rPr>
          <w:u w:val="single"/>
        </w:rPr>
        <w:t>Fishing Technology</w:t>
      </w:r>
      <w:r w:rsidR="008E10BB" w:rsidRPr="00C46AA8">
        <w:t xml:space="preserve">. </w:t>
      </w:r>
      <w:r w:rsidR="00C06129" w:rsidRPr="00C06129">
        <w:t xml:space="preserve">The IPHC Secretariat is conducting studies </w:t>
      </w:r>
      <w:r>
        <w:t>on the development and application of methods and tools to reduce</w:t>
      </w:r>
      <w:r w:rsidR="00C06129" w:rsidRPr="00C06129">
        <w:t xml:space="preserve"> Pacific halibut</w:t>
      </w:r>
      <w:r>
        <w:t xml:space="preserve"> bycatch and mortality</w:t>
      </w:r>
      <w:r w:rsidR="008E10BB" w:rsidRPr="00C46AA8">
        <w:t>.</w:t>
      </w:r>
    </w:p>
    <w:p w14:paraId="7865FBEE" w14:textId="77777777" w:rsidR="004A0D54" w:rsidRDefault="004A0D54" w:rsidP="009765D8">
      <w:pPr>
        <w:tabs>
          <w:tab w:val="left" w:pos="432"/>
        </w:tabs>
        <w:ind w:left="360"/>
      </w:pPr>
    </w:p>
    <w:p w14:paraId="1A85886A" w14:textId="68C0C463" w:rsidR="0074400D" w:rsidRDefault="006A1E9A" w:rsidP="009765D8">
      <w:pPr>
        <w:pStyle w:val="ListParagraph"/>
        <w:numPr>
          <w:ilvl w:val="1"/>
          <w:numId w:val="21"/>
        </w:numPr>
        <w:ind w:left="720"/>
      </w:pPr>
      <w:r w:rsidRPr="006A1E9A">
        <w:rPr>
          <w:u w:val="single"/>
        </w:rPr>
        <w:lastRenderedPageBreak/>
        <w:t>Gear-based approaches to catch protection as a means for minimizing whale depredation in longline fisheries</w:t>
      </w:r>
      <w:r w:rsidR="0074400D" w:rsidRPr="00C46AA8">
        <w:t xml:space="preserve">. </w:t>
      </w:r>
      <w:r w:rsidRPr="006A1E9A">
        <w:t>Removal of captured fish from fishing gear (known as depredation) is a growing problem among many hook-and-line fisheries worldwide. In the north Pacific Ocean, both Killer (</w:t>
      </w:r>
      <w:r w:rsidRPr="00915EAF">
        <w:rPr>
          <w:i/>
          <w:iCs/>
        </w:rPr>
        <w:t>Orcinus orca</w:t>
      </w:r>
      <w:r w:rsidRPr="006A1E9A">
        <w:t>) and Sperm (</w:t>
      </w:r>
      <w:r w:rsidRPr="00915EAF">
        <w:rPr>
          <w:i/>
          <w:iCs/>
        </w:rPr>
        <w:t>Physeter macrocephalus</w:t>
      </w:r>
      <w:r w:rsidRPr="006A1E9A">
        <w:t xml:space="preserve">) whales are involved in depredation behavior in Pacific halibut, sablefish, and Greenland turbot longline fisheries. </w:t>
      </w:r>
      <w:r>
        <w:t xml:space="preserve">The IPHC Secretariat, with funding </w:t>
      </w:r>
      <w:r w:rsidRPr="006A1E9A">
        <w:rPr>
          <w:lang w:val="en-GB"/>
        </w:rPr>
        <w:t>from NOAA’s Bycatch Research and Engineering Program (BREP)</w:t>
      </w:r>
      <w:r>
        <w:rPr>
          <w:lang w:val="en-GB"/>
        </w:rPr>
        <w:t xml:space="preserve">, is investigating gear-based approaches to protect longline catches from whale depredation. Current efforts are devoted to testing the functionality and catch characteristics of two different catch protection designs: </w:t>
      </w:r>
      <w:r w:rsidR="008A0C15">
        <w:rPr>
          <w:lang w:val="en-GB"/>
        </w:rPr>
        <w:t xml:space="preserve">A) </w:t>
      </w:r>
      <w:r>
        <w:rPr>
          <w:lang w:val="en-GB"/>
        </w:rPr>
        <w:t xml:space="preserve">an underwater shuttle design consisting in an </w:t>
      </w:r>
      <w:proofErr w:type="spellStart"/>
      <w:r>
        <w:rPr>
          <w:lang w:val="en-GB"/>
        </w:rPr>
        <w:t>aluminum</w:t>
      </w:r>
      <w:proofErr w:type="spellEnd"/>
      <w:r>
        <w:rPr>
          <w:lang w:val="en-GB"/>
        </w:rPr>
        <w:t xml:space="preserve"> frame that is set with the gear</w:t>
      </w:r>
      <w:r w:rsidR="008A0C15">
        <w:rPr>
          <w:lang w:val="en-GB"/>
        </w:rPr>
        <w:t xml:space="preserve"> that secures the fish inside during hauling, and B) a branch gear with a sliding shroud system. Field testing of the two designs to investigate the logistics and efficacy of setting, </w:t>
      </w:r>
      <w:proofErr w:type="gramStart"/>
      <w:r w:rsidR="008A0C15">
        <w:rPr>
          <w:lang w:val="en-GB"/>
        </w:rPr>
        <w:t>fishing</w:t>
      </w:r>
      <w:proofErr w:type="gramEnd"/>
      <w:r w:rsidR="008A0C15">
        <w:rPr>
          <w:lang w:val="en-GB"/>
        </w:rPr>
        <w:t xml:space="preserve"> and hauling is planned for early summer 2023</w:t>
      </w:r>
      <w:r w:rsidR="00C06129" w:rsidRPr="00C06129">
        <w:t>.</w:t>
      </w:r>
    </w:p>
    <w:p w14:paraId="6216E80B" w14:textId="30F01D99" w:rsidR="00B4684F" w:rsidRPr="00C46AA8" w:rsidRDefault="00B4684F" w:rsidP="004E2470">
      <w:pPr>
        <w:tabs>
          <w:tab w:val="left" w:pos="432"/>
        </w:tabs>
        <w:spacing w:before="240" w:after="240"/>
        <w:rPr>
          <w:u w:val="single"/>
        </w:rPr>
      </w:pPr>
      <w:bookmarkStart w:id="8" w:name="Ongoing"/>
      <w:r w:rsidRPr="00C46AA8">
        <w:rPr>
          <w:u w:val="single"/>
        </w:rPr>
        <w:t>Other ongoing data collection projects</w:t>
      </w:r>
    </w:p>
    <w:bookmarkEnd w:id="8"/>
    <w:p w14:paraId="1D219C50" w14:textId="7C6539ED" w:rsidR="00B4684F" w:rsidRPr="00C46AA8" w:rsidRDefault="00B4684F" w:rsidP="00C67F09">
      <w:pPr>
        <w:ind w:firstLine="360"/>
      </w:pPr>
      <w:r w:rsidRPr="00C46AA8">
        <w:t xml:space="preserve">In addition to specific research projects, the IPHC collects data each year through ongoing data collection projects that are funded separately, either as part of the </w:t>
      </w:r>
      <w:r w:rsidR="001554E0" w:rsidRPr="00C46AA8">
        <w:t>FISS</w:t>
      </w:r>
      <w:r w:rsidRPr="00C46AA8">
        <w:t xml:space="preserve"> or as part of the </w:t>
      </w:r>
      <w:r w:rsidR="00A23061">
        <w:t xml:space="preserve">directed </w:t>
      </w:r>
      <w:r w:rsidRPr="00C46AA8">
        <w:t>commercial fishery data collection program. Ongoing data collections projects include the following:</w:t>
      </w:r>
    </w:p>
    <w:p w14:paraId="63DAA96E" w14:textId="549880DD" w:rsidR="00B4684F" w:rsidRPr="00C46AA8" w:rsidRDefault="00B4684F" w:rsidP="004E2470">
      <w:pPr>
        <w:tabs>
          <w:tab w:val="left" w:pos="432"/>
        </w:tabs>
        <w:spacing w:before="240" w:after="240"/>
        <w:rPr>
          <w:i/>
        </w:rPr>
      </w:pPr>
      <w:r w:rsidRPr="00C46AA8">
        <w:rPr>
          <w:i/>
        </w:rPr>
        <w:t xml:space="preserve">IPHC </w:t>
      </w:r>
      <w:r w:rsidR="00A23061">
        <w:rPr>
          <w:i/>
        </w:rPr>
        <w:t xml:space="preserve">Secretariat </w:t>
      </w:r>
      <w:r w:rsidRPr="00C46AA8">
        <w:rPr>
          <w:i/>
        </w:rPr>
        <w:t xml:space="preserve">aboard </w:t>
      </w:r>
      <w:r w:rsidR="004C479F">
        <w:rPr>
          <w:i/>
        </w:rPr>
        <w:t>NOAA Fisheries</w:t>
      </w:r>
      <w:r w:rsidRPr="00C46AA8">
        <w:rPr>
          <w:i/>
        </w:rPr>
        <w:t xml:space="preserve"> groundfish trawl surveys in</w:t>
      </w:r>
      <w:r w:rsidR="00A23061">
        <w:rPr>
          <w:i/>
        </w:rPr>
        <w:t xml:space="preserve"> the Gulf of Alaska, Bering </w:t>
      </w:r>
      <w:proofErr w:type="gramStart"/>
      <w:r w:rsidR="00A23061">
        <w:rPr>
          <w:i/>
        </w:rPr>
        <w:t>Sea</w:t>
      </w:r>
      <w:proofErr w:type="gramEnd"/>
      <w:r w:rsidRPr="00C46AA8">
        <w:rPr>
          <w:i/>
        </w:rPr>
        <w:t xml:space="preserve"> and Aleutian Islands</w:t>
      </w:r>
    </w:p>
    <w:p w14:paraId="40D3035F" w14:textId="247F3FE6" w:rsidR="00B4684F" w:rsidRPr="00C46AA8" w:rsidRDefault="00B4684F" w:rsidP="00C67F09">
      <w:pPr>
        <w:ind w:firstLine="360"/>
      </w:pPr>
      <w:r w:rsidRPr="00C46AA8">
        <w:t xml:space="preserve">The National </w:t>
      </w:r>
      <w:r w:rsidR="0055298F" w:rsidRPr="00C46AA8">
        <w:t>Oceanic and Atmospheric Administration (</w:t>
      </w:r>
      <w:r w:rsidRPr="00C46AA8">
        <w:t>N</w:t>
      </w:r>
      <w:r w:rsidR="0055298F" w:rsidRPr="00C46AA8">
        <w:t>OAA</w:t>
      </w:r>
      <w:r w:rsidRPr="00C46AA8">
        <w:t xml:space="preserve">) </w:t>
      </w:r>
      <w:r w:rsidR="0055298F" w:rsidRPr="00C46AA8">
        <w:t xml:space="preserve">Fisheries </w:t>
      </w:r>
      <w:r w:rsidRPr="00C46AA8">
        <w:t xml:space="preserve">has conducted annual bottom trawl surveys on the eastern Bering Sea continental shelf since 1979 and the IPHC has participated in the survey on an annual basis since 1998 by directly sampling Pacific halibut from </w:t>
      </w:r>
      <w:r w:rsidR="00A23061">
        <w:t xml:space="preserve">trawl </w:t>
      </w:r>
      <w:r w:rsidRPr="00C46AA8">
        <w:t xml:space="preserve">survey catches. The IPHC has participated in the </w:t>
      </w:r>
      <w:r w:rsidR="0055298F" w:rsidRPr="00C46AA8">
        <w:t>NOAA Fisheries</w:t>
      </w:r>
      <w:r w:rsidRPr="00C46AA8">
        <w:t xml:space="preserve"> Aleutian Islands trawl survey, which takes place every two years, since 2012. Alternating year by year with the Aleutian Islands trawl survey is the </w:t>
      </w:r>
      <w:r w:rsidR="0055298F" w:rsidRPr="00C46AA8">
        <w:t>NOAA Fisheries</w:t>
      </w:r>
      <w:r w:rsidRPr="00C46AA8">
        <w:t xml:space="preserve"> Gulf of Alaska trawl survey, which IPHC has participated in since 1996. The IPHC uses the </w:t>
      </w:r>
      <w:r w:rsidR="0055298F" w:rsidRPr="00C46AA8">
        <w:t>NOAA Fisheries</w:t>
      </w:r>
      <w:r w:rsidRPr="00C46AA8">
        <w:t xml:space="preserve"> trawl surveys to collect information on Pacific halibut that are not yet vulnerable to the gear used for the IPHC </w:t>
      </w:r>
      <w:r w:rsidR="0055298F" w:rsidRPr="00C46AA8">
        <w:t>FISS</w:t>
      </w:r>
      <w:r w:rsidRPr="00C46AA8">
        <w:t xml:space="preserve"> or </w:t>
      </w:r>
      <w:r w:rsidR="00A23061">
        <w:t xml:space="preserve">directed </w:t>
      </w:r>
      <w:r w:rsidRPr="00C46AA8">
        <w:t xml:space="preserve">commercial fishery, and as an additional data source and verification tool for stock analysis. In addition, trawl survey information is useful as a forecasting tool for cohorts approaching recruitment into the </w:t>
      </w:r>
      <w:r w:rsidR="00A23061">
        <w:t xml:space="preserve">FISS or directed </w:t>
      </w:r>
      <w:r w:rsidRPr="00C46AA8">
        <w:t>commercial fishery.</w:t>
      </w:r>
    </w:p>
    <w:p w14:paraId="641F929E" w14:textId="5CB60915" w:rsidR="00B4684F" w:rsidRPr="00C46AA8" w:rsidRDefault="00A23061" w:rsidP="004E2470">
      <w:pPr>
        <w:tabs>
          <w:tab w:val="left" w:pos="432"/>
        </w:tabs>
        <w:spacing w:before="240" w:after="240"/>
        <w:rPr>
          <w:i/>
        </w:rPr>
      </w:pPr>
      <w:r>
        <w:rPr>
          <w:i/>
        </w:rPr>
        <w:t>Sampling of directed c</w:t>
      </w:r>
      <w:r w:rsidR="00B4684F" w:rsidRPr="00C46AA8">
        <w:rPr>
          <w:i/>
        </w:rPr>
        <w:t xml:space="preserve">ommercial </w:t>
      </w:r>
      <w:r>
        <w:rPr>
          <w:i/>
        </w:rPr>
        <w:t>landings</w:t>
      </w:r>
    </w:p>
    <w:p w14:paraId="3EE70C97" w14:textId="7C0C6272" w:rsidR="00B4684F" w:rsidRPr="00C46AA8" w:rsidRDefault="00B4684F" w:rsidP="00C67F09">
      <w:pPr>
        <w:tabs>
          <w:tab w:val="left" w:pos="0"/>
        </w:tabs>
        <w:ind w:firstLine="360"/>
      </w:pPr>
      <w:r w:rsidRPr="00C46AA8">
        <w:t xml:space="preserve">The IPHC positions </w:t>
      </w:r>
      <w:r w:rsidR="00A23061">
        <w:t>Secretariat</w:t>
      </w:r>
      <w:r w:rsidRPr="00C46AA8">
        <w:t xml:space="preserve"> to sample the </w:t>
      </w:r>
      <w:r w:rsidR="00A23061">
        <w:t xml:space="preserve">directed </w:t>
      </w:r>
      <w:r w:rsidRPr="00C46AA8">
        <w:t xml:space="preserve">commercial </w:t>
      </w:r>
      <w:r w:rsidR="0055298F" w:rsidRPr="00C46AA8">
        <w:t>landings</w:t>
      </w:r>
      <w:r w:rsidRPr="00C46AA8">
        <w:t xml:space="preserve"> for Pacific halibut in Alaska, British Columbia, Washington, and Oregon. </w:t>
      </w:r>
      <w:r w:rsidR="0055298F" w:rsidRPr="00C46AA8">
        <w:t>S</w:t>
      </w:r>
      <w:r w:rsidRPr="00C46AA8">
        <w:t>ampling</w:t>
      </w:r>
      <w:r w:rsidR="0055298F" w:rsidRPr="00C46AA8">
        <w:t xml:space="preserve"> of commercial landings</w:t>
      </w:r>
      <w:r w:rsidRPr="00C46AA8">
        <w:t xml:space="preserve"> involves collecting Pacific halibut otoliths</w:t>
      </w:r>
      <w:r w:rsidR="00C95C75" w:rsidRPr="00C46AA8">
        <w:t>, tissue samples</w:t>
      </w:r>
      <w:r w:rsidR="002644C2">
        <w:t xml:space="preserve"> (fin clips) for genetic sexing</w:t>
      </w:r>
      <w:r w:rsidRPr="00C46AA8">
        <w:t xml:space="preserve">, fork lengths, </w:t>
      </w:r>
      <w:r w:rsidR="00C95C75" w:rsidRPr="00C46AA8">
        <w:t xml:space="preserve">weights, </w:t>
      </w:r>
      <w:r w:rsidRPr="00C46AA8">
        <w:t>logbook information, and final landing weights.</w:t>
      </w:r>
    </w:p>
    <w:p w14:paraId="40DAC3F6" w14:textId="0229A5F4" w:rsidR="00B4684F" w:rsidRPr="00C46AA8" w:rsidRDefault="00B4684F" w:rsidP="00C67F09">
      <w:pPr>
        <w:tabs>
          <w:tab w:val="left" w:pos="0"/>
        </w:tabs>
        <w:ind w:firstLine="360"/>
      </w:pPr>
      <w:r w:rsidRPr="00C46AA8">
        <w:t xml:space="preserve">The collected data are used in </w:t>
      </w:r>
      <w:r w:rsidR="00A73B2E" w:rsidRPr="00C46AA8">
        <w:t xml:space="preserve">the </w:t>
      </w:r>
      <w:r w:rsidRPr="00C46AA8">
        <w:t>stock assessment and other research</w:t>
      </w:r>
      <w:r w:rsidR="00A23061">
        <w:t>. T</w:t>
      </w:r>
      <w:r w:rsidRPr="00C46AA8">
        <w:t>he collected otoliths provide age composition</w:t>
      </w:r>
      <w:r w:rsidR="00A73B2E" w:rsidRPr="00C46AA8">
        <w:t xml:space="preserve"> </w:t>
      </w:r>
      <w:proofErr w:type="gramStart"/>
      <w:r w:rsidR="00A73B2E" w:rsidRPr="00C46AA8">
        <w:t>data</w:t>
      </w:r>
      <w:proofErr w:type="gramEnd"/>
      <w:r w:rsidR="00C95C75" w:rsidRPr="00C46AA8">
        <w:t xml:space="preserve"> and the tissue samples provide sex </w:t>
      </w:r>
      <w:r w:rsidR="00C95C75" w:rsidRPr="00C46AA8">
        <w:lastRenderedPageBreak/>
        <w:t>composition</w:t>
      </w:r>
      <w:r w:rsidRPr="00C46AA8">
        <w:t xml:space="preserve">. Lengths </w:t>
      </w:r>
      <w:r w:rsidR="00C95C75" w:rsidRPr="00C46AA8">
        <w:t xml:space="preserve">and </w:t>
      </w:r>
      <w:r w:rsidRPr="00C46AA8">
        <w:t xml:space="preserve">weight </w:t>
      </w:r>
      <w:r w:rsidR="00C95C75" w:rsidRPr="00C46AA8">
        <w:t>data</w:t>
      </w:r>
      <w:r w:rsidRPr="00C46AA8">
        <w:t>, in combination with age data</w:t>
      </w:r>
      <w:r w:rsidR="00C95C75" w:rsidRPr="00C46AA8">
        <w:t xml:space="preserve"> and sex data</w:t>
      </w:r>
      <w:r w:rsidRPr="00C46AA8">
        <w:t>,</w:t>
      </w:r>
      <w:r w:rsidR="00C95C75" w:rsidRPr="00C46AA8">
        <w:t xml:space="preserve"> provide</w:t>
      </w:r>
      <w:r w:rsidRPr="00C46AA8">
        <w:t xml:space="preserve"> size-at-age analyses</w:t>
      </w:r>
      <w:r w:rsidR="00C95C75" w:rsidRPr="00C46AA8">
        <w:t xml:space="preserve"> by sex</w:t>
      </w:r>
      <w:r w:rsidRPr="00C46AA8">
        <w:t>. Mean weights are combined with final landing weights to estimate catch in numbers. Logbook information provides weight per unit effort data, fishing location for the landed weight, and data for research projects. Finally, tags are collected to provide information on migration, exploitation rates, and natural mortality.</w:t>
      </w:r>
    </w:p>
    <w:p w14:paraId="239C9CAB" w14:textId="535196A0" w:rsidR="00B4684F" w:rsidRDefault="00B4684F" w:rsidP="00C67F09">
      <w:pPr>
        <w:tabs>
          <w:tab w:val="left" w:pos="432"/>
        </w:tabs>
        <w:ind w:firstLine="360"/>
      </w:pPr>
      <w:r w:rsidRPr="00C46AA8">
        <w:t>In addition to sampling the catch, other objectives include collecting recovered tags, and copying information from fishing logs along with the respective landed weights, for as many Pacific halibut trips as possible throughout the entire season.</w:t>
      </w:r>
    </w:p>
    <w:p w14:paraId="4B484129" w14:textId="18827DDA" w:rsidR="005F30DD" w:rsidRPr="00C46AA8" w:rsidRDefault="005F30DD" w:rsidP="004E2470">
      <w:pPr>
        <w:tabs>
          <w:tab w:val="left" w:pos="432"/>
        </w:tabs>
        <w:spacing w:before="240" w:after="240"/>
        <w:rPr>
          <w:i/>
        </w:rPr>
      </w:pPr>
      <w:r>
        <w:rPr>
          <w:i/>
        </w:rPr>
        <w:t>Environmental data collection in the IPHC FISS</w:t>
      </w:r>
    </w:p>
    <w:p w14:paraId="32D17344" w14:textId="3A218C78" w:rsidR="005F30DD" w:rsidRDefault="005F30DD" w:rsidP="00C67F09">
      <w:pPr>
        <w:tabs>
          <w:tab w:val="left" w:pos="432"/>
        </w:tabs>
        <w:ind w:firstLine="360"/>
        <w:rPr>
          <w:iCs/>
        </w:rPr>
      </w:pPr>
      <w:r>
        <w:rPr>
          <w:iCs/>
        </w:rPr>
        <w:t>Since 2009, the IPHC has been collecting environmental data as water column profiles</w:t>
      </w:r>
      <w:r w:rsidR="00C556BA">
        <w:rPr>
          <w:iCs/>
        </w:rPr>
        <w:t xml:space="preserve"> in each station sampled as part of the IPHC FISS. The data collected includes surface to depth profiles of pressure (depth), temperature, conductivity (salinity), dissolved oxygen, pH, and chlorophyl a concentration. </w:t>
      </w:r>
      <w:r w:rsidR="00AA25AC">
        <w:rPr>
          <w:iCs/>
        </w:rPr>
        <w:t>From</w:t>
      </w:r>
      <w:r w:rsidR="00C556BA">
        <w:rPr>
          <w:iCs/>
        </w:rPr>
        <w:t xml:space="preserve"> </w:t>
      </w:r>
      <w:proofErr w:type="spellStart"/>
      <w:r w:rsidR="00C556BA">
        <w:rPr>
          <w:iCs/>
        </w:rPr>
        <w:t>from</w:t>
      </w:r>
      <w:proofErr w:type="spellEnd"/>
      <w:r w:rsidR="00C556BA">
        <w:rPr>
          <w:iCs/>
        </w:rPr>
        <w:t xml:space="preserve"> 2009 until 202</w:t>
      </w:r>
      <w:r w:rsidR="00AA25AC">
        <w:rPr>
          <w:iCs/>
        </w:rPr>
        <w:t>2, collected</w:t>
      </w:r>
      <w:r w:rsidR="00C556BA">
        <w:rPr>
          <w:iCs/>
        </w:rPr>
        <w:t xml:space="preserve"> environmental data, related metadata and maps of profiled FISS stations are publicly available </w:t>
      </w:r>
      <w:r w:rsidR="00153A5B">
        <w:rPr>
          <w:iCs/>
        </w:rPr>
        <w:t xml:space="preserve">on </w:t>
      </w:r>
      <w:r w:rsidR="00C556BA">
        <w:rPr>
          <w:iCs/>
        </w:rPr>
        <w:t>the IPHC website (</w:t>
      </w:r>
      <w:hyperlink r:id="rId22" w:history="1">
        <w:r w:rsidR="00C556BA" w:rsidRPr="003C5A6A">
          <w:rPr>
            <w:rStyle w:val="Hyperlink"/>
            <w:iCs/>
          </w:rPr>
          <w:t>https://www.iphc.int/datatest/data/water-column-profiler-data</w:t>
        </w:r>
      </w:hyperlink>
      <w:r w:rsidR="00C556BA">
        <w:rPr>
          <w:iCs/>
        </w:rPr>
        <w:t>).</w:t>
      </w:r>
    </w:p>
    <w:p w14:paraId="3416B4F5" w14:textId="77777777" w:rsidR="00AD3D13" w:rsidRDefault="00AD3D13" w:rsidP="00C67F09">
      <w:pPr>
        <w:tabs>
          <w:tab w:val="left" w:pos="432"/>
        </w:tabs>
        <w:ind w:firstLine="360"/>
        <w:rPr>
          <w:iCs/>
        </w:rPr>
      </w:pPr>
    </w:p>
    <w:p w14:paraId="058CE1C6" w14:textId="77777777" w:rsidR="009D4E83" w:rsidRPr="00F174A2" w:rsidRDefault="009D4E83" w:rsidP="005025E1">
      <w:pPr>
        <w:pStyle w:val="Heading3"/>
        <w:rPr>
          <w:rFonts w:ascii="Arial" w:hAnsi="Arial" w:cs="Arial"/>
          <w:b/>
          <w:highlight w:val="lightGray"/>
        </w:rPr>
      </w:pPr>
      <w:bookmarkStart w:id="9" w:name="_Toc130470102"/>
      <w:r w:rsidRPr="00F174A2">
        <w:rPr>
          <w:rFonts w:ascii="Arial" w:hAnsi="Arial" w:cs="Arial"/>
          <w:b/>
          <w:highlight w:val="lightGray"/>
        </w:rPr>
        <w:t>Assessment</w:t>
      </w:r>
      <w:bookmarkEnd w:id="9"/>
    </w:p>
    <w:p w14:paraId="0C30CECF" w14:textId="0D01CC08" w:rsidR="00565E38" w:rsidRPr="00F174A2" w:rsidRDefault="00C1569C" w:rsidP="004E2470">
      <w:pPr>
        <w:ind w:firstLine="360"/>
      </w:pPr>
      <w:r w:rsidRPr="00F174A2">
        <w:t xml:space="preserve">The </w:t>
      </w:r>
      <w:r w:rsidR="00F174A2" w:rsidRPr="00F174A2">
        <w:t xml:space="preserve">2022 </w:t>
      </w:r>
      <w:r w:rsidRPr="00F174A2">
        <w:t>stock assessment produced the following scientific a</w:t>
      </w:r>
      <w:r w:rsidR="00A23061" w:rsidRPr="00F174A2">
        <w:t xml:space="preserve">dvice regarding the </w:t>
      </w:r>
      <w:r w:rsidRPr="00F174A2">
        <w:t>Pacific halibut stock:</w:t>
      </w:r>
    </w:p>
    <w:p w14:paraId="0BA7962E" w14:textId="7FC178DE" w:rsidR="00C72E37" w:rsidRPr="00F174A2" w:rsidRDefault="002F6E0A" w:rsidP="004E2470">
      <w:pPr>
        <w:pStyle w:val="IPHCreference"/>
        <w:tabs>
          <w:tab w:val="left" w:pos="5184"/>
        </w:tabs>
        <w:spacing w:before="120" w:after="120"/>
        <w:ind w:left="720" w:firstLine="0"/>
        <w:jc w:val="both"/>
        <w:rPr>
          <w:rFonts w:ascii="Arial" w:hAnsi="Arial" w:cs="Arial"/>
          <w:i/>
          <w:iCs/>
          <w:szCs w:val="24"/>
        </w:rPr>
      </w:pPr>
      <w:r w:rsidRPr="00F174A2">
        <w:rPr>
          <w:rFonts w:ascii="Arial" w:hAnsi="Arial" w:cs="Arial"/>
          <w:b/>
          <w:bCs/>
          <w:i/>
          <w:iCs/>
          <w:szCs w:val="24"/>
        </w:rPr>
        <w:t>Sources of mortality</w:t>
      </w:r>
      <w:r w:rsidRPr="00F174A2">
        <w:rPr>
          <w:rFonts w:ascii="Arial" w:hAnsi="Arial" w:cs="Arial"/>
          <w:i/>
          <w:iCs/>
          <w:szCs w:val="24"/>
        </w:rPr>
        <w:t xml:space="preserve">: </w:t>
      </w:r>
      <w:r w:rsidR="00F174A2" w:rsidRPr="00F174A2">
        <w:rPr>
          <w:rFonts w:ascii="Arial" w:hAnsi="Arial" w:cs="Arial"/>
          <w:i/>
          <w:iCs/>
          <w:szCs w:val="24"/>
        </w:rPr>
        <w:t>In 2022, total Pacific</w:t>
      </w:r>
      <w:r w:rsidR="003371CA">
        <w:rPr>
          <w:rFonts w:ascii="Arial" w:hAnsi="Arial" w:cs="Arial"/>
          <w:i/>
          <w:iCs/>
          <w:szCs w:val="24"/>
        </w:rPr>
        <w:t xml:space="preserve"> halibut</w:t>
      </w:r>
      <w:r w:rsidR="00F174A2" w:rsidRPr="00F174A2">
        <w:rPr>
          <w:rFonts w:ascii="Arial" w:hAnsi="Arial" w:cs="Arial"/>
          <w:i/>
          <w:iCs/>
          <w:szCs w:val="24"/>
        </w:rPr>
        <w:t xml:space="preserve"> mortality due to fishing increased to 39.69 million pounds (18,003 t), above the 5-year average of 38.10 million pounds (17,284 t). Of that total, 85% comprised the retained catch, down from 87% in 2021.</w:t>
      </w:r>
    </w:p>
    <w:p w14:paraId="33E4FD59" w14:textId="7575F5ED" w:rsidR="00F174A2" w:rsidRPr="00F174A2" w:rsidRDefault="002F6E0A" w:rsidP="004E2470">
      <w:pPr>
        <w:pStyle w:val="IPHCreference"/>
        <w:tabs>
          <w:tab w:val="left" w:pos="5184"/>
        </w:tabs>
        <w:spacing w:before="120" w:after="120"/>
        <w:ind w:left="720" w:firstLine="0"/>
        <w:jc w:val="both"/>
        <w:rPr>
          <w:rFonts w:ascii="Arial" w:hAnsi="Arial" w:cs="Arial"/>
          <w:i/>
          <w:iCs/>
          <w:szCs w:val="24"/>
        </w:rPr>
      </w:pPr>
      <w:r w:rsidRPr="00F174A2">
        <w:rPr>
          <w:rFonts w:ascii="Arial" w:hAnsi="Arial" w:cs="Arial"/>
          <w:b/>
          <w:bCs/>
          <w:i/>
          <w:iCs/>
          <w:szCs w:val="24"/>
        </w:rPr>
        <w:t>Fishing intensity</w:t>
      </w:r>
      <w:r w:rsidRPr="00F174A2">
        <w:rPr>
          <w:rFonts w:ascii="Arial" w:hAnsi="Arial" w:cs="Arial"/>
          <w:i/>
          <w:iCs/>
          <w:szCs w:val="24"/>
        </w:rPr>
        <w:t xml:space="preserve">: </w:t>
      </w:r>
      <w:r w:rsidR="00F174A2" w:rsidRPr="00F174A2">
        <w:rPr>
          <w:rFonts w:ascii="Arial" w:hAnsi="Arial" w:cs="Arial"/>
          <w:i/>
          <w:iCs/>
          <w:szCs w:val="24"/>
        </w:rPr>
        <w:t>The 2022 fishing mortality corresponded to a point estimate of Spawning Potential Ratio (SPR) = 51%; there is a 27% chance that fishing intensity exceeded the IPHC’s current reference level of F43%. The Commission does not currently have a coastwide fishing intensity limit reference point.</w:t>
      </w:r>
    </w:p>
    <w:p w14:paraId="3FA63942" w14:textId="07E16B12" w:rsidR="00C72E37" w:rsidRPr="00F174A2" w:rsidRDefault="002F6E0A" w:rsidP="004E2470">
      <w:pPr>
        <w:pStyle w:val="IPHCreference"/>
        <w:tabs>
          <w:tab w:val="left" w:pos="5184"/>
        </w:tabs>
        <w:spacing w:before="120" w:after="120"/>
        <w:ind w:left="720" w:firstLine="0"/>
        <w:jc w:val="both"/>
        <w:rPr>
          <w:rFonts w:ascii="Arial" w:hAnsi="Arial" w:cs="Arial"/>
          <w:i/>
          <w:iCs/>
          <w:szCs w:val="24"/>
        </w:rPr>
      </w:pPr>
      <w:r w:rsidRPr="00F174A2">
        <w:rPr>
          <w:rFonts w:ascii="Arial" w:hAnsi="Arial" w:cs="Arial"/>
          <w:b/>
          <w:bCs/>
          <w:i/>
          <w:iCs/>
          <w:szCs w:val="24"/>
        </w:rPr>
        <w:t>Stock status</w:t>
      </w:r>
      <w:r w:rsidRPr="00F174A2">
        <w:rPr>
          <w:rFonts w:ascii="Arial" w:hAnsi="Arial" w:cs="Arial"/>
          <w:i/>
          <w:iCs/>
          <w:szCs w:val="24"/>
        </w:rPr>
        <w:t xml:space="preserve"> (spawning biomass): </w:t>
      </w:r>
      <w:r w:rsidR="00F174A2" w:rsidRPr="00F174A2">
        <w:rPr>
          <w:rFonts w:ascii="Arial" w:hAnsi="Arial" w:cs="Arial"/>
          <w:i/>
          <w:iCs/>
          <w:szCs w:val="24"/>
        </w:rPr>
        <w:t>Current (beginning of 2023) female spawning biomass is estimated to be 192 million pounds (87,058 t), which corresponds to an 25% chance of being below the IPHC trigger reference point of SB30%, and less than a 1% chance of being below the IPHC limit reference point of SB20%. The stock is estimated to have declined by 16% since 2016 but is currently at 42% of the unfished state. Therefore, the stock is considered to be ‘not overfished’. Projections indicate that mortality consistent with the interim management procedure reference fishing intensity (F43%) is very likely to result in further declining biomass levels in the near future.</w:t>
      </w:r>
    </w:p>
    <w:p w14:paraId="281AC9A7" w14:textId="23FF7087" w:rsidR="00C72E37" w:rsidRPr="00F174A2" w:rsidRDefault="002F6E0A" w:rsidP="004E2470">
      <w:pPr>
        <w:pStyle w:val="IPHCreference"/>
        <w:tabs>
          <w:tab w:val="left" w:pos="5184"/>
        </w:tabs>
        <w:spacing w:before="120" w:after="120"/>
        <w:ind w:left="720" w:firstLine="0"/>
        <w:jc w:val="both"/>
        <w:rPr>
          <w:rFonts w:ascii="Arial" w:hAnsi="Arial" w:cs="Arial"/>
          <w:i/>
          <w:iCs/>
          <w:szCs w:val="24"/>
        </w:rPr>
      </w:pPr>
      <w:r w:rsidRPr="00F174A2">
        <w:rPr>
          <w:rFonts w:ascii="Arial" w:hAnsi="Arial" w:cs="Arial"/>
          <w:b/>
          <w:bCs/>
          <w:i/>
          <w:iCs/>
          <w:szCs w:val="24"/>
        </w:rPr>
        <w:t>Stock distribution</w:t>
      </w:r>
      <w:r w:rsidRPr="00F174A2">
        <w:rPr>
          <w:rFonts w:ascii="Arial" w:hAnsi="Arial" w:cs="Arial"/>
          <w:i/>
          <w:iCs/>
          <w:szCs w:val="24"/>
        </w:rPr>
        <w:t xml:space="preserve">: </w:t>
      </w:r>
      <w:r w:rsidR="00F174A2" w:rsidRPr="00F174A2">
        <w:rPr>
          <w:rFonts w:ascii="Arial" w:hAnsi="Arial" w:cs="Arial"/>
          <w:i/>
          <w:iCs/>
          <w:szCs w:val="24"/>
        </w:rPr>
        <w:t>After increases in 2020-2021, the proportion of the coastwide stock represented by Biological Region 3 has decreased sharply in 2022,. This trend occurs in tandem with increases in Biological Regions 2, 4 and 4B; however, all regions remain within the historical range observed from 1993-2021.</w:t>
      </w:r>
      <w:r w:rsidR="00F174A2" w:rsidRPr="00F174A2" w:rsidDel="00F174A2">
        <w:rPr>
          <w:rFonts w:ascii="Arial" w:hAnsi="Arial" w:cs="Arial"/>
          <w:i/>
          <w:iCs/>
          <w:szCs w:val="24"/>
        </w:rPr>
        <w:t xml:space="preserve"> </w:t>
      </w:r>
    </w:p>
    <w:p w14:paraId="649E3858" w14:textId="68367A56" w:rsidR="00C72E37" w:rsidRPr="00F174A2" w:rsidRDefault="00C72E37" w:rsidP="004E2470">
      <w:pPr>
        <w:pStyle w:val="IPHCreference"/>
        <w:tabs>
          <w:tab w:val="left" w:pos="5184"/>
        </w:tabs>
        <w:spacing w:before="120" w:after="120"/>
        <w:ind w:left="720" w:firstLine="0"/>
        <w:jc w:val="both"/>
        <w:rPr>
          <w:rFonts w:ascii="Arial" w:hAnsi="Arial" w:cs="Arial"/>
          <w:i/>
          <w:iCs/>
          <w:szCs w:val="24"/>
        </w:rPr>
      </w:pPr>
      <w:r w:rsidRPr="00F174A2">
        <w:rPr>
          <w:rFonts w:ascii="Arial" w:hAnsi="Arial" w:cs="Arial"/>
          <w:b/>
          <w:bCs/>
          <w:i/>
          <w:iCs/>
          <w:szCs w:val="24"/>
        </w:rPr>
        <w:lastRenderedPageBreak/>
        <w:t>Outlook</w:t>
      </w:r>
      <w:r w:rsidRPr="00F174A2">
        <w:rPr>
          <w:rFonts w:ascii="Arial" w:hAnsi="Arial" w:cs="Arial"/>
          <w:i/>
          <w:iCs/>
          <w:szCs w:val="24"/>
        </w:rPr>
        <w:t xml:space="preserve">: </w:t>
      </w:r>
      <w:r w:rsidR="00F174A2" w:rsidRPr="00F174A2">
        <w:rPr>
          <w:rFonts w:ascii="Arial" w:hAnsi="Arial" w:cs="Arial"/>
          <w:i/>
          <w:iCs/>
          <w:szCs w:val="24"/>
        </w:rPr>
        <w:t xml:space="preserve">The projections for this assessment are much more optimistic than those from recent assessments due to the increase in the estimated productivity of the stock resulting from 3/4 rather than 2/4 models estimating natural mortality at much higher values than the historical fixed assumption of 0.15. Further, the trend in spawning biomass is estimated to have stabilized as the 2012 year-class continues to mature. This translates to a lower probability of stock decline at higher yields for 2023 than in recent assessments as well as a decrease in this probability through 2024-26. There is greater than a 50% probability of stock decline in 2024 (53-86/100) for all yields greater than the status quo, including the entire range of SPR values from 40-46%. The 2023 “3-year surplus” alternative, corresponds to a Total Constant Exploitation Yield </w:t>
      </w:r>
      <w:r w:rsidR="00F174A2">
        <w:rPr>
          <w:rFonts w:ascii="Arial" w:hAnsi="Arial" w:cs="Arial"/>
          <w:i/>
          <w:iCs/>
          <w:szCs w:val="24"/>
        </w:rPr>
        <w:t>(</w:t>
      </w:r>
      <w:r w:rsidR="00F174A2" w:rsidRPr="00F174A2">
        <w:rPr>
          <w:rFonts w:ascii="Arial" w:hAnsi="Arial" w:cs="Arial"/>
          <w:i/>
          <w:iCs/>
          <w:szCs w:val="24"/>
        </w:rPr>
        <w:t>TCEY</w:t>
      </w:r>
      <w:r w:rsidR="00F174A2">
        <w:rPr>
          <w:rFonts w:ascii="Arial" w:hAnsi="Arial" w:cs="Arial"/>
          <w:i/>
          <w:iCs/>
          <w:szCs w:val="24"/>
        </w:rPr>
        <w:t>)</w:t>
      </w:r>
      <w:r w:rsidR="00F174A2" w:rsidRPr="00F174A2">
        <w:rPr>
          <w:rFonts w:ascii="Arial" w:hAnsi="Arial" w:cs="Arial"/>
          <w:i/>
          <w:iCs/>
          <w:szCs w:val="24"/>
        </w:rPr>
        <w:t xml:space="preserve"> of 43.0 million pounds 19,504 t), and a projected SPR of 48% (credible interval 28-62%</w:t>
      </w:r>
      <w:r w:rsidR="00F174A2">
        <w:rPr>
          <w:rFonts w:ascii="Arial" w:hAnsi="Arial" w:cs="Arial"/>
          <w:i/>
          <w:iCs/>
          <w:szCs w:val="24"/>
        </w:rPr>
        <w:t>)</w:t>
      </w:r>
      <w:r w:rsidR="00F174A2" w:rsidRPr="00F174A2">
        <w:rPr>
          <w:rFonts w:ascii="Arial" w:hAnsi="Arial" w:cs="Arial"/>
          <w:i/>
          <w:iCs/>
          <w:szCs w:val="24"/>
        </w:rPr>
        <w:t>. At the reference level (a</w:t>
      </w:r>
      <w:r w:rsidR="00F174A2">
        <w:rPr>
          <w:rFonts w:ascii="Arial" w:hAnsi="Arial" w:cs="Arial"/>
          <w:i/>
          <w:iCs/>
          <w:szCs w:val="24"/>
        </w:rPr>
        <w:t> </w:t>
      </w:r>
      <w:r w:rsidR="00F174A2" w:rsidRPr="00F174A2">
        <w:rPr>
          <w:rFonts w:ascii="Arial" w:hAnsi="Arial" w:cs="Arial"/>
          <w:i/>
          <w:iCs/>
          <w:szCs w:val="24"/>
        </w:rPr>
        <w:t>projected SPR of 43%), the probability of spawning biomass decline from 2023 to 2024 is 75%, decreasing to 71% in three years. The one-year risk of the stock dropping below SB30% is 25% across all alternatives.</w:t>
      </w:r>
    </w:p>
    <w:p w14:paraId="3C724700" w14:textId="6628DAEA" w:rsidR="00B2121C" w:rsidRDefault="00C1569C" w:rsidP="004E2470">
      <w:pPr>
        <w:ind w:firstLine="360"/>
      </w:pPr>
      <w:r w:rsidRPr="00F174A2">
        <w:t xml:space="preserve">For more information on the </w:t>
      </w:r>
      <w:r w:rsidR="00F174A2" w:rsidRPr="00F174A2">
        <w:t>202</w:t>
      </w:r>
      <w:r w:rsidR="00F174A2">
        <w:t>2</w:t>
      </w:r>
      <w:r w:rsidR="00F174A2" w:rsidRPr="00F174A2">
        <w:t xml:space="preserve"> </w:t>
      </w:r>
      <w:r w:rsidRPr="00F174A2">
        <w:t>stock asse</w:t>
      </w:r>
      <w:r w:rsidR="00565E38" w:rsidRPr="00F174A2">
        <w:t>ssment and the fishery status</w:t>
      </w:r>
      <w:r w:rsidRPr="00F174A2">
        <w:t>, please refer to paper</w:t>
      </w:r>
      <w:r w:rsidR="00F174A2">
        <w:t xml:space="preserve"> </w:t>
      </w:r>
      <w:hyperlink r:id="rId23" w:history="1">
        <w:r w:rsidR="00F174A2" w:rsidRPr="00F174A2">
          <w:rPr>
            <w:rStyle w:val="Hyperlink"/>
          </w:rPr>
          <w:t>IPHC-2023-AM099-11</w:t>
        </w:r>
      </w:hyperlink>
      <w:r w:rsidR="00F174A2">
        <w:t xml:space="preserve"> </w:t>
      </w:r>
      <w:r w:rsidRPr="00F174A2">
        <w:t>at the IPHC website.</w:t>
      </w:r>
    </w:p>
    <w:p w14:paraId="486340E3" w14:textId="77777777" w:rsidR="00AD3D13" w:rsidRPr="00F174A2" w:rsidRDefault="00AD3D13" w:rsidP="004E2470">
      <w:pPr>
        <w:ind w:firstLine="360"/>
      </w:pPr>
    </w:p>
    <w:p w14:paraId="09EC3CFC" w14:textId="5C301A6A" w:rsidR="009D4E83" w:rsidRPr="0013322C" w:rsidRDefault="009D4E83" w:rsidP="00FF3D19">
      <w:pPr>
        <w:pStyle w:val="Heading3"/>
        <w:rPr>
          <w:rFonts w:ascii="Arial" w:hAnsi="Arial" w:cs="Arial"/>
          <w:b/>
          <w:highlight w:val="lightGray"/>
        </w:rPr>
      </w:pPr>
      <w:bookmarkStart w:id="10" w:name="_Toc130470103"/>
      <w:r w:rsidRPr="0013322C">
        <w:rPr>
          <w:rFonts w:ascii="Arial" w:hAnsi="Arial" w:cs="Arial"/>
          <w:b/>
          <w:highlight w:val="lightGray"/>
        </w:rPr>
        <w:t>Management</w:t>
      </w:r>
      <w:bookmarkEnd w:id="10"/>
    </w:p>
    <w:p w14:paraId="18676660" w14:textId="02814CDD" w:rsidR="004E20DC" w:rsidRPr="0013322C" w:rsidRDefault="00001EA5" w:rsidP="004E2470">
      <w:pPr>
        <w:ind w:firstLine="360"/>
        <w:rPr>
          <w:shd w:val="clear" w:color="auto" w:fill="FFFFFF"/>
        </w:rPr>
      </w:pPr>
      <w:r w:rsidRPr="0013322C">
        <w:rPr>
          <w:shd w:val="clear" w:color="auto" w:fill="FFFFFF"/>
        </w:rPr>
        <w:t>T</w:t>
      </w:r>
      <w:r w:rsidR="004E20DC" w:rsidRPr="0013322C">
        <w:rPr>
          <w:shd w:val="clear" w:color="auto" w:fill="FFFFFF"/>
        </w:rPr>
        <w:t xml:space="preserve">he IPHC completed the </w:t>
      </w:r>
      <w:r w:rsidR="00F174A2" w:rsidRPr="0013322C">
        <w:rPr>
          <w:shd w:val="clear" w:color="auto" w:fill="FFFFFF"/>
        </w:rPr>
        <w:t>99</w:t>
      </w:r>
      <w:r w:rsidR="00F174A2" w:rsidRPr="0013322C">
        <w:rPr>
          <w:shd w:val="clear" w:color="auto" w:fill="FFFFFF"/>
          <w:vertAlign w:val="superscript"/>
        </w:rPr>
        <w:t>th</w:t>
      </w:r>
      <w:r w:rsidR="00F174A2" w:rsidRPr="0013322C">
        <w:rPr>
          <w:shd w:val="clear" w:color="auto" w:fill="FFFFFF"/>
        </w:rPr>
        <w:t xml:space="preserve"> </w:t>
      </w:r>
      <w:r w:rsidR="004E20DC" w:rsidRPr="0013322C">
        <w:rPr>
          <w:shd w:val="clear" w:color="auto" w:fill="FFFFFF"/>
        </w:rPr>
        <w:t>Session of the IPHC Annual Meeting (AM09</w:t>
      </w:r>
      <w:r w:rsidR="004C479F">
        <w:rPr>
          <w:shd w:val="clear" w:color="auto" w:fill="FFFFFF"/>
        </w:rPr>
        <w:t>9</w:t>
      </w:r>
      <w:r w:rsidR="004E20DC" w:rsidRPr="0013322C">
        <w:rPr>
          <w:shd w:val="clear" w:color="auto" w:fill="FFFFFF"/>
        </w:rPr>
        <w:t xml:space="preserve">) on </w:t>
      </w:r>
      <w:r w:rsidR="00F174A2" w:rsidRPr="0013322C">
        <w:rPr>
          <w:shd w:val="clear" w:color="auto" w:fill="FFFFFF"/>
        </w:rPr>
        <w:t>2</w:t>
      </w:r>
      <w:r w:rsidR="00F174A2">
        <w:rPr>
          <w:shd w:val="clear" w:color="auto" w:fill="FFFFFF"/>
        </w:rPr>
        <w:t>7</w:t>
      </w:r>
      <w:r w:rsidR="00F174A2" w:rsidRPr="0013322C">
        <w:rPr>
          <w:shd w:val="clear" w:color="auto" w:fill="FFFFFF"/>
        </w:rPr>
        <w:t xml:space="preserve"> </w:t>
      </w:r>
      <w:r w:rsidR="004E20DC" w:rsidRPr="0013322C">
        <w:rPr>
          <w:shd w:val="clear" w:color="auto" w:fill="FFFFFF"/>
        </w:rPr>
        <w:t xml:space="preserve">January </w:t>
      </w:r>
      <w:r w:rsidR="00F174A2" w:rsidRPr="0013322C">
        <w:rPr>
          <w:shd w:val="clear" w:color="auto" w:fill="FFFFFF"/>
        </w:rPr>
        <w:t>202</w:t>
      </w:r>
      <w:r w:rsidR="00F174A2">
        <w:rPr>
          <w:shd w:val="clear" w:color="auto" w:fill="FFFFFF"/>
        </w:rPr>
        <w:t>3</w:t>
      </w:r>
      <w:r w:rsidR="00F174A2" w:rsidRPr="0013322C">
        <w:rPr>
          <w:shd w:val="clear" w:color="auto" w:fill="FFFFFF"/>
        </w:rPr>
        <w:t xml:space="preserve"> </w:t>
      </w:r>
      <w:r w:rsidR="004E20DC" w:rsidRPr="0013322C">
        <w:rPr>
          <w:shd w:val="clear" w:color="auto" w:fill="FFFFFF"/>
        </w:rPr>
        <w:t xml:space="preserve">with decisions on total mortality limits, fishery limits, fishing period dates, and other fishery regulation changes. A total of </w:t>
      </w:r>
      <w:r w:rsidR="00654E33">
        <w:rPr>
          <w:shd w:val="clear" w:color="auto" w:fill="FFFFFF"/>
        </w:rPr>
        <w:t>134</w:t>
      </w:r>
      <w:r w:rsidR="00654E33" w:rsidRPr="0013322C">
        <w:rPr>
          <w:shd w:val="clear" w:color="auto" w:fill="FFFFFF"/>
        </w:rPr>
        <w:t xml:space="preserve"> </w:t>
      </w:r>
      <w:r w:rsidR="00654E33">
        <w:rPr>
          <w:shd w:val="clear" w:color="auto" w:fill="FFFFFF"/>
        </w:rPr>
        <w:t>members of the public</w:t>
      </w:r>
      <w:r w:rsidR="00654E33" w:rsidRPr="0013322C">
        <w:rPr>
          <w:shd w:val="clear" w:color="auto" w:fill="FFFFFF"/>
        </w:rPr>
        <w:t xml:space="preserve"> </w:t>
      </w:r>
      <w:r w:rsidR="004E20DC" w:rsidRPr="0013322C">
        <w:rPr>
          <w:shd w:val="clear" w:color="auto" w:fill="FFFFFF"/>
        </w:rPr>
        <w:t xml:space="preserve">attended the </w:t>
      </w:r>
      <w:r w:rsidR="00654E33">
        <w:rPr>
          <w:shd w:val="clear" w:color="auto" w:fill="FFFFFF"/>
        </w:rPr>
        <w:t>Session</w:t>
      </w:r>
      <w:r w:rsidR="004E20DC" w:rsidRPr="0013322C">
        <w:rPr>
          <w:shd w:val="clear" w:color="auto" w:fill="FFFFFF"/>
        </w:rPr>
        <w:t>.</w:t>
      </w:r>
    </w:p>
    <w:p w14:paraId="6A7ACDF7" w14:textId="06258C05" w:rsidR="00153A5B" w:rsidRPr="0013322C" w:rsidRDefault="00153A5B" w:rsidP="004E2470">
      <w:pPr>
        <w:ind w:firstLine="360"/>
        <w:rPr>
          <w:lang w:val="en-CA"/>
        </w:rPr>
      </w:pPr>
      <w:r w:rsidRPr="0013322C">
        <w:rPr>
          <w:shd w:val="clear" w:color="auto" w:fill="FFFFFF"/>
        </w:rPr>
        <w:t xml:space="preserve">Meeting documents, presentations, recordings of the sessions, and the report of the meeting are available on the </w:t>
      </w:r>
      <w:r w:rsidR="0013322C" w:rsidRPr="0013322C">
        <w:rPr>
          <w:shd w:val="clear" w:color="auto" w:fill="FFFFFF"/>
        </w:rPr>
        <w:t>AM09</w:t>
      </w:r>
      <w:r w:rsidR="0013322C">
        <w:rPr>
          <w:shd w:val="clear" w:color="auto" w:fill="FFFFFF"/>
        </w:rPr>
        <w:t>9</w:t>
      </w:r>
      <w:r w:rsidR="0013322C" w:rsidRPr="0013322C">
        <w:rPr>
          <w:shd w:val="clear" w:color="auto" w:fill="FFFFFF"/>
        </w:rPr>
        <w:t xml:space="preserve"> </w:t>
      </w:r>
      <w:r w:rsidRPr="0013322C">
        <w:rPr>
          <w:shd w:val="clear" w:color="auto" w:fill="FFFFFF"/>
        </w:rPr>
        <w:t xml:space="preserve">meeting page at the IPHC website: </w:t>
      </w:r>
      <w:hyperlink r:id="rId24" w:history="1">
        <w:r w:rsidR="0013322C" w:rsidRPr="0013322C">
          <w:rPr>
            <w:rStyle w:val="Hyperlink"/>
            <w:shd w:val="clear" w:color="auto" w:fill="FFFFFF"/>
          </w:rPr>
          <w:t>99th Session of the IPHC Annual Meeting (AM099)</w:t>
        </w:r>
      </w:hyperlink>
      <w:r w:rsidRPr="0013322C">
        <w:rPr>
          <w:shd w:val="clear" w:color="auto" w:fill="FFFFFF"/>
        </w:rPr>
        <w:t xml:space="preserve">. </w:t>
      </w:r>
      <w:r w:rsidRPr="0013322C">
        <w:t xml:space="preserve">Decisions arising from this meeting, including management decisions, are documented in the following report: </w:t>
      </w:r>
      <w:hyperlink r:id="rId25" w:history="1">
        <w:r w:rsidR="0013322C" w:rsidRPr="0013322C">
          <w:rPr>
            <w:rStyle w:val="Hyperlink"/>
          </w:rPr>
          <w:t xml:space="preserve">Report of the </w:t>
        </w:r>
        <w:r w:rsidR="003371CA" w:rsidRPr="0013322C">
          <w:rPr>
            <w:rStyle w:val="Hyperlink"/>
          </w:rPr>
          <w:t>9</w:t>
        </w:r>
        <w:r w:rsidR="003371CA">
          <w:rPr>
            <w:rStyle w:val="Hyperlink"/>
          </w:rPr>
          <w:t>9</w:t>
        </w:r>
        <w:r w:rsidR="003371CA" w:rsidRPr="0013322C">
          <w:rPr>
            <w:rStyle w:val="Hyperlink"/>
          </w:rPr>
          <w:t xml:space="preserve">th </w:t>
        </w:r>
        <w:r w:rsidR="0013322C" w:rsidRPr="0013322C">
          <w:rPr>
            <w:rStyle w:val="Hyperlink"/>
          </w:rPr>
          <w:t>Session of the IPHC Annual Meeting (</w:t>
        </w:r>
        <w:r w:rsidR="003371CA" w:rsidRPr="0013322C">
          <w:rPr>
            <w:rStyle w:val="Hyperlink"/>
          </w:rPr>
          <w:t>AM09</w:t>
        </w:r>
        <w:r w:rsidR="003371CA">
          <w:rPr>
            <w:rStyle w:val="Hyperlink"/>
          </w:rPr>
          <w:t>9</w:t>
        </w:r>
        <w:r w:rsidR="0013322C" w:rsidRPr="0013322C">
          <w:rPr>
            <w:rStyle w:val="Hyperlink"/>
          </w:rPr>
          <w:t>)</w:t>
        </w:r>
      </w:hyperlink>
      <w:r w:rsidRPr="0013322C">
        <w:t>.</w:t>
      </w:r>
    </w:p>
    <w:p w14:paraId="696EC09A" w14:textId="77777777" w:rsidR="007078BB" w:rsidRPr="0013322C" w:rsidRDefault="00BC2B15" w:rsidP="007078BB">
      <w:pPr>
        <w:keepNext/>
        <w:spacing w:before="240" w:after="240"/>
        <w:rPr>
          <w:i/>
          <w:iCs/>
          <w:shd w:val="clear" w:color="auto" w:fill="FFFFFF"/>
        </w:rPr>
      </w:pPr>
      <w:r w:rsidRPr="0013322C">
        <w:rPr>
          <w:i/>
          <w:iCs/>
          <w:shd w:val="clear" w:color="auto" w:fill="FFFFFF"/>
        </w:rPr>
        <w:t>Mortality limits</w:t>
      </w:r>
    </w:p>
    <w:p w14:paraId="4E7EB88D" w14:textId="462A77C7" w:rsidR="00862452" w:rsidRPr="0013322C" w:rsidRDefault="00AC48DF" w:rsidP="000E6094">
      <w:pPr>
        <w:ind w:firstLine="360"/>
        <w:rPr>
          <w:shd w:val="clear" w:color="auto" w:fill="FFFFFF"/>
        </w:rPr>
      </w:pPr>
      <w:r w:rsidRPr="0013322C">
        <w:rPr>
          <w:shd w:val="clear" w:color="auto" w:fill="FFFFFF"/>
        </w:rPr>
        <w:t xml:space="preserve">Mortality limits adopted for </w:t>
      </w:r>
      <w:r w:rsidR="0013322C" w:rsidRPr="0013322C">
        <w:rPr>
          <w:shd w:val="clear" w:color="auto" w:fill="FFFFFF"/>
        </w:rPr>
        <w:t xml:space="preserve">2023 </w:t>
      </w:r>
      <w:r w:rsidRPr="0013322C">
        <w:rPr>
          <w:shd w:val="clear" w:color="auto" w:fill="FFFFFF"/>
        </w:rPr>
        <w:t xml:space="preserve">added up to a </w:t>
      </w:r>
      <w:r w:rsidR="0013322C" w:rsidRPr="0013322C">
        <w:rPr>
          <w:shd w:val="clear" w:color="auto" w:fill="FFFFFF"/>
        </w:rPr>
        <w:t>10.3</w:t>
      </w:r>
      <w:r w:rsidRPr="0013322C">
        <w:rPr>
          <w:shd w:val="clear" w:color="auto" w:fill="FFFFFF"/>
        </w:rPr>
        <w:t xml:space="preserve">% </w:t>
      </w:r>
      <w:r w:rsidR="0013322C" w:rsidRPr="0013322C">
        <w:rPr>
          <w:shd w:val="clear" w:color="auto" w:fill="FFFFFF"/>
        </w:rPr>
        <w:t>de</w:t>
      </w:r>
      <w:r w:rsidRPr="0013322C">
        <w:rPr>
          <w:shd w:val="clear" w:color="auto" w:fill="FFFFFF"/>
        </w:rPr>
        <w:t xml:space="preserve">crease </w:t>
      </w:r>
      <w:r w:rsidR="00153A5B" w:rsidRPr="0013322C">
        <w:rPr>
          <w:shd w:val="clear" w:color="auto" w:fill="FFFFFF"/>
        </w:rPr>
        <w:t xml:space="preserve">in comparison with the last year </w:t>
      </w:r>
      <w:r w:rsidR="00BC2B15" w:rsidRPr="0013322C">
        <w:rPr>
          <w:shd w:val="clear" w:color="auto" w:fill="FFFFFF"/>
        </w:rPr>
        <w:t>(</w:t>
      </w:r>
      <w:hyperlink w:anchor="tab1" w:history="1">
        <w:r w:rsidR="00BC2B15" w:rsidRPr="0013322C">
          <w:rPr>
            <w:rStyle w:val="Hyperlink"/>
            <w:color w:val="auto"/>
            <w:shd w:val="clear" w:color="auto" w:fill="FFFFFF"/>
          </w:rPr>
          <w:t>Table 1</w:t>
        </w:r>
      </w:hyperlink>
      <w:r w:rsidR="00BC2B15" w:rsidRPr="0013322C">
        <w:rPr>
          <w:shd w:val="clear" w:color="auto" w:fill="FFFFFF"/>
        </w:rPr>
        <w:t>).</w:t>
      </w:r>
      <w:r w:rsidR="0013322C" w:rsidRPr="0013322C">
        <w:rPr>
          <w:shd w:val="clear" w:color="auto" w:fill="FFFFFF"/>
        </w:rPr>
        <w:t xml:space="preserve"> The adopted mortality limits for 2023 correspond to a 38% probability of stock decline through 2024, and a 36% probability of stock decline through </w:t>
      </w:r>
      <w:proofErr w:type="gramStart"/>
      <w:r w:rsidR="0013322C" w:rsidRPr="0013322C">
        <w:rPr>
          <w:shd w:val="clear" w:color="auto" w:fill="FFFFFF"/>
        </w:rPr>
        <w:t>2026</w:t>
      </w:r>
      <w:proofErr w:type="gramEnd"/>
    </w:p>
    <w:p w14:paraId="0CB31E4E" w14:textId="356E678B" w:rsidR="0057517B" w:rsidRPr="0013322C" w:rsidRDefault="0057517B" w:rsidP="0013322C">
      <w:pPr>
        <w:keepNext/>
        <w:shd w:val="clear" w:color="auto" w:fill="FFFFFF"/>
        <w:spacing w:before="100" w:beforeAutospacing="1"/>
        <w:rPr>
          <w:shd w:val="clear" w:color="auto" w:fill="FFFFFF"/>
        </w:rPr>
      </w:pPr>
      <w:r w:rsidRPr="0013322C">
        <w:rPr>
          <w:shd w:val="clear" w:color="auto" w:fill="FFFFFF"/>
        </w:rPr>
        <w:lastRenderedPageBreak/>
        <w:t>Table 1</w:t>
      </w:r>
      <w:r w:rsidR="004C479F">
        <w:rPr>
          <w:shd w:val="clear" w:color="auto" w:fill="FFFFFF"/>
        </w:rPr>
        <w:t>.</w:t>
      </w:r>
      <w:r w:rsidRPr="0013322C">
        <w:rPr>
          <w:shd w:val="clear" w:color="auto" w:fill="FFFFFF"/>
        </w:rPr>
        <w:t xml:space="preserve"> Mortality limits for </w:t>
      </w:r>
      <w:r w:rsidR="0013322C" w:rsidRPr="0013322C">
        <w:rPr>
          <w:shd w:val="clear" w:color="auto" w:fill="FFFFFF"/>
        </w:rPr>
        <w:t xml:space="preserve">2022 </w:t>
      </w:r>
      <w:r w:rsidRPr="0013322C">
        <w:rPr>
          <w:shd w:val="clear" w:color="auto" w:fill="FFFFFF"/>
        </w:rPr>
        <w:t xml:space="preserve">and </w:t>
      </w:r>
      <w:r w:rsidR="0013322C" w:rsidRPr="0013322C">
        <w:rPr>
          <w:shd w:val="clear" w:color="auto" w:fill="FFFFFF"/>
        </w:rPr>
        <w:t>2023</w:t>
      </w:r>
      <w:r w:rsidRPr="0013322C">
        <w:rPr>
          <w:shd w:val="clear" w:color="auto" w:fill="FFFFFF"/>
        </w:rPr>
        <w:t>.</w:t>
      </w:r>
      <w:bookmarkStart w:id="11" w:name="tab1"/>
      <w:bookmarkEnd w:id="11"/>
    </w:p>
    <w:tbl>
      <w:tblPr>
        <w:tblStyle w:val="TableGrid"/>
        <w:tblW w:w="9355" w:type="dxa"/>
        <w:tblLook w:val="04A0" w:firstRow="1" w:lastRow="0" w:firstColumn="1" w:lastColumn="0" w:noHBand="0" w:noVBand="1"/>
      </w:tblPr>
      <w:tblGrid>
        <w:gridCol w:w="2785"/>
        <w:gridCol w:w="2295"/>
        <w:gridCol w:w="2295"/>
        <w:gridCol w:w="1980"/>
      </w:tblGrid>
      <w:tr w:rsidR="0013322C" w:rsidRPr="0013322C" w14:paraId="61830B59" w14:textId="77777777" w:rsidTr="0013322C">
        <w:tc>
          <w:tcPr>
            <w:tcW w:w="2785" w:type="dxa"/>
          </w:tcPr>
          <w:p w14:paraId="585C52DF" w14:textId="62A93198" w:rsidR="0013322C" w:rsidRPr="0013322C" w:rsidRDefault="0013322C" w:rsidP="0013322C">
            <w:pPr>
              <w:keepNext/>
              <w:spacing w:before="100" w:beforeAutospacing="1" w:after="100" w:afterAutospacing="1"/>
              <w:jc w:val="center"/>
              <w:rPr>
                <w:b/>
                <w:bCs/>
                <w:shd w:val="clear" w:color="auto" w:fill="FFFFFF"/>
              </w:rPr>
            </w:pPr>
            <w:r w:rsidRPr="0013322C">
              <w:rPr>
                <w:b/>
                <w:bCs/>
                <w:shd w:val="clear" w:color="auto" w:fill="FFFFFF"/>
              </w:rPr>
              <w:t>IPHC Regulatory Area</w:t>
            </w:r>
          </w:p>
        </w:tc>
        <w:tc>
          <w:tcPr>
            <w:tcW w:w="2295" w:type="dxa"/>
          </w:tcPr>
          <w:p w14:paraId="114B4529" w14:textId="74F04D12" w:rsidR="0013322C" w:rsidRPr="0013322C" w:rsidRDefault="0013322C" w:rsidP="0013322C">
            <w:pPr>
              <w:keepNext/>
              <w:spacing w:before="100" w:beforeAutospacing="1" w:after="100" w:afterAutospacing="1"/>
              <w:jc w:val="center"/>
              <w:rPr>
                <w:b/>
                <w:bCs/>
                <w:shd w:val="clear" w:color="auto" w:fill="FFFFFF"/>
              </w:rPr>
            </w:pPr>
            <w:r w:rsidRPr="0013322C">
              <w:rPr>
                <w:b/>
                <w:bCs/>
                <w:shd w:val="clear" w:color="auto" w:fill="FFFFFF"/>
              </w:rPr>
              <w:t>2022 TCEY (</w:t>
            </w:r>
            <w:proofErr w:type="spellStart"/>
            <w:r w:rsidRPr="0013322C">
              <w:rPr>
                <w:b/>
                <w:bCs/>
                <w:shd w:val="clear" w:color="auto" w:fill="FFFFFF"/>
              </w:rPr>
              <w:t>Mlbs</w:t>
            </w:r>
            <w:proofErr w:type="spellEnd"/>
            <w:r w:rsidRPr="0013322C">
              <w:rPr>
                <w:b/>
                <w:bCs/>
                <w:shd w:val="clear" w:color="auto" w:fill="FFFFFF"/>
              </w:rPr>
              <w:t>)</w:t>
            </w:r>
          </w:p>
        </w:tc>
        <w:tc>
          <w:tcPr>
            <w:tcW w:w="2295" w:type="dxa"/>
          </w:tcPr>
          <w:p w14:paraId="5142026D" w14:textId="45507B35" w:rsidR="0013322C" w:rsidRPr="0013322C" w:rsidRDefault="0013322C" w:rsidP="0013322C">
            <w:pPr>
              <w:keepNext/>
              <w:spacing w:before="100" w:beforeAutospacing="1" w:after="100" w:afterAutospacing="1"/>
              <w:jc w:val="center"/>
              <w:rPr>
                <w:b/>
                <w:bCs/>
                <w:shd w:val="clear" w:color="auto" w:fill="FFFFFF"/>
              </w:rPr>
            </w:pPr>
            <w:r w:rsidRPr="0013322C">
              <w:rPr>
                <w:b/>
                <w:bCs/>
                <w:shd w:val="clear" w:color="auto" w:fill="FFFFFF"/>
              </w:rPr>
              <w:t>2023 TCEY (</w:t>
            </w:r>
            <w:proofErr w:type="spellStart"/>
            <w:r w:rsidRPr="0013322C">
              <w:rPr>
                <w:b/>
                <w:bCs/>
                <w:shd w:val="clear" w:color="auto" w:fill="FFFFFF"/>
              </w:rPr>
              <w:t>Mlbs</w:t>
            </w:r>
            <w:proofErr w:type="spellEnd"/>
            <w:r w:rsidRPr="0013322C">
              <w:rPr>
                <w:b/>
                <w:bCs/>
                <w:shd w:val="clear" w:color="auto" w:fill="FFFFFF"/>
              </w:rPr>
              <w:t>)</w:t>
            </w:r>
          </w:p>
        </w:tc>
        <w:tc>
          <w:tcPr>
            <w:tcW w:w="1980" w:type="dxa"/>
          </w:tcPr>
          <w:p w14:paraId="0FA90074" w14:textId="629034AF" w:rsidR="0013322C" w:rsidRPr="0013322C" w:rsidRDefault="0013322C" w:rsidP="0013322C">
            <w:pPr>
              <w:keepNext/>
              <w:spacing w:before="100" w:beforeAutospacing="1" w:after="100" w:afterAutospacing="1"/>
              <w:jc w:val="center"/>
              <w:rPr>
                <w:b/>
                <w:bCs/>
                <w:shd w:val="clear" w:color="auto" w:fill="FFFFFF"/>
              </w:rPr>
            </w:pPr>
            <w:r w:rsidRPr="0013322C">
              <w:rPr>
                <w:b/>
                <w:bCs/>
                <w:shd w:val="clear" w:color="auto" w:fill="FFFFFF"/>
              </w:rPr>
              <w:t>Change</w:t>
            </w:r>
          </w:p>
        </w:tc>
      </w:tr>
      <w:tr w:rsidR="0013322C" w:rsidRPr="0013322C" w14:paraId="78413218" w14:textId="77777777" w:rsidTr="0013322C">
        <w:tc>
          <w:tcPr>
            <w:tcW w:w="2785" w:type="dxa"/>
          </w:tcPr>
          <w:p w14:paraId="7B5751C9" w14:textId="796F97F6"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2A</w:t>
            </w:r>
          </w:p>
        </w:tc>
        <w:tc>
          <w:tcPr>
            <w:tcW w:w="2295" w:type="dxa"/>
          </w:tcPr>
          <w:p w14:paraId="1C032BE9" w14:textId="1D7659FB"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1.65</w:t>
            </w:r>
          </w:p>
        </w:tc>
        <w:tc>
          <w:tcPr>
            <w:tcW w:w="2295" w:type="dxa"/>
          </w:tcPr>
          <w:p w14:paraId="52CDDF07" w14:textId="21FFCC8C"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1.65</w:t>
            </w:r>
          </w:p>
        </w:tc>
        <w:tc>
          <w:tcPr>
            <w:tcW w:w="1980" w:type="dxa"/>
          </w:tcPr>
          <w:p w14:paraId="40B84523" w14:textId="769B3567"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w:t>
            </w:r>
          </w:p>
        </w:tc>
      </w:tr>
      <w:tr w:rsidR="0013322C" w:rsidRPr="0013322C" w14:paraId="0487EAD8" w14:textId="77777777" w:rsidTr="0013322C">
        <w:tc>
          <w:tcPr>
            <w:tcW w:w="2785" w:type="dxa"/>
          </w:tcPr>
          <w:p w14:paraId="782BAF83" w14:textId="522CA528"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Canada: 2B</w:t>
            </w:r>
          </w:p>
        </w:tc>
        <w:tc>
          <w:tcPr>
            <w:tcW w:w="2295" w:type="dxa"/>
          </w:tcPr>
          <w:p w14:paraId="77EFB290" w14:textId="20F40E0C"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7.56</w:t>
            </w:r>
          </w:p>
        </w:tc>
        <w:tc>
          <w:tcPr>
            <w:tcW w:w="2295" w:type="dxa"/>
          </w:tcPr>
          <w:p w14:paraId="62569D7A" w14:textId="5F2C7341"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6.78</w:t>
            </w:r>
          </w:p>
        </w:tc>
        <w:tc>
          <w:tcPr>
            <w:tcW w:w="1980" w:type="dxa"/>
          </w:tcPr>
          <w:p w14:paraId="41A22590" w14:textId="3B5CA741"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-10.3%</w:t>
            </w:r>
          </w:p>
        </w:tc>
      </w:tr>
      <w:tr w:rsidR="0013322C" w:rsidRPr="0013322C" w14:paraId="771F5F67" w14:textId="77777777" w:rsidTr="0013322C">
        <w:tc>
          <w:tcPr>
            <w:tcW w:w="2785" w:type="dxa"/>
          </w:tcPr>
          <w:p w14:paraId="6D4918AA" w14:textId="3EBA37F9"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2C</w:t>
            </w:r>
          </w:p>
        </w:tc>
        <w:tc>
          <w:tcPr>
            <w:tcW w:w="2295" w:type="dxa"/>
          </w:tcPr>
          <w:p w14:paraId="56D0EF11" w14:textId="22E12DBF"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5.91</w:t>
            </w:r>
          </w:p>
        </w:tc>
        <w:tc>
          <w:tcPr>
            <w:tcW w:w="2295" w:type="dxa"/>
          </w:tcPr>
          <w:p w14:paraId="6346A84D" w14:textId="0E060209"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5.85</w:t>
            </w:r>
          </w:p>
        </w:tc>
        <w:tc>
          <w:tcPr>
            <w:tcW w:w="1980" w:type="dxa"/>
          </w:tcPr>
          <w:p w14:paraId="28704BF9" w14:textId="6C8945BF"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-1.0%</w:t>
            </w:r>
          </w:p>
        </w:tc>
      </w:tr>
      <w:tr w:rsidR="0013322C" w:rsidRPr="0013322C" w14:paraId="464A611F" w14:textId="77777777" w:rsidTr="0013322C">
        <w:tc>
          <w:tcPr>
            <w:tcW w:w="2785" w:type="dxa"/>
          </w:tcPr>
          <w:p w14:paraId="099BEB5B" w14:textId="54CC7779"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3A</w:t>
            </w:r>
          </w:p>
        </w:tc>
        <w:tc>
          <w:tcPr>
            <w:tcW w:w="2295" w:type="dxa"/>
          </w:tcPr>
          <w:p w14:paraId="5A5E0F0F" w14:textId="398E4607"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14.55</w:t>
            </w:r>
          </w:p>
        </w:tc>
        <w:tc>
          <w:tcPr>
            <w:tcW w:w="2295" w:type="dxa"/>
          </w:tcPr>
          <w:p w14:paraId="087AC25F" w14:textId="2C4420D1"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12.08</w:t>
            </w:r>
          </w:p>
        </w:tc>
        <w:tc>
          <w:tcPr>
            <w:tcW w:w="1980" w:type="dxa"/>
          </w:tcPr>
          <w:p w14:paraId="6574A0D1" w14:textId="6945A81F"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-17.0%</w:t>
            </w:r>
          </w:p>
        </w:tc>
      </w:tr>
      <w:tr w:rsidR="0013322C" w:rsidRPr="0013322C" w14:paraId="5CDB65AA" w14:textId="77777777" w:rsidTr="0013322C">
        <w:tc>
          <w:tcPr>
            <w:tcW w:w="2785" w:type="dxa"/>
          </w:tcPr>
          <w:p w14:paraId="2E7CAB05" w14:textId="6562934F"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3B</w:t>
            </w:r>
          </w:p>
        </w:tc>
        <w:tc>
          <w:tcPr>
            <w:tcW w:w="2295" w:type="dxa"/>
          </w:tcPr>
          <w:p w14:paraId="0F532038" w14:textId="1A90DC2C"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3.90</w:t>
            </w:r>
          </w:p>
        </w:tc>
        <w:tc>
          <w:tcPr>
            <w:tcW w:w="2295" w:type="dxa"/>
          </w:tcPr>
          <w:p w14:paraId="7DF77F36" w14:textId="3E4258D8"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3.67</w:t>
            </w:r>
          </w:p>
        </w:tc>
        <w:tc>
          <w:tcPr>
            <w:tcW w:w="1980" w:type="dxa"/>
          </w:tcPr>
          <w:p w14:paraId="0307C9F5" w14:textId="304F914B"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-5.9%</w:t>
            </w:r>
          </w:p>
        </w:tc>
      </w:tr>
      <w:tr w:rsidR="0013322C" w:rsidRPr="0013322C" w14:paraId="632A6F61" w14:textId="77777777" w:rsidTr="0013322C">
        <w:tc>
          <w:tcPr>
            <w:tcW w:w="2785" w:type="dxa"/>
          </w:tcPr>
          <w:p w14:paraId="67D8044C" w14:textId="13767648"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4A</w:t>
            </w:r>
          </w:p>
        </w:tc>
        <w:tc>
          <w:tcPr>
            <w:tcW w:w="2295" w:type="dxa"/>
          </w:tcPr>
          <w:p w14:paraId="0F54EEBE" w14:textId="2BA33A3B"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2.10</w:t>
            </w:r>
          </w:p>
        </w:tc>
        <w:tc>
          <w:tcPr>
            <w:tcW w:w="2295" w:type="dxa"/>
          </w:tcPr>
          <w:p w14:paraId="75E7C9ED" w14:textId="40B2759D"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1.73</w:t>
            </w:r>
          </w:p>
        </w:tc>
        <w:tc>
          <w:tcPr>
            <w:tcW w:w="1980" w:type="dxa"/>
          </w:tcPr>
          <w:p w14:paraId="48579636" w14:textId="7785B087"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-17.6%</w:t>
            </w:r>
          </w:p>
        </w:tc>
      </w:tr>
      <w:tr w:rsidR="0013322C" w:rsidRPr="0013322C" w14:paraId="039ECD6B" w14:textId="77777777" w:rsidTr="0013322C">
        <w:tc>
          <w:tcPr>
            <w:tcW w:w="2785" w:type="dxa"/>
          </w:tcPr>
          <w:p w14:paraId="6DFFCD4D" w14:textId="34401D5C"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4B</w:t>
            </w:r>
          </w:p>
        </w:tc>
        <w:tc>
          <w:tcPr>
            <w:tcW w:w="2295" w:type="dxa"/>
          </w:tcPr>
          <w:p w14:paraId="433780AF" w14:textId="6053AF58"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1.45</w:t>
            </w:r>
          </w:p>
        </w:tc>
        <w:tc>
          <w:tcPr>
            <w:tcW w:w="2295" w:type="dxa"/>
          </w:tcPr>
          <w:p w14:paraId="5972B821" w14:textId="6287D33D"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1.36</w:t>
            </w:r>
          </w:p>
        </w:tc>
        <w:tc>
          <w:tcPr>
            <w:tcW w:w="1980" w:type="dxa"/>
          </w:tcPr>
          <w:p w14:paraId="435088D9" w14:textId="5ED2136B"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-6.2%</w:t>
            </w:r>
          </w:p>
        </w:tc>
      </w:tr>
      <w:tr w:rsidR="0013322C" w:rsidRPr="0013322C" w14:paraId="686221DB" w14:textId="77777777" w:rsidTr="0013322C">
        <w:tc>
          <w:tcPr>
            <w:tcW w:w="2785" w:type="dxa"/>
          </w:tcPr>
          <w:p w14:paraId="7E3B3A83" w14:textId="0D39B6E9"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USA: 4CDE</w:t>
            </w:r>
          </w:p>
        </w:tc>
        <w:tc>
          <w:tcPr>
            <w:tcW w:w="2295" w:type="dxa"/>
          </w:tcPr>
          <w:p w14:paraId="6C15AF48" w14:textId="39C3867F"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4.10</w:t>
            </w:r>
          </w:p>
        </w:tc>
        <w:tc>
          <w:tcPr>
            <w:tcW w:w="2295" w:type="dxa"/>
          </w:tcPr>
          <w:p w14:paraId="4A92E378" w14:textId="745405D1"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3.85</w:t>
            </w:r>
          </w:p>
        </w:tc>
        <w:tc>
          <w:tcPr>
            <w:tcW w:w="1980" w:type="dxa"/>
          </w:tcPr>
          <w:p w14:paraId="16F24C34" w14:textId="3C3FCAC2" w:rsidR="0013322C" w:rsidRPr="0013322C" w:rsidRDefault="0013322C" w:rsidP="0013322C">
            <w:pPr>
              <w:keepNext/>
              <w:spacing w:before="100" w:beforeAutospacing="1" w:after="100" w:afterAutospacing="1"/>
              <w:jc w:val="center"/>
              <w:rPr>
                <w:shd w:val="clear" w:color="auto" w:fill="FFFFFF"/>
              </w:rPr>
            </w:pPr>
            <w:r w:rsidRPr="0013322C">
              <w:rPr>
                <w:shd w:val="clear" w:color="auto" w:fill="FFFFFF"/>
              </w:rPr>
              <w:t>-6.1%</w:t>
            </w:r>
          </w:p>
        </w:tc>
      </w:tr>
      <w:tr w:rsidR="0013322C" w:rsidRPr="0013322C" w14:paraId="1D6188C0" w14:textId="77777777" w:rsidTr="0013322C">
        <w:tc>
          <w:tcPr>
            <w:tcW w:w="2785" w:type="dxa"/>
          </w:tcPr>
          <w:p w14:paraId="17B9CCE4" w14:textId="426F0AA0" w:rsidR="0013322C" w:rsidRPr="0013322C" w:rsidRDefault="0013322C" w:rsidP="0013322C">
            <w:pPr>
              <w:spacing w:before="100" w:beforeAutospacing="1" w:after="100" w:afterAutospacing="1"/>
              <w:jc w:val="center"/>
              <w:rPr>
                <w:b/>
                <w:bCs/>
                <w:shd w:val="clear" w:color="auto" w:fill="FFFFFF"/>
              </w:rPr>
            </w:pPr>
            <w:r w:rsidRPr="0013322C">
              <w:rPr>
                <w:b/>
                <w:bCs/>
                <w:shd w:val="clear" w:color="auto" w:fill="FFFFFF"/>
              </w:rPr>
              <w:t>IPHC Convention Area</w:t>
            </w:r>
          </w:p>
        </w:tc>
        <w:tc>
          <w:tcPr>
            <w:tcW w:w="2295" w:type="dxa"/>
          </w:tcPr>
          <w:p w14:paraId="71FA83B6" w14:textId="03355A23" w:rsidR="0013322C" w:rsidRPr="0013322C" w:rsidRDefault="0013322C" w:rsidP="0013322C">
            <w:pPr>
              <w:spacing w:before="100" w:beforeAutospacing="1" w:after="100" w:afterAutospacing="1"/>
              <w:jc w:val="center"/>
              <w:rPr>
                <w:b/>
                <w:bCs/>
                <w:shd w:val="clear" w:color="auto" w:fill="FFFFFF"/>
              </w:rPr>
            </w:pPr>
            <w:r w:rsidRPr="0013322C">
              <w:rPr>
                <w:b/>
                <w:bCs/>
                <w:shd w:val="clear" w:color="auto" w:fill="FFFFFF"/>
              </w:rPr>
              <w:t>41.22</w:t>
            </w:r>
          </w:p>
        </w:tc>
        <w:tc>
          <w:tcPr>
            <w:tcW w:w="2295" w:type="dxa"/>
          </w:tcPr>
          <w:p w14:paraId="67BCCEC2" w14:textId="25246264" w:rsidR="0013322C" w:rsidRPr="0013322C" w:rsidRDefault="0013322C" w:rsidP="0013322C">
            <w:pPr>
              <w:spacing w:before="100" w:beforeAutospacing="1" w:after="100" w:afterAutospacing="1"/>
              <w:jc w:val="center"/>
              <w:rPr>
                <w:b/>
                <w:bCs/>
                <w:shd w:val="clear" w:color="auto" w:fill="FFFFFF"/>
              </w:rPr>
            </w:pPr>
            <w:r w:rsidRPr="0013322C">
              <w:rPr>
                <w:b/>
                <w:bCs/>
                <w:shd w:val="clear" w:color="auto" w:fill="FFFFFF"/>
              </w:rPr>
              <w:t>39.97</w:t>
            </w:r>
          </w:p>
        </w:tc>
        <w:tc>
          <w:tcPr>
            <w:tcW w:w="1980" w:type="dxa"/>
          </w:tcPr>
          <w:p w14:paraId="329BC857" w14:textId="76525AFA" w:rsidR="0013322C" w:rsidRPr="0013322C" w:rsidRDefault="0013322C" w:rsidP="0013322C">
            <w:pPr>
              <w:spacing w:before="100" w:beforeAutospacing="1" w:after="100" w:afterAutospacing="1"/>
              <w:jc w:val="center"/>
              <w:rPr>
                <w:b/>
                <w:bCs/>
                <w:shd w:val="clear" w:color="auto" w:fill="FFFFFF"/>
              </w:rPr>
            </w:pPr>
            <w:r w:rsidRPr="0013322C">
              <w:rPr>
                <w:b/>
                <w:bCs/>
                <w:shd w:val="clear" w:color="auto" w:fill="FFFFFF"/>
              </w:rPr>
              <w:t>-10.3%</w:t>
            </w:r>
          </w:p>
        </w:tc>
      </w:tr>
    </w:tbl>
    <w:p w14:paraId="77338E38" w14:textId="77777777" w:rsidR="00C1569C" w:rsidRPr="0009626C" w:rsidRDefault="00C1569C" w:rsidP="007078BB">
      <w:pPr>
        <w:pStyle w:val="IPHCreference"/>
        <w:keepNext/>
        <w:spacing w:before="240" w:after="240"/>
        <w:ind w:left="0" w:firstLine="0"/>
        <w:jc w:val="both"/>
        <w:rPr>
          <w:rFonts w:ascii="Arial" w:hAnsi="Arial" w:cs="Arial"/>
          <w:szCs w:val="24"/>
          <w:u w:val="single"/>
        </w:rPr>
      </w:pPr>
      <w:r w:rsidRPr="0009626C">
        <w:rPr>
          <w:rFonts w:ascii="Arial" w:hAnsi="Arial" w:cs="Arial"/>
          <w:szCs w:val="24"/>
          <w:u w:val="single"/>
        </w:rPr>
        <w:t>Other Actions</w:t>
      </w:r>
    </w:p>
    <w:p w14:paraId="34611323" w14:textId="26A1AEC8" w:rsidR="00153A5B" w:rsidRPr="0009626C" w:rsidRDefault="00153A5B" w:rsidP="007078BB">
      <w:pPr>
        <w:pStyle w:val="IPHCreference"/>
        <w:spacing w:before="240" w:after="240"/>
        <w:ind w:left="0" w:firstLine="0"/>
        <w:jc w:val="both"/>
        <w:rPr>
          <w:rFonts w:ascii="Arial" w:eastAsiaTheme="minorHAnsi" w:hAnsi="Arial" w:cs="Arial"/>
          <w:noProof w:val="0"/>
          <w:szCs w:val="24"/>
        </w:rPr>
      </w:pPr>
      <w:r w:rsidRPr="0009626C">
        <w:rPr>
          <w:rFonts w:ascii="Arial" w:hAnsi="Arial" w:cs="Arial"/>
          <w:i/>
          <w:szCs w:val="24"/>
        </w:rPr>
        <w:t>Management Strategy Evaluation</w:t>
      </w:r>
      <w:r w:rsidR="00513249" w:rsidRPr="0009626C">
        <w:rPr>
          <w:rFonts w:ascii="Arial" w:hAnsi="Arial" w:cs="Arial"/>
          <w:i/>
          <w:szCs w:val="24"/>
        </w:rPr>
        <w:t xml:space="preserve">: </w:t>
      </w:r>
      <w:hyperlink r:id="rId26" w:history="1">
        <w:r w:rsidR="00513249" w:rsidRPr="0009626C">
          <w:rPr>
            <w:rFonts w:ascii="Arial" w:eastAsiaTheme="minorHAnsi" w:hAnsi="Arial" w:cs="Arial"/>
            <w:noProof w:val="0"/>
            <w:szCs w:val="24"/>
            <w:u w:val="single"/>
          </w:rPr>
          <w:t>https://www.iphc.int/the-commission/harvest-strategy-policy</w:t>
        </w:r>
      </w:hyperlink>
    </w:p>
    <w:p w14:paraId="4BADCF96" w14:textId="431F06BA" w:rsidR="00B751B9" w:rsidRPr="0009626C" w:rsidRDefault="00153A5B" w:rsidP="00B751B9">
      <w:pPr>
        <w:ind w:firstLine="360"/>
      </w:pPr>
      <w:r w:rsidRPr="0009626C">
        <w:t xml:space="preserve">The </w:t>
      </w:r>
      <w:r w:rsidR="00F266BD" w:rsidRPr="0009626C">
        <w:t xml:space="preserve">IPHC continued to </w:t>
      </w:r>
      <w:r w:rsidR="00B751B9" w:rsidRPr="0009626C">
        <w:t xml:space="preserve">improve the </w:t>
      </w:r>
      <w:r w:rsidRPr="0009626C">
        <w:t xml:space="preserve">Management Strategy Evaluation (MSE) </w:t>
      </w:r>
      <w:r w:rsidR="00B751B9" w:rsidRPr="0009626C">
        <w:t>framework throughout the 2022. The development of th</w:t>
      </w:r>
      <w:r w:rsidR="00B751B9">
        <w:t xml:space="preserve">e </w:t>
      </w:r>
      <w:r w:rsidR="00B751B9" w:rsidRPr="0009626C">
        <w:t>MSE framework supports the evaluation of the trade-offs between fisheries management scenarios.</w:t>
      </w:r>
    </w:p>
    <w:p w14:paraId="47DD8C97" w14:textId="2E5094CF" w:rsidR="00513249" w:rsidRDefault="00B751B9" w:rsidP="00B751B9">
      <w:pPr>
        <w:ind w:firstLine="360"/>
      </w:pPr>
      <w:r w:rsidRPr="0009626C">
        <w:t xml:space="preserve">The MSE framework was updated to accommodate any size limit and produce meaningful outputs of directed commercial discard mortality. The removal of a size limit resulted in a 3.7% increase, on average, in the short-term median coastwide TCEY and a 2.7% increase, on average, in the long-term median coastwide TCEY. </w:t>
      </w:r>
      <w:proofErr w:type="gramStart"/>
      <w:r w:rsidRPr="0009626C">
        <w:t>A majority of</w:t>
      </w:r>
      <w:proofErr w:type="gramEnd"/>
      <w:r w:rsidRPr="0009626C">
        <w:t xml:space="preserve"> that increase occurs when reducing the size limit for directed commercial fisheries to 26 inches. Even though a gain in overall yield is likely, reducing the size limit for the directed commercial fishery would likely result in a decline in directed commercial landings of O32 Pacific halibut while U32 landings would likely increase, which is dependent on population characteristics such as incoming recruitment and size-at-age. Without a size limit for the directed commercial fishery, short-term directed commercial fishery discard mortality would decline by, on average, 80% coastwide and between 67% to 89% across IPHC Regulatory Areas</w:t>
      </w:r>
      <w:r w:rsidR="00153A5B" w:rsidRPr="0009626C">
        <w:t>.</w:t>
      </w:r>
    </w:p>
    <w:p w14:paraId="290F36EB" w14:textId="3AC57C53" w:rsidR="00A43156" w:rsidRDefault="00B751B9" w:rsidP="00F229A6">
      <w:pPr>
        <w:spacing w:before="240" w:after="240"/>
        <w:ind w:firstLine="450"/>
      </w:pPr>
      <w:r>
        <w:t xml:space="preserve">An important concept to bring into the evaluation of size limits is market considerations. </w:t>
      </w:r>
      <w:r w:rsidR="00A43156">
        <w:t>The MSE framework applied the concept of the Equal Value Price Ratio (EVPR). The EVPR indicates the percentage the price for U32 fish compared to the price of O32 fish must be for the Pacific halibut fishery to have the same value as with a 32-inch size limit. The short-term Equal Value Price Ratio (EVPR) shows a median near 0.5 for both comparisons of no size limit to the current size limit and a 26-inch size limit compared to the current size limit. It is unknown what prices will be for U32 Pacific halibut if a size limit was removed, but the FISS has recently begun selling U32 fish, which may be an indicator for the potential price of small fish. This empirical price ratio was near 88% in 2022.</w:t>
      </w:r>
    </w:p>
    <w:p w14:paraId="156DED00" w14:textId="453F45CF" w:rsidR="000555D3" w:rsidRDefault="00A43156" w:rsidP="000555D3">
      <w:pPr>
        <w:ind w:firstLine="450"/>
      </w:pPr>
      <w:r>
        <w:lastRenderedPageBreak/>
        <w:t>The MSE framework was also expanded to accommodate multi-year stock assessments.</w:t>
      </w:r>
      <w:r w:rsidRPr="00A43156">
        <w:t xml:space="preserve"> </w:t>
      </w:r>
      <w:r>
        <w:t>The mortality limits in a year with the stock assessment can be determined as in previously defined management procedures, but in years without a stock assessment, the mortality limits would need an alternative approach. T</w:t>
      </w:r>
      <w:r w:rsidR="000555D3">
        <w:t xml:space="preserve">he IPHC </w:t>
      </w:r>
      <w:r w:rsidR="003371CA">
        <w:t xml:space="preserve">Secretariat </w:t>
      </w:r>
      <w:r w:rsidR="000555D3">
        <w:t>investigated three empirical rules for determining IPHC Regulatory Area</w:t>
      </w:r>
      <w:r w:rsidR="003371CA">
        <w:t>-</w:t>
      </w:r>
      <w:r w:rsidR="000555D3">
        <w:t>specific TCEYs in non-assessment years, which either use no observations or FISS observations:</w:t>
      </w:r>
    </w:p>
    <w:p w14:paraId="3529C6EF" w14:textId="2DF4A1B8" w:rsidR="000555D3" w:rsidRDefault="000555D3" w:rsidP="00F229A6">
      <w:pPr>
        <w:pStyle w:val="ListParagraph"/>
        <w:numPr>
          <w:ilvl w:val="0"/>
          <w:numId w:val="23"/>
        </w:numPr>
      </w:pPr>
      <w:r>
        <w:t>The same TCEY from the previous year for each IPHC Regulatory Area.</w:t>
      </w:r>
    </w:p>
    <w:p w14:paraId="69F9C482" w14:textId="44D2082B" w:rsidR="000555D3" w:rsidRDefault="000555D3" w:rsidP="000555D3">
      <w:pPr>
        <w:pStyle w:val="ListParagraph"/>
        <w:numPr>
          <w:ilvl w:val="0"/>
          <w:numId w:val="23"/>
        </w:numPr>
      </w:pPr>
      <w:r>
        <w:t>Updating the coastwide TCEY proportionally to the change in the coastwide FISS O32 WPUE and updating</w:t>
      </w:r>
      <w:r w:rsidRPr="000555D3">
        <w:t xml:space="preserve"> </w:t>
      </w:r>
      <w:r>
        <w:t>the distribution of the TCEY using FISS results and the applied distribution procedure.</w:t>
      </w:r>
    </w:p>
    <w:p w14:paraId="6332DC21" w14:textId="7EE852B5" w:rsidR="00A43156" w:rsidRDefault="000555D3" w:rsidP="0009626C">
      <w:pPr>
        <w:pStyle w:val="ListParagraph"/>
        <w:numPr>
          <w:ilvl w:val="0"/>
          <w:numId w:val="23"/>
        </w:numPr>
      </w:pPr>
      <w:proofErr w:type="spellStart"/>
      <w:r>
        <w:t>Maiintaining</w:t>
      </w:r>
      <w:proofErr w:type="spellEnd"/>
      <w:r>
        <w:t xml:space="preserve"> the same coastwide TCEY as the previous year but updating the distribution of the TCEY using FISS results and the applied distribution procedure.</w:t>
      </w:r>
    </w:p>
    <w:p w14:paraId="7221015F" w14:textId="31E24878" w:rsidR="00B72708" w:rsidRPr="00585322" w:rsidRDefault="00B72708" w:rsidP="0009626C">
      <w:pPr>
        <w:pStyle w:val="Heading1"/>
        <w:keepNext/>
        <w:rPr>
          <w:rFonts w:ascii="Arial" w:hAnsi="Arial" w:cs="Arial"/>
          <w:b/>
          <w:highlight w:val="lightGray"/>
        </w:rPr>
      </w:pPr>
      <w:bookmarkStart w:id="12" w:name="_Toc130470104"/>
      <w:r w:rsidRPr="00585322">
        <w:rPr>
          <w:rFonts w:ascii="Arial" w:hAnsi="Arial" w:cs="Arial"/>
          <w:b/>
          <w:highlight w:val="lightGray"/>
        </w:rPr>
        <w:t>Ecosystem Studies</w:t>
      </w:r>
      <w:bookmarkEnd w:id="12"/>
    </w:p>
    <w:p w14:paraId="773E84CE" w14:textId="79CEE0E2" w:rsidR="00B4684F" w:rsidRPr="00585322" w:rsidRDefault="007068E6" w:rsidP="00B4684F">
      <w:pPr>
        <w:ind w:left="360"/>
      </w:pPr>
      <w:r w:rsidRPr="00585322">
        <w:t xml:space="preserve">[See </w:t>
      </w:r>
      <w:r w:rsidR="00565E38" w:rsidRPr="00585322">
        <w:t>details</w:t>
      </w:r>
      <w:r w:rsidRPr="00585322">
        <w:t xml:space="preserve"> in the Research section on ongoing IPHC data collection projects above.]</w:t>
      </w:r>
    </w:p>
    <w:p w14:paraId="4029AB79" w14:textId="3781FA3A" w:rsidR="00B72708" w:rsidRPr="00C46AA8" w:rsidRDefault="00B72708" w:rsidP="00001EA5">
      <w:pPr>
        <w:pStyle w:val="Heading1"/>
        <w:keepNext/>
        <w:keepLines/>
        <w:rPr>
          <w:rFonts w:ascii="Arial" w:hAnsi="Arial" w:cs="Arial"/>
          <w:b/>
          <w:highlight w:val="lightGray"/>
        </w:rPr>
      </w:pPr>
      <w:bookmarkStart w:id="13" w:name="_Toc130470105"/>
      <w:r w:rsidRPr="00C46AA8">
        <w:rPr>
          <w:rFonts w:ascii="Arial" w:hAnsi="Arial" w:cs="Arial"/>
          <w:b/>
          <w:highlight w:val="lightGray"/>
        </w:rPr>
        <w:t>Publications</w:t>
      </w:r>
      <w:r w:rsidR="00585322">
        <w:rPr>
          <w:rFonts w:ascii="Arial" w:hAnsi="Arial" w:cs="Arial"/>
          <w:b/>
          <w:highlight w:val="lightGray"/>
        </w:rPr>
        <w:t xml:space="preserve"> in 2022</w:t>
      </w:r>
      <w:bookmarkEnd w:id="13"/>
    </w:p>
    <w:p w14:paraId="5525370E" w14:textId="77777777" w:rsidR="00F266BD" w:rsidRPr="00122970" w:rsidRDefault="00F266BD" w:rsidP="00F266BD">
      <w:pPr>
        <w:ind w:left="446" w:hanging="446"/>
        <w:rPr>
          <w:rFonts w:eastAsia="Calibri"/>
          <w:iCs/>
          <w:color w:val="000000" w:themeColor="text1"/>
        </w:rPr>
      </w:pPr>
      <w:r w:rsidRPr="00122970">
        <w:rPr>
          <w:rFonts w:eastAsia="Calibri"/>
          <w:iCs/>
          <w:color w:val="000000" w:themeColor="text1"/>
        </w:rPr>
        <w:t xml:space="preserve">Adams GD, </w:t>
      </w:r>
      <w:proofErr w:type="spellStart"/>
      <w:r w:rsidRPr="00122970">
        <w:rPr>
          <w:rFonts w:eastAsia="Calibri"/>
          <w:iCs/>
          <w:color w:val="000000" w:themeColor="text1"/>
        </w:rPr>
        <w:t>Holsman</w:t>
      </w:r>
      <w:proofErr w:type="spellEnd"/>
      <w:r w:rsidRPr="00122970">
        <w:rPr>
          <w:rFonts w:eastAsia="Calibri"/>
          <w:iCs/>
          <w:color w:val="000000" w:themeColor="text1"/>
        </w:rPr>
        <w:t xml:space="preserve"> KK, </w:t>
      </w:r>
      <w:proofErr w:type="spellStart"/>
      <w:r w:rsidRPr="00122970">
        <w:rPr>
          <w:rFonts w:eastAsia="Calibri"/>
          <w:iCs/>
          <w:color w:val="000000" w:themeColor="text1"/>
        </w:rPr>
        <w:t>Barbeaux</w:t>
      </w:r>
      <w:proofErr w:type="spellEnd"/>
      <w:r w:rsidRPr="00122970">
        <w:rPr>
          <w:rFonts w:eastAsia="Calibri"/>
          <w:iCs/>
          <w:color w:val="000000" w:themeColor="text1"/>
        </w:rPr>
        <w:t xml:space="preserve"> SJ, Dorn MW, Ianelli JN, Spies I, </w:t>
      </w:r>
      <w:r w:rsidRPr="009765D8">
        <w:rPr>
          <w:rFonts w:eastAsia="Calibri"/>
          <w:iCs/>
          <w:color w:val="000000" w:themeColor="text1"/>
        </w:rPr>
        <w:t>Stewart IJ</w:t>
      </w:r>
      <w:r w:rsidRPr="00122970">
        <w:rPr>
          <w:rFonts w:eastAsia="Calibri"/>
          <w:iCs/>
          <w:color w:val="000000" w:themeColor="text1"/>
        </w:rPr>
        <w:t xml:space="preserve">, and Punt AE. 2022. An ensemble approach to understand predation mortality for groundfish in the Gulf of Alaska. </w:t>
      </w:r>
      <w:r w:rsidRPr="00122970">
        <w:rPr>
          <w:rFonts w:eastAsia="Calibri"/>
          <w:i/>
          <w:color w:val="000000" w:themeColor="text1"/>
        </w:rPr>
        <w:t>Fisheries Research</w:t>
      </w:r>
      <w:r w:rsidRPr="00122970">
        <w:rPr>
          <w:rFonts w:eastAsia="Calibri"/>
          <w:iCs/>
          <w:color w:val="000000" w:themeColor="text1"/>
        </w:rPr>
        <w:t xml:space="preserve"> 251: 106303, </w:t>
      </w:r>
      <w:hyperlink r:id="rId27" w:history="1">
        <w:r w:rsidRPr="00122970">
          <w:rPr>
            <w:rStyle w:val="Hyperlink"/>
            <w:rFonts w:eastAsia="Calibri"/>
            <w:iCs/>
          </w:rPr>
          <w:t>https://doi.org/10.1016/j.fishres.2022.106303</w:t>
        </w:r>
      </w:hyperlink>
      <w:r w:rsidRPr="00122970">
        <w:rPr>
          <w:rFonts w:eastAsia="Calibri"/>
          <w:iCs/>
          <w:color w:val="000000" w:themeColor="text1"/>
        </w:rPr>
        <w:t>.</w:t>
      </w:r>
    </w:p>
    <w:p w14:paraId="20F5E176" w14:textId="7B905EFB" w:rsidR="000226E0" w:rsidRPr="00122970" w:rsidRDefault="000226E0" w:rsidP="00533CAF">
      <w:pPr>
        <w:ind w:left="360" w:hanging="360"/>
      </w:pPr>
      <w:r w:rsidRPr="00122970">
        <w:t xml:space="preserve">Fish, T., Wolf, N., Smeltz, T.S., Harris, B.P., Planas, J.V. </w:t>
      </w:r>
      <w:r w:rsidR="00DA602F" w:rsidRPr="00122970">
        <w:t xml:space="preserve">2022. </w:t>
      </w:r>
      <w:r w:rsidRPr="00122970">
        <w:t>Reproductive biology of female Pacific halibut (</w:t>
      </w:r>
      <w:proofErr w:type="spellStart"/>
      <w:r w:rsidRPr="00122970">
        <w:t>Hippoglossus</w:t>
      </w:r>
      <w:proofErr w:type="spellEnd"/>
      <w:r w:rsidRPr="00122970">
        <w:t xml:space="preserve"> </w:t>
      </w:r>
      <w:proofErr w:type="spellStart"/>
      <w:r w:rsidRPr="00122970">
        <w:t>stenolepis</w:t>
      </w:r>
      <w:proofErr w:type="spellEnd"/>
      <w:r w:rsidRPr="00122970">
        <w:t xml:space="preserve">) in the Gulf of Alaska. </w:t>
      </w:r>
      <w:r w:rsidRPr="009765D8">
        <w:rPr>
          <w:i/>
          <w:iCs/>
        </w:rPr>
        <w:t>Frontiers in Marine Science</w:t>
      </w:r>
      <w:r w:rsidRPr="00122970">
        <w:t>.</w:t>
      </w:r>
      <w:r w:rsidR="004D66EB">
        <w:t xml:space="preserve"> </w:t>
      </w:r>
      <w:r w:rsidR="004D66EB" w:rsidRPr="004D66EB">
        <w:t>9:</w:t>
      </w:r>
      <w:r w:rsidR="004D66EB">
        <w:t xml:space="preserve"> </w:t>
      </w:r>
      <w:r w:rsidR="004D66EB" w:rsidRPr="004D66EB">
        <w:t>801759</w:t>
      </w:r>
      <w:r w:rsidR="004D66EB">
        <w:t>,</w:t>
      </w:r>
      <w:r w:rsidRPr="00122970">
        <w:t xml:space="preserve"> </w:t>
      </w:r>
      <w:hyperlink r:id="rId28" w:history="1">
        <w:r w:rsidR="00DC74E8" w:rsidRPr="00122970">
          <w:rPr>
            <w:rStyle w:val="Hyperlink"/>
          </w:rPr>
          <w:t>https://doi.org/10.3389/fmars.2022.801759</w:t>
        </w:r>
      </w:hyperlink>
      <w:r w:rsidR="00DC74E8" w:rsidRPr="00122970">
        <w:t>.</w:t>
      </w:r>
    </w:p>
    <w:p w14:paraId="1F95B846" w14:textId="77777777" w:rsidR="00F266BD" w:rsidRPr="00122970" w:rsidRDefault="00F266BD" w:rsidP="00F266BD">
      <w:pPr>
        <w:spacing w:before="80" w:after="0"/>
        <w:ind w:left="450" w:hanging="450"/>
        <w:rPr>
          <w:rFonts w:eastAsia="Calibri"/>
          <w:iCs/>
        </w:rPr>
      </w:pPr>
      <w:r w:rsidRPr="00122970">
        <w:rPr>
          <w:rFonts w:eastAsia="Calibri"/>
          <w:iCs/>
        </w:rPr>
        <w:t xml:space="preserve">Good TP, </w:t>
      </w:r>
      <w:r w:rsidRPr="009765D8">
        <w:rPr>
          <w:rFonts w:eastAsia="Calibri"/>
          <w:iCs/>
        </w:rPr>
        <w:t>Jannot</w:t>
      </w:r>
      <w:r w:rsidRPr="00122970">
        <w:rPr>
          <w:rFonts w:eastAsia="Calibri"/>
          <w:iCs/>
        </w:rPr>
        <w:t xml:space="preserve"> </w:t>
      </w:r>
      <w:r w:rsidRPr="009765D8">
        <w:rPr>
          <w:rFonts w:eastAsia="Calibri"/>
          <w:iCs/>
        </w:rPr>
        <w:t>JE</w:t>
      </w:r>
      <w:r w:rsidRPr="00122970">
        <w:rPr>
          <w:rFonts w:eastAsia="Calibri"/>
          <w:iCs/>
        </w:rPr>
        <w:t xml:space="preserve">, Somers KA, Ward EJ. 2022 Using Bayesian time series models to estimate bycatch of an endangered albatross. </w:t>
      </w:r>
      <w:r w:rsidRPr="00122970">
        <w:rPr>
          <w:rFonts w:eastAsia="Calibri"/>
          <w:i/>
        </w:rPr>
        <w:t>Fisheries Research</w:t>
      </w:r>
      <w:r w:rsidRPr="00122970">
        <w:rPr>
          <w:rFonts w:eastAsia="Calibri"/>
          <w:iCs/>
        </w:rPr>
        <w:t xml:space="preserve"> 256: 106492, </w:t>
      </w:r>
      <w:hyperlink r:id="rId29" w:history="1">
        <w:r w:rsidRPr="00122970">
          <w:rPr>
            <w:rStyle w:val="Hyperlink"/>
            <w:rFonts w:eastAsia="Calibri"/>
            <w:iCs/>
          </w:rPr>
          <w:t>https://doi.org/10.1016/j.fishres.2022.106492</w:t>
        </w:r>
      </w:hyperlink>
      <w:r w:rsidRPr="00122970">
        <w:rPr>
          <w:rFonts w:eastAsia="Calibri"/>
          <w:iCs/>
        </w:rPr>
        <w:t>.</w:t>
      </w:r>
    </w:p>
    <w:p w14:paraId="07EFC3B6" w14:textId="77777777" w:rsidR="00F266BD" w:rsidRPr="00122970" w:rsidRDefault="00F266BD" w:rsidP="00F266BD">
      <w:pPr>
        <w:ind w:left="446" w:hanging="446"/>
        <w:rPr>
          <w:rFonts w:eastAsia="Times New Roman"/>
          <w:i/>
          <w:snapToGrid w:val="0"/>
          <w:lang w:val="en-GB"/>
        </w:rPr>
      </w:pPr>
      <w:r w:rsidRPr="009765D8">
        <w:rPr>
          <w:rFonts w:eastAsia="Calibri"/>
          <w:iCs/>
        </w:rPr>
        <w:t>Hutniczak B.</w:t>
      </w:r>
      <w:r w:rsidRPr="00122970">
        <w:rPr>
          <w:rFonts w:eastAsia="Calibri"/>
          <w:iCs/>
        </w:rPr>
        <w:t xml:space="preserve"> </w:t>
      </w:r>
      <w:r w:rsidRPr="00122970">
        <w:t xml:space="preserve">2022. Assessing cross-regional flows of economic benefits: A case study of Pacific halibut commercial fishing in Alaska, </w:t>
      </w:r>
      <w:r w:rsidRPr="00122970">
        <w:rPr>
          <w:i/>
          <w:iCs/>
        </w:rPr>
        <w:t>Fisheries Research</w:t>
      </w:r>
      <w:r w:rsidRPr="00122970">
        <w:t xml:space="preserve"> 255: 106449, </w:t>
      </w:r>
      <w:hyperlink r:id="rId30" w:history="1">
        <w:r w:rsidRPr="00122970">
          <w:rPr>
            <w:rStyle w:val="Hyperlink"/>
          </w:rPr>
          <w:t>https://doi.org/10.1016/j.fishres.2022.106449</w:t>
        </w:r>
      </w:hyperlink>
      <w:r w:rsidRPr="00122970">
        <w:t>.</w:t>
      </w:r>
    </w:p>
    <w:p w14:paraId="1433D804" w14:textId="77777777" w:rsidR="00F266BD" w:rsidRPr="00122970" w:rsidRDefault="00F266BD" w:rsidP="00F266BD">
      <w:pPr>
        <w:ind w:left="446" w:hanging="446"/>
        <w:rPr>
          <w:color w:val="333333"/>
          <w:shd w:val="clear" w:color="auto" w:fill="FCFCFC"/>
        </w:rPr>
      </w:pPr>
      <w:r w:rsidRPr="009765D8">
        <w:rPr>
          <w:rFonts w:eastAsia="Calibri"/>
          <w:iCs/>
        </w:rPr>
        <w:t xml:space="preserve">Hutniczak B. </w:t>
      </w:r>
      <w:r w:rsidRPr="00122970">
        <w:rPr>
          <w:rFonts w:eastAsia="Calibri"/>
          <w:iCs/>
        </w:rPr>
        <w:t xml:space="preserve">2022 Efficient updating of regional supply and use tables with the national-level statistics, </w:t>
      </w:r>
      <w:r w:rsidRPr="00122970">
        <w:rPr>
          <w:rFonts w:eastAsia="Calibri"/>
          <w:i/>
        </w:rPr>
        <w:t xml:space="preserve">Journal of Economic Structures </w:t>
      </w:r>
      <w:r w:rsidRPr="00122970">
        <w:rPr>
          <w:rFonts w:eastAsia="Calibri"/>
          <w:iCs/>
        </w:rPr>
        <w:t xml:space="preserve">11: 16, </w:t>
      </w:r>
      <w:hyperlink r:id="rId31" w:history="1">
        <w:r w:rsidRPr="00122970">
          <w:rPr>
            <w:rStyle w:val="Hyperlink"/>
            <w:shd w:val="clear" w:color="auto" w:fill="FCFCFC"/>
          </w:rPr>
          <w:t>https://doi.org/10.1186/s40008-022-00274-8</w:t>
        </w:r>
      </w:hyperlink>
      <w:r w:rsidRPr="00122970">
        <w:rPr>
          <w:color w:val="333333"/>
          <w:shd w:val="clear" w:color="auto" w:fill="FCFCFC"/>
        </w:rPr>
        <w:t>.</w:t>
      </w:r>
    </w:p>
    <w:p w14:paraId="4B47EBEA" w14:textId="3D8667F3" w:rsidR="00533CAF" w:rsidRPr="00122970" w:rsidRDefault="00533CAF" w:rsidP="00533CAF">
      <w:pPr>
        <w:spacing w:after="0"/>
        <w:ind w:left="360" w:hanging="360"/>
      </w:pPr>
      <w:r w:rsidRPr="00122970">
        <w:t xml:space="preserve">Jasonowicz, A.J., Simeon, </w:t>
      </w:r>
      <w:proofErr w:type="gramStart"/>
      <w:r w:rsidRPr="00122970">
        <w:t>A:,</w:t>
      </w:r>
      <w:proofErr w:type="gramEnd"/>
      <w:r w:rsidRPr="00122970">
        <w:t xml:space="preserve"> Zahm, M., Cabau, C., Klopp, C., Roques, C., Iampietro, C., Lluch, J., Donnadieu, C., Drinan, D., Hauser, L., Guiguen, Y., Planas, J. V. 2022. Generation of a chromosome-level genome assembly for Pacific halibut (</w:t>
      </w:r>
      <w:proofErr w:type="spellStart"/>
      <w:r w:rsidRPr="00122970">
        <w:t>Hippoglossus</w:t>
      </w:r>
      <w:proofErr w:type="spellEnd"/>
      <w:r w:rsidRPr="00122970">
        <w:t xml:space="preserve"> </w:t>
      </w:r>
      <w:proofErr w:type="spellStart"/>
      <w:r w:rsidRPr="00122970">
        <w:t>stenolepis</w:t>
      </w:r>
      <w:proofErr w:type="spellEnd"/>
      <w:r w:rsidRPr="00122970">
        <w:t xml:space="preserve">) and characterization of its sex determining region. </w:t>
      </w:r>
      <w:r w:rsidRPr="00122970">
        <w:rPr>
          <w:i/>
          <w:iCs/>
        </w:rPr>
        <w:t>Molecular Ecology Resources</w:t>
      </w:r>
      <w:r w:rsidRPr="00122970">
        <w:t>. 22:</w:t>
      </w:r>
      <w:r w:rsidR="004D66EB">
        <w:t xml:space="preserve"> </w:t>
      </w:r>
      <w:r w:rsidRPr="00122970">
        <w:t xml:space="preserve">2685-2700. DOI: </w:t>
      </w:r>
      <w:hyperlink r:id="rId32" w:history="1">
        <w:r w:rsidRPr="00122970">
          <w:rPr>
            <w:rStyle w:val="Hyperlink"/>
          </w:rPr>
          <w:t>https://doi.org/10.1111/1755-0998.13641</w:t>
        </w:r>
      </w:hyperlink>
      <w:r w:rsidRPr="00122970">
        <w:rPr>
          <w:rStyle w:val="Hyperlink"/>
        </w:rPr>
        <w:t>.</w:t>
      </w:r>
    </w:p>
    <w:p w14:paraId="6DF8E8B9" w14:textId="32FF5258" w:rsidR="00915EAF" w:rsidRDefault="000226E0" w:rsidP="00533CAF">
      <w:pPr>
        <w:ind w:left="360" w:hanging="360"/>
      </w:pPr>
      <w:r w:rsidRPr="00122970">
        <w:lastRenderedPageBreak/>
        <w:t>Loher, T., Dykstra, C.L., Hicks, A.C., Stewart, I.J., Wolf, N., Harris, B.P. and Planas, J.V. 2022</w:t>
      </w:r>
      <w:r w:rsidR="00B5499B">
        <w:t>a</w:t>
      </w:r>
      <w:r w:rsidR="00CD0AD7" w:rsidRPr="00122970">
        <w:t>.</w:t>
      </w:r>
      <w:r w:rsidRPr="00122970">
        <w:t xml:space="preserve"> Estimation of </w:t>
      </w:r>
      <w:proofErr w:type="spellStart"/>
      <w:r w:rsidRPr="00122970">
        <w:t>Postrelease</w:t>
      </w:r>
      <w:proofErr w:type="spellEnd"/>
      <w:r w:rsidRPr="00122970">
        <w:t xml:space="preserve"> Longline Mortality in Pacific Halibut Using Acceleration-Logging Tags. </w:t>
      </w:r>
      <w:r w:rsidRPr="009765D8">
        <w:rPr>
          <w:i/>
          <w:iCs/>
        </w:rPr>
        <w:t>North Am</w:t>
      </w:r>
      <w:r w:rsidR="00DA602F" w:rsidRPr="009765D8">
        <w:rPr>
          <w:i/>
          <w:iCs/>
        </w:rPr>
        <w:t>erican</w:t>
      </w:r>
      <w:r w:rsidRPr="009765D8">
        <w:rPr>
          <w:i/>
          <w:iCs/>
        </w:rPr>
        <w:t xml:space="preserve"> J</w:t>
      </w:r>
      <w:r w:rsidR="00DA602F" w:rsidRPr="009765D8">
        <w:rPr>
          <w:i/>
          <w:iCs/>
        </w:rPr>
        <w:t>ournal of</w:t>
      </w:r>
      <w:r w:rsidRPr="009765D8">
        <w:rPr>
          <w:i/>
          <w:iCs/>
        </w:rPr>
        <w:t xml:space="preserve"> Fish</w:t>
      </w:r>
      <w:r w:rsidR="00DA602F" w:rsidRPr="009765D8">
        <w:rPr>
          <w:i/>
          <w:iCs/>
        </w:rPr>
        <w:t>eries</w:t>
      </w:r>
      <w:r w:rsidRPr="009765D8">
        <w:rPr>
          <w:i/>
          <w:iCs/>
        </w:rPr>
        <w:t xml:space="preserve"> Manage</w:t>
      </w:r>
      <w:r w:rsidR="00DA602F" w:rsidRPr="009765D8">
        <w:rPr>
          <w:i/>
          <w:iCs/>
        </w:rPr>
        <w:t>ment</w:t>
      </w:r>
      <w:r w:rsidR="00DA602F" w:rsidRPr="00122970">
        <w:t>.</w:t>
      </w:r>
      <w:r w:rsidRPr="00122970">
        <w:t xml:space="preserve"> 42:</w:t>
      </w:r>
      <w:r w:rsidR="004D66EB">
        <w:t xml:space="preserve"> </w:t>
      </w:r>
      <w:r w:rsidRPr="00122970">
        <w:t xml:space="preserve">37-49. </w:t>
      </w:r>
      <w:hyperlink r:id="rId33" w:history="1">
        <w:r w:rsidRPr="00122970">
          <w:rPr>
            <w:rStyle w:val="Hyperlink"/>
          </w:rPr>
          <w:t>https://doi.org/10.1002/nafm.10711</w:t>
        </w:r>
      </w:hyperlink>
      <w:r w:rsidRPr="00122970">
        <w:t xml:space="preserve"> </w:t>
      </w:r>
    </w:p>
    <w:p w14:paraId="0806C08E" w14:textId="77777777" w:rsidR="00915EAF" w:rsidRDefault="00915EAF">
      <w:pPr>
        <w:spacing w:before="0" w:after="0"/>
        <w:jc w:val="left"/>
      </w:pPr>
      <w:r>
        <w:br w:type="page"/>
      </w:r>
    </w:p>
    <w:p w14:paraId="2536664D" w14:textId="0615BF1D" w:rsidR="000226E0" w:rsidRDefault="000226E0" w:rsidP="00533CAF">
      <w:pPr>
        <w:ind w:left="360" w:hanging="360"/>
      </w:pPr>
    </w:p>
    <w:p w14:paraId="0B515F81" w14:textId="4BC99288" w:rsidR="00915EAF" w:rsidRDefault="00915EAF" w:rsidP="00533CAF">
      <w:pPr>
        <w:ind w:left="360" w:hanging="360"/>
      </w:pPr>
    </w:p>
    <w:p w14:paraId="0F074DDE" w14:textId="2642E4B0" w:rsidR="00915EAF" w:rsidRDefault="00915EAF" w:rsidP="00533CAF">
      <w:pPr>
        <w:ind w:left="360" w:hanging="360"/>
      </w:pPr>
    </w:p>
    <w:p w14:paraId="6F4BFFC3" w14:textId="3CA7B1BB" w:rsidR="00915EAF" w:rsidRDefault="00915EAF" w:rsidP="00533CAF">
      <w:pPr>
        <w:ind w:left="360" w:hanging="360"/>
      </w:pPr>
      <w:r>
        <w:t>___________________________</w:t>
      </w:r>
      <w:r>
        <w:tab/>
      </w:r>
      <w:r>
        <w:tab/>
      </w:r>
      <w:r>
        <w:tab/>
        <w:t>_______________</w:t>
      </w:r>
    </w:p>
    <w:p w14:paraId="7BC0EFA3" w14:textId="0217FF51" w:rsidR="00915EAF" w:rsidRPr="00915EAF" w:rsidRDefault="00915EAF" w:rsidP="00533CAF">
      <w:pPr>
        <w:ind w:left="360" w:hanging="360"/>
        <w:rPr>
          <w:rFonts w:ascii="Times New Roman" w:hAnsi="Times New Roman" w:cs="Times New Roman"/>
        </w:rPr>
      </w:pPr>
      <w:r w:rsidRPr="00915EAF">
        <w:rPr>
          <w:rFonts w:ascii="Times New Roman" w:hAnsi="Times New Roman" w:cs="Times New Roman"/>
        </w:rPr>
        <w:t>Executive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915EAF" w:rsidRPr="00915EAF" w:rsidSect="00462758">
      <w:headerReference w:type="default" r:id="rId34"/>
      <w:footerReference w:type="default" r:id="rId35"/>
      <w:pgSz w:w="12240" w:h="15840"/>
      <w:pgMar w:top="1152" w:right="1440" w:bottom="1152" w:left="1440" w:header="18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A619" w14:textId="77777777" w:rsidR="00565E38" w:rsidRDefault="00565E38" w:rsidP="00F62B74">
      <w:r>
        <w:separator/>
      </w:r>
    </w:p>
  </w:endnote>
  <w:endnote w:type="continuationSeparator" w:id="0">
    <w:p w14:paraId="4DFF8973" w14:textId="77777777" w:rsidR="00565E38" w:rsidRDefault="00565E38" w:rsidP="00F6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173624"/>
      <w:docPartObj>
        <w:docPartGallery w:val="Page Numbers (Bottom of Page)"/>
        <w:docPartUnique/>
      </w:docPartObj>
    </w:sdtPr>
    <w:sdtEndPr>
      <w:rPr>
        <w:noProof/>
      </w:rPr>
    </w:sdtEndPr>
    <w:sdtContent>
      <w:sdt>
        <w:sdtPr>
          <w:id w:val="-1928106368"/>
          <w:docPartObj>
            <w:docPartGallery w:val="Page Numbers (Bottom of Page)"/>
            <w:docPartUnique/>
          </w:docPartObj>
        </w:sdtPr>
        <w:sdtEndPr/>
        <w:sdtContent>
          <w:sdt>
            <w:sdtPr>
              <w:id w:val="1728636285"/>
              <w:docPartObj>
                <w:docPartGallery w:val="Page Numbers (Top of Page)"/>
                <w:docPartUnique/>
              </w:docPartObj>
            </w:sdtPr>
            <w:sdtEndPr/>
            <w:sdtContent>
              <w:p w14:paraId="075E6617" w14:textId="667E81C1" w:rsidR="00565E38" w:rsidRDefault="00565E38" w:rsidP="00462758">
                <w:pPr>
                  <w:pStyle w:val="Footer"/>
                  <w:jc w:val="center"/>
                </w:pPr>
                <w:r w:rsidRPr="009618EB">
                  <w:rPr>
                    <w:rFonts w:ascii="Times New Roman" w:hAnsi="Times New Roman" w:cs="Times New Roman"/>
                  </w:rPr>
                  <w:t xml:space="preserve">Page </w:t>
                </w:r>
                <w:r w:rsidRPr="009618EB">
                  <w:rPr>
                    <w:rFonts w:ascii="Times New Roman" w:hAnsi="Times New Roman" w:cs="Times New Roman"/>
                    <w:b/>
                    <w:bCs/>
                  </w:rPr>
                  <w:fldChar w:fldCharType="begin"/>
                </w:r>
                <w:r w:rsidRPr="009618EB">
                  <w:rPr>
                    <w:rFonts w:ascii="Times New Roman" w:hAnsi="Times New Roman" w:cs="Times New Roman"/>
                    <w:b/>
                    <w:bCs/>
                  </w:rPr>
                  <w:instrText xml:space="preserve"> PAGE </w:instrText>
                </w:r>
                <w:r w:rsidRPr="009618EB">
                  <w:rPr>
                    <w:rFonts w:ascii="Times New Roman" w:hAnsi="Times New Roman" w:cs="Times New Roman"/>
                    <w:b/>
                    <w:bCs/>
                  </w:rPr>
                  <w:fldChar w:fldCharType="separate"/>
                </w:r>
                <w:r w:rsidR="00496DE2">
                  <w:rPr>
                    <w:rFonts w:ascii="Times New Roman" w:hAnsi="Times New Roman" w:cs="Times New Roman"/>
                    <w:b/>
                    <w:bCs/>
                    <w:noProof/>
                  </w:rPr>
                  <w:t>13</w:t>
                </w:r>
                <w:r w:rsidRPr="009618EB">
                  <w:rPr>
                    <w:rFonts w:ascii="Times New Roman" w:hAnsi="Times New Roman" w:cs="Times New Roman"/>
                    <w:b/>
                    <w:bCs/>
                  </w:rPr>
                  <w:fldChar w:fldCharType="end"/>
                </w:r>
                <w:r w:rsidRPr="009618EB">
                  <w:rPr>
                    <w:rFonts w:ascii="Times New Roman" w:hAnsi="Times New Roman" w:cs="Times New Roman"/>
                  </w:rPr>
                  <w:t xml:space="preserve"> of </w:t>
                </w:r>
                <w:r w:rsidRPr="009618EB">
                  <w:rPr>
                    <w:rFonts w:ascii="Times New Roman" w:hAnsi="Times New Roman" w:cs="Times New Roman"/>
                    <w:b/>
                    <w:bCs/>
                  </w:rPr>
                  <w:fldChar w:fldCharType="begin"/>
                </w:r>
                <w:r w:rsidRPr="009618EB">
                  <w:rPr>
                    <w:rFonts w:ascii="Times New Roman" w:hAnsi="Times New Roman" w:cs="Times New Roman"/>
                    <w:b/>
                    <w:bCs/>
                  </w:rPr>
                  <w:instrText xml:space="preserve"> NUMPAGES  </w:instrText>
                </w:r>
                <w:r w:rsidRPr="009618EB">
                  <w:rPr>
                    <w:rFonts w:ascii="Times New Roman" w:hAnsi="Times New Roman" w:cs="Times New Roman"/>
                    <w:b/>
                    <w:bCs/>
                  </w:rPr>
                  <w:fldChar w:fldCharType="separate"/>
                </w:r>
                <w:r w:rsidR="00496DE2">
                  <w:rPr>
                    <w:rFonts w:ascii="Times New Roman" w:hAnsi="Times New Roman" w:cs="Times New Roman"/>
                    <w:b/>
                    <w:bCs/>
                    <w:noProof/>
                  </w:rPr>
                  <w:t>13</w:t>
                </w:r>
                <w:r w:rsidRPr="009618EB">
                  <w:rPr>
                    <w:rFonts w:ascii="Times New Roman" w:hAnsi="Times New Roman" w:cs="Times New Roman"/>
                    <w:b/>
                    <w:bCs/>
                  </w:rPr>
                  <w:fldChar w:fldCharType="end"/>
                </w:r>
              </w:p>
            </w:sdtContent>
          </w:sdt>
        </w:sdtContent>
      </w:sdt>
    </w:sdtContent>
  </w:sdt>
  <w:p w14:paraId="4B7F2419" w14:textId="77777777" w:rsidR="00565E38" w:rsidRDefault="0056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20B1" w14:textId="77777777" w:rsidR="00565E38" w:rsidRDefault="00565E38" w:rsidP="00F62B74">
      <w:r>
        <w:separator/>
      </w:r>
    </w:p>
  </w:footnote>
  <w:footnote w:type="continuationSeparator" w:id="0">
    <w:p w14:paraId="74EAC3A0" w14:textId="77777777" w:rsidR="00565E38" w:rsidRDefault="00565E38" w:rsidP="00F6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CE91" w14:textId="32CB5DFB" w:rsidR="00565E38" w:rsidRDefault="00565E38" w:rsidP="00462758">
    <w:pPr>
      <w:pStyle w:val="Header"/>
      <w:pBdr>
        <w:bottom w:val="single" w:sz="4" w:space="0" w:color="auto"/>
      </w:pBdr>
      <w:jc w:val="center"/>
      <w:rPr>
        <w:sz w:val="22"/>
        <w:szCs w:val="22"/>
      </w:rPr>
    </w:pPr>
    <w:r>
      <w:rPr>
        <w:noProof/>
      </w:rPr>
      <w:drawing>
        <wp:inline distT="0" distB="0" distL="0" distR="0" wp14:anchorId="3EE13250" wp14:editId="6053EF84">
          <wp:extent cx="3438525" cy="597535"/>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597535"/>
                  </a:xfrm>
                  <a:prstGeom prst="rect">
                    <a:avLst/>
                  </a:prstGeom>
                  <a:noFill/>
                </pic:spPr>
              </pic:pic>
            </a:graphicData>
          </a:graphic>
        </wp:inline>
      </w:drawing>
    </w:r>
  </w:p>
  <w:p w14:paraId="7E2B3088" w14:textId="606BAF8F" w:rsidR="00565E38" w:rsidRPr="00462758" w:rsidRDefault="00565E38" w:rsidP="00462758">
    <w:pPr>
      <w:pStyle w:val="Header"/>
      <w:pBdr>
        <w:bottom w:val="single" w:sz="4" w:space="0" w:color="auto"/>
      </w:pBdr>
      <w:jc w:val="right"/>
      <w:rPr>
        <w:sz w:val="22"/>
        <w:szCs w:val="22"/>
      </w:rPr>
    </w:pPr>
    <w:r>
      <w:rPr>
        <w:sz w:val="22"/>
        <w:szCs w:val="22"/>
      </w:rPr>
      <w:t>IPHC-202</w:t>
    </w:r>
    <w:r w:rsidR="001B2A08">
      <w:rPr>
        <w:sz w:val="22"/>
        <w:szCs w:val="22"/>
      </w:rPr>
      <w:t>3</w:t>
    </w:r>
    <w:r>
      <w:rPr>
        <w:sz w:val="22"/>
        <w:szCs w:val="22"/>
      </w:rPr>
      <w:t>-TSC202</w:t>
    </w:r>
    <w:r w:rsidR="001B2A08">
      <w:rPr>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ACA"/>
    <w:multiLevelType w:val="hybridMultilevel"/>
    <w:tmpl w:val="3AB4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4EB"/>
    <w:multiLevelType w:val="hybridMultilevel"/>
    <w:tmpl w:val="A9A23664"/>
    <w:lvl w:ilvl="0" w:tplc="67D6F6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9C06EA"/>
    <w:multiLevelType w:val="hybridMultilevel"/>
    <w:tmpl w:val="C09A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8241B"/>
    <w:multiLevelType w:val="hybridMultilevel"/>
    <w:tmpl w:val="BE5660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C427A68"/>
    <w:multiLevelType w:val="hybridMultilevel"/>
    <w:tmpl w:val="13062848"/>
    <w:lvl w:ilvl="0" w:tplc="94AE72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F167C"/>
    <w:multiLevelType w:val="hybridMultilevel"/>
    <w:tmpl w:val="409E4858"/>
    <w:lvl w:ilvl="0" w:tplc="10B0B60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C2006"/>
    <w:multiLevelType w:val="hybridMultilevel"/>
    <w:tmpl w:val="409E4858"/>
    <w:lvl w:ilvl="0" w:tplc="10B0B60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811DB"/>
    <w:multiLevelType w:val="hybridMultilevel"/>
    <w:tmpl w:val="93FEF516"/>
    <w:lvl w:ilvl="0" w:tplc="EC94983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F50A4"/>
    <w:multiLevelType w:val="hybridMultilevel"/>
    <w:tmpl w:val="DB02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A32EF"/>
    <w:multiLevelType w:val="hybridMultilevel"/>
    <w:tmpl w:val="A8E2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F5925"/>
    <w:multiLevelType w:val="hybridMultilevel"/>
    <w:tmpl w:val="56A2F6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396FD1"/>
    <w:multiLevelType w:val="hybridMultilevel"/>
    <w:tmpl w:val="FFE82D14"/>
    <w:lvl w:ilvl="0" w:tplc="4DF2C1EE">
      <w:start w:val="1"/>
      <w:numFmt w:val="upperLetter"/>
      <w:pStyle w:val="Heading2"/>
      <w:lvlText w:val="%1."/>
      <w:lvlJc w:val="left"/>
      <w:pPr>
        <w:ind w:left="1440" w:hanging="360"/>
      </w:pPr>
    </w:lvl>
    <w:lvl w:ilvl="1" w:tplc="A718D5DA">
      <w:start w:val="1"/>
      <w:numFmt w:val="decimal"/>
      <w:pStyle w:val="Heading3"/>
      <w:lvlText w:val="%2."/>
      <w:lvlJc w:val="lef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C15193"/>
    <w:multiLevelType w:val="hybridMultilevel"/>
    <w:tmpl w:val="EF485416"/>
    <w:lvl w:ilvl="0" w:tplc="7D2CA942">
      <w:start w:val="1"/>
      <w:numFmt w:val="decimal"/>
      <w:lvlText w:val="%1."/>
      <w:lvlJc w:val="left"/>
      <w:pPr>
        <w:ind w:left="540" w:hanging="360"/>
      </w:pPr>
      <w:rPr>
        <w:color w:val="000000" w:themeColor="text1"/>
        <w:sz w:val="24"/>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DC868E5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374C8"/>
    <w:multiLevelType w:val="hybridMultilevel"/>
    <w:tmpl w:val="C4BCF7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5845E9"/>
    <w:multiLevelType w:val="hybridMultilevel"/>
    <w:tmpl w:val="65303782"/>
    <w:lvl w:ilvl="0" w:tplc="BFC2ED48">
      <w:start w:val="1"/>
      <w:numFmt w:val="decimal"/>
      <w:lvlText w:val="%1."/>
      <w:lvlJc w:val="left"/>
      <w:pPr>
        <w:ind w:left="360" w:hanging="360"/>
      </w:pPr>
      <w:rPr>
        <w:rFonts w:cs="Times New Roman"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D19E2AE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86DAA"/>
    <w:multiLevelType w:val="hybridMultilevel"/>
    <w:tmpl w:val="A75CE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3253AE"/>
    <w:multiLevelType w:val="hybridMultilevel"/>
    <w:tmpl w:val="8F005548"/>
    <w:lvl w:ilvl="0" w:tplc="33105260">
      <w:start w:val="1"/>
      <w:numFmt w:val="bullet"/>
      <w:lvlText w:val=""/>
      <w:lvlJc w:val="left"/>
      <w:pPr>
        <w:ind w:left="465" w:hanging="360"/>
      </w:pPr>
      <w:rPr>
        <w:rFonts w:ascii="Symbol" w:eastAsiaTheme="minorHAnsi"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5F725F6B"/>
    <w:multiLevelType w:val="multilevel"/>
    <w:tmpl w:val="D0FE18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A981D29"/>
    <w:multiLevelType w:val="hybridMultilevel"/>
    <w:tmpl w:val="117AF8B8"/>
    <w:lvl w:ilvl="0" w:tplc="9D30B9C4">
      <w:start w:val="1"/>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3403C0"/>
    <w:multiLevelType w:val="hybridMultilevel"/>
    <w:tmpl w:val="F8348664"/>
    <w:lvl w:ilvl="0" w:tplc="10B0B60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C6733"/>
    <w:multiLevelType w:val="hybridMultilevel"/>
    <w:tmpl w:val="09C0557E"/>
    <w:lvl w:ilvl="0" w:tplc="03ECD8B6">
      <w:start w:val="1"/>
      <w:numFmt w:val="upperRoman"/>
      <w:pStyle w:val="Heading1"/>
      <w:lvlText w:val="%1."/>
      <w:lvlJc w:val="right"/>
      <w:pPr>
        <w:ind w:left="720" w:hanging="360"/>
      </w:pPr>
      <w:rPr>
        <w:b/>
        <w:i w:val="0"/>
      </w:rPr>
    </w:lvl>
    <w:lvl w:ilvl="1" w:tplc="F83A7236">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C1279"/>
    <w:multiLevelType w:val="hybridMultilevel"/>
    <w:tmpl w:val="E2F44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126940">
    <w:abstractNumId w:val="20"/>
  </w:num>
  <w:num w:numId="2" w16cid:durableId="2093820334">
    <w:abstractNumId w:val="11"/>
  </w:num>
  <w:num w:numId="3" w16cid:durableId="576213992">
    <w:abstractNumId w:val="10"/>
  </w:num>
  <w:num w:numId="4" w16cid:durableId="1747412058">
    <w:abstractNumId w:val="15"/>
  </w:num>
  <w:num w:numId="5" w16cid:durableId="1821657436">
    <w:abstractNumId w:val="3"/>
  </w:num>
  <w:num w:numId="6" w16cid:durableId="37778620">
    <w:abstractNumId w:val="13"/>
  </w:num>
  <w:num w:numId="7" w16cid:durableId="274335756">
    <w:abstractNumId w:val="9"/>
  </w:num>
  <w:num w:numId="8" w16cid:durableId="1177385401">
    <w:abstractNumId w:val="7"/>
  </w:num>
  <w:num w:numId="9" w16cid:durableId="918753614">
    <w:abstractNumId w:val="18"/>
  </w:num>
  <w:num w:numId="10" w16cid:durableId="1774666631">
    <w:abstractNumId w:val="16"/>
  </w:num>
  <w:num w:numId="11" w16cid:durableId="707800246">
    <w:abstractNumId w:val="8"/>
  </w:num>
  <w:num w:numId="12" w16cid:durableId="675965547">
    <w:abstractNumId w:val="6"/>
  </w:num>
  <w:num w:numId="13" w16cid:durableId="877817863">
    <w:abstractNumId w:val="19"/>
  </w:num>
  <w:num w:numId="14" w16cid:durableId="202794608">
    <w:abstractNumId w:val="5"/>
  </w:num>
  <w:num w:numId="15" w16cid:durableId="1470513275">
    <w:abstractNumId w:val="4"/>
  </w:num>
  <w:num w:numId="16" w16cid:durableId="1677995153">
    <w:abstractNumId w:val="21"/>
  </w:num>
  <w:num w:numId="17" w16cid:durableId="1199123493">
    <w:abstractNumId w:val="20"/>
    <w:lvlOverride w:ilvl="0">
      <w:startOverride w:val="1"/>
    </w:lvlOverride>
  </w:num>
  <w:num w:numId="18" w16cid:durableId="391083297">
    <w:abstractNumId w:val="2"/>
  </w:num>
  <w:num w:numId="19" w16cid:durableId="1898514902">
    <w:abstractNumId w:val="12"/>
  </w:num>
  <w:num w:numId="20" w16cid:durableId="775906781">
    <w:abstractNumId w:val="0"/>
  </w:num>
  <w:num w:numId="21" w16cid:durableId="1488593370">
    <w:abstractNumId w:val="17"/>
  </w:num>
  <w:num w:numId="22" w16cid:durableId="451898527">
    <w:abstractNumId w:val="14"/>
  </w:num>
  <w:num w:numId="23" w16cid:durableId="517693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FR" w:vendorID="64" w:dllVersion="6" w:nlCheck="1" w:checkStyle="0"/>
  <w:activeWritingStyle w:appName="MSWord" w:lang="en-US" w:vendorID="64" w:dllVersion="6" w:nlCheck="1" w:checkStyle="0"/>
  <w:activeWritingStyle w:appName="MSWord" w:lang="en-CA" w:vendorID="64" w:dllVersion="6" w:nlCheck="1" w:checkStyle="1"/>
  <w:activeWritingStyle w:appName="MSWord" w:lang="en-GB" w:vendorID="64" w:dllVersion="6" w:nlCheck="1" w:checkStyle="0"/>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xNDGzMDSyMLC0tDBW0lEKTi0uzszPAykwrwUAoZSFRiwAAAA="/>
    <w:docVar w:name="EN.InstantFormat" w:val="&lt;ENInstantFormat&gt;&lt;Enabled&gt;1&lt;/Enabled&gt;&lt;ScanUnformatted&gt;1&lt;/ScanUnformatted&gt;&lt;ScanChanges&gt;1&lt;/ScanChanges&gt;&lt;Suspended&gt;1&lt;/Suspended&gt;&lt;/ENInstantFormat&gt;"/>
  </w:docVars>
  <w:rsids>
    <w:rsidRoot w:val="00B72708"/>
    <w:rsid w:val="00001EA5"/>
    <w:rsid w:val="00015AA3"/>
    <w:rsid w:val="000226E0"/>
    <w:rsid w:val="000234D1"/>
    <w:rsid w:val="00025F1F"/>
    <w:rsid w:val="00033AC4"/>
    <w:rsid w:val="00042D50"/>
    <w:rsid w:val="00045AE5"/>
    <w:rsid w:val="000555D3"/>
    <w:rsid w:val="00055BD0"/>
    <w:rsid w:val="000612B3"/>
    <w:rsid w:val="00061733"/>
    <w:rsid w:val="0009626C"/>
    <w:rsid w:val="000967BE"/>
    <w:rsid w:val="000C1BC5"/>
    <w:rsid w:val="000C6C3E"/>
    <w:rsid w:val="000E396B"/>
    <w:rsid w:val="000E4717"/>
    <w:rsid w:val="000E585B"/>
    <w:rsid w:val="000E6094"/>
    <w:rsid w:val="000F4D43"/>
    <w:rsid w:val="0011710C"/>
    <w:rsid w:val="00120F31"/>
    <w:rsid w:val="00122970"/>
    <w:rsid w:val="00127AD3"/>
    <w:rsid w:val="0013322C"/>
    <w:rsid w:val="001514F6"/>
    <w:rsid w:val="00151AC1"/>
    <w:rsid w:val="0015336F"/>
    <w:rsid w:val="00153A5B"/>
    <w:rsid w:val="00154DBF"/>
    <w:rsid w:val="001554E0"/>
    <w:rsid w:val="00163B6F"/>
    <w:rsid w:val="001702DE"/>
    <w:rsid w:val="001724E5"/>
    <w:rsid w:val="001728C5"/>
    <w:rsid w:val="001A0020"/>
    <w:rsid w:val="001A2F92"/>
    <w:rsid w:val="001B2A08"/>
    <w:rsid w:val="001C541B"/>
    <w:rsid w:val="001D1B29"/>
    <w:rsid w:val="001D57C1"/>
    <w:rsid w:val="001E439A"/>
    <w:rsid w:val="001F0CD0"/>
    <w:rsid w:val="001F7200"/>
    <w:rsid w:val="00200C61"/>
    <w:rsid w:val="00217A41"/>
    <w:rsid w:val="00220812"/>
    <w:rsid w:val="00231603"/>
    <w:rsid w:val="002412BA"/>
    <w:rsid w:val="002474D5"/>
    <w:rsid w:val="0025086B"/>
    <w:rsid w:val="002644C2"/>
    <w:rsid w:val="00266737"/>
    <w:rsid w:val="00267599"/>
    <w:rsid w:val="0028333E"/>
    <w:rsid w:val="00293245"/>
    <w:rsid w:val="002960EF"/>
    <w:rsid w:val="002A25D9"/>
    <w:rsid w:val="002C0E3B"/>
    <w:rsid w:val="002C50B7"/>
    <w:rsid w:val="002D0D5B"/>
    <w:rsid w:val="002D36E0"/>
    <w:rsid w:val="002F3014"/>
    <w:rsid w:val="002F6E0A"/>
    <w:rsid w:val="00304227"/>
    <w:rsid w:val="003371CA"/>
    <w:rsid w:val="0033748E"/>
    <w:rsid w:val="00340C65"/>
    <w:rsid w:val="00342363"/>
    <w:rsid w:val="00342E7D"/>
    <w:rsid w:val="003464C1"/>
    <w:rsid w:val="00346FA7"/>
    <w:rsid w:val="00371390"/>
    <w:rsid w:val="003763F2"/>
    <w:rsid w:val="00376ECC"/>
    <w:rsid w:val="00395EDE"/>
    <w:rsid w:val="00396B1D"/>
    <w:rsid w:val="003A052A"/>
    <w:rsid w:val="003A053F"/>
    <w:rsid w:val="003B17CA"/>
    <w:rsid w:val="003F1B6F"/>
    <w:rsid w:val="003F5E77"/>
    <w:rsid w:val="004013D4"/>
    <w:rsid w:val="00410884"/>
    <w:rsid w:val="004218E2"/>
    <w:rsid w:val="00427D19"/>
    <w:rsid w:val="00431CD7"/>
    <w:rsid w:val="004536E2"/>
    <w:rsid w:val="00462758"/>
    <w:rsid w:val="00465FE3"/>
    <w:rsid w:val="004753B0"/>
    <w:rsid w:val="00480C4D"/>
    <w:rsid w:val="00483C9B"/>
    <w:rsid w:val="004930C0"/>
    <w:rsid w:val="00496DE2"/>
    <w:rsid w:val="004A0D54"/>
    <w:rsid w:val="004A3D61"/>
    <w:rsid w:val="004B39CB"/>
    <w:rsid w:val="004B7420"/>
    <w:rsid w:val="004C479F"/>
    <w:rsid w:val="004D2F85"/>
    <w:rsid w:val="004D66EB"/>
    <w:rsid w:val="004E0F1D"/>
    <w:rsid w:val="004E20DC"/>
    <w:rsid w:val="004E2470"/>
    <w:rsid w:val="004E5B03"/>
    <w:rsid w:val="005025E1"/>
    <w:rsid w:val="00513249"/>
    <w:rsid w:val="00530FC3"/>
    <w:rsid w:val="00532D34"/>
    <w:rsid w:val="00533CAF"/>
    <w:rsid w:val="00536A9F"/>
    <w:rsid w:val="00545E38"/>
    <w:rsid w:val="00550356"/>
    <w:rsid w:val="0055298F"/>
    <w:rsid w:val="005534C9"/>
    <w:rsid w:val="00565E38"/>
    <w:rsid w:val="0057517B"/>
    <w:rsid w:val="00575CAC"/>
    <w:rsid w:val="00580C0D"/>
    <w:rsid w:val="00582881"/>
    <w:rsid w:val="00585322"/>
    <w:rsid w:val="0058664C"/>
    <w:rsid w:val="00593069"/>
    <w:rsid w:val="00597847"/>
    <w:rsid w:val="005B745B"/>
    <w:rsid w:val="005D7482"/>
    <w:rsid w:val="005F2573"/>
    <w:rsid w:val="005F3034"/>
    <w:rsid w:val="005F30DD"/>
    <w:rsid w:val="006120E4"/>
    <w:rsid w:val="0063124D"/>
    <w:rsid w:val="00654E33"/>
    <w:rsid w:val="00681376"/>
    <w:rsid w:val="00692463"/>
    <w:rsid w:val="006944FF"/>
    <w:rsid w:val="006A1E9A"/>
    <w:rsid w:val="006A28EE"/>
    <w:rsid w:val="006B362F"/>
    <w:rsid w:val="006B3D0F"/>
    <w:rsid w:val="006C5684"/>
    <w:rsid w:val="006C7B08"/>
    <w:rsid w:val="006D42FB"/>
    <w:rsid w:val="006D5AED"/>
    <w:rsid w:val="006E1241"/>
    <w:rsid w:val="006F2023"/>
    <w:rsid w:val="006F7F1C"/>
    <w:rsid w:val="00701683"/>
    <w:rsid w:val="00705602"/>
    <w:rsid w:val="00705D0A"/>
    <w:rsid w:val="007068E6"/>
    <w:rsid w:val="007078BB"/>
    <w:rsid w:val="007138C8"/>
    <w:rsid w:val="00722404"/>
    <w:rsid w:val="00731D9E"/>
    <w:rsid w:val="00741635"/>
    <w:rsid w:val="0074400D"/>
    <w:rsid w:val="00744C53"/>
    <w:rsid w:val="0075397F"/>
    <w:rsid w:val="00765DDA"/>
    <w:rsid w:val="0077516D"/>
    <w:rsid w:val="0078047D"/>
    <w:rsid w:val="0078260B"/>
    <w:rsid w:val="007838F8"/>
    <w:rsid w:val="00790156"/>
    <w:rsid w:val="007A2046"/>
    <w:rsid w:val="007A45B2"/>
    <w:rsid w:val="007A5B76"/>
    <w:rsid w:val="007B3782"/>
    <w:rsid w:val="007B6A15"/>
    <w:rsid w:val="007C29CB"/>
    <w:rsid w:val="007D3DCB"/>
    <w:rsid w:val="007E060E"/>
    <w:rsid w:val="007E321F"/>
    <w:rsid w:val="007E4419"/>
    <w:rsid w:val="007E67B9"/>
    <w:rsid w:val="007F5E72"/>
    <w:rsid w:val="007F7308"/>
    <w:rsid w:val="008046A1"/>
    <w:rsid w:val="00822CAB"/>
    <w:rsid w:val="00826CA1"/>
    <w:rsid w:val="00840F71"/>
    <w:rsid w:val="00847E87"/>
    <w:rsid w:val="00850034"/>
    <w:rsid w:val="008509C6"/>
    <w:rsid w:val="00862452"/>
    <w:rsid w:val="008644DB"/>
    <w:rsid w:val="00873477"/>
    <w:rsid w:val="0087590E"/>
    <w:rsid w:val="0088135A"/>
    <w:rsid w:val="008A0C15"/>
    <w:rsid w:val="008A698E"/>
    <w:rsid w:val="008B7678"/>
    <w:rsid w:val="008C6153"/>
    <w:rsid w:val="008D0D01"/>
    <w:rsid w:val="008E10BB"/>
    <w:rsid w:val="008E24A8"/>
    <w:rsid w:val="008F3F3A"/>
    <w:rsid w:val="00915EAF"/>
    <w:rsid w:val="00931CC4"/>
    <w:rsid w:val="00933AD4"/>
    <w:rsid w:val="00934027"/>
    <w:rsid w:val="00946B44"/>
    <w:rsid w:val="00947A9E"/>
    <w:rsid w:val="009618EB"/>
    <w:rsid w:val="00972CF1"/>
    <w:rsid w:val="00973259"/>
    <w:rsid w:val="009765D8"/>
    <w:rsid w:val="00984699"/>
    <w:rsid w:val="00987286"/>
    <w:rsid w:val="00990F47"/>
    <w:rsid w:val="009A0B6C"/>
    <w:rsid w:val="009A0CE8"/>
    <w:rsid w:val="009B2A72"/>
    <w:rsid w:val="009C283D"/>
    <w:rsid w:val="009C38B3"/>
    <w:rsid w:val="009D4E83"/>
    <w:rsid w:val="00A028D8"/>
    <w:rsid w:val="00A05577"/>
    <w:rsid w:val="00A21B17"/>
    <w:rsid w:val="00A23061"/>
    <w:rsid w:val="00A330C9"/>
    <w:rsid w:val="00A332AC"/>
    <w:rsid w:val="00A43156"/>
    <w:rsid w:val="00A45A27"/>
    <w:rsid w:val="00A469BE"/>
    <w:rsid w:val="00A6258D"/>
    <w:rsid w:val="00A65AA8"/>
    <w:rsid w:val="00A73B2E"/>
    <w:rsid w:val="00A75E7E"/>
    <w:rsid w:val="00AA25AC"/>
    <w:rsid w:val="00AB2178"/>
    <w:rsid w:val="00AB31E7"/>
    <w:rsid w:val="00AB428C"/>
    <w:rsid w:val="00AC48DF"/>
    <w:rsid w:val="00AD3D13"/>
    <w:rsid w:val="00AE47F2"/>
    <w:rsid w:val="00AF546D"/>
    <w:rsid w:val="00AF6724"/>
    <w:rsid w:val="00AF6F1F"/>
    <w:rsid w:val="00B01985"/>
    <w:rsid w:val="00B02ADA"/>
    <w:rsid w:val="00B15855"/>
    <w:rsid w:val="00B2121C"/>
    <w:rsid w:val="00B3208B"/>
    <w:rsid w:val="00B35774"/>
    <w:rsid w:val="00B4684F"/>
    <w:rsid w:val="00B516EF"/>
    <w:rsid w:val="00B5499B"/>
    <w:rsid w:val="00B7090D"/>
    <w:rsid w:val="00B72708"/>
    <w:rsid w:val="00B751B9"/>
    <w:rsid w:val="00B80398"/>
    <w:rsid w:val="00B846B3"/>
    <w:rsid w:val="00B92C7E"/>
    <w:rsid w:val="00B93416"/>
    <w:rsid w:val="00B97175"/>
    <w:rsid w:val="00BA20B4"/>
    <w:rsid w:val="00BA7AB9"/>
    <w:rsid w:val="00BC23E6"/>
    <w:rsid w:val="00BC2B15"/>
    <w:rsid w:val="00BF5EB3"/>
    <w:rsid w:val="00C06129"/>
    <w:rsid w:val="00C14B29"/>
    <w:rsid w:val="00C1569C"/>
    <w:rsid w:val="00C22DEC"/>
    <w:rsid w:val="00C262A8"/>
    <w:rsid w:val="00C32831"/>
    <w:rsid w:val="00C349B1"/>
    <w:rsid w:val="00C43697"/>
    <w:rsid w:val="00C46AA8"/>
    <w:rsid w:val="00C556BA"/>
    <w:rsid w:val="00C67F09"/>
    <w:rsid w:val="00C72E37"/>
    <w:rsid w:val="00C95C75"/>
    <w:rsid w:val="00C969A5"/>
    <w:rsid w:val="00CA289C"/>
    <w:rsid w:val="00CB2350"/>
    <w:rsid w:val="00CD0AD7"/>
    <w:rsid w:val="00CE4A70"/>
    <w:rsid w:val="00CE678A"/>
    <w:rsid w:val="00CF3E32"/>
    <w:rsid w:val="00CF3FB3"/>
    <w:rsid w:val="00CF5D6B"/>
    <w:rsid w:val="00D07110"/>
    <w:rsid w:val="00D16C30"/>
    <w:rsid w:val="00D31D98"/>
    <w:rsid w:val="00D435B6"/>
    <w:rsid w:val="00D45EC4"/>
    <w:rsid w:val="00D603C2"/>
    <w:rsid w:val="00D74A97"/>
    <w:rsid w:val="00D808AD"/>
    <w:rsid w:val="00D84F76"/>
    <w:rsid w:val="00DA12DA"/>
    <w:rsid w:val="00DA3265"/>
    <w:rsid w:val="00DA602F"/>
    <w:rsid w:val="00DB1111"/>
    <w:rsid w:val="00DC0619"/>
    <w:rsid w:val="00DC11D6"/>
    <w:rsid w:val="00DC74E8"/>
    <w:rsid w:val="00DD3CBD"/>
    <w:rsid w:val="00DD4D33"/>
    <w:rsid w:val="00E0363E"/>
    <w:rsid w:val="00E54E08"/>
    <w:rsid w:val="00E614F5"/>
    <w:rsid w:val="00E75B9D"/>
    <w:rsid w:val="00E86B8E"/>
    <w:rsid w:val="00E94A03"/>
    <w:rsid w:val="00EA5D74"/>
    <w:rsid w:val="00EB3ADF"/>
    <w:rsid w:val="00EB6C5B"/>
    <w:rsid w:val="00ED08A2"/>
    <w:rsid w:val="00EE40E4"/>
    <w:rsid w:val="00EE678E"/>
    <w:rsid w:val="00EE7186"/>
    <w:rsid w:val="00EE73AA"/>
    <w:rsid w:val="00EF03CD"/>
    <w:rsid w:val="00F04012"/>
    <w:rsid w:val="00F05A3E"/>
    <w:rsid w:val="00F11D85"/>
    <w:rsid w:val="00F146E3"/>
    <w:rsid w:val="00F174A2"/>
    <w:rsid w:val="00F229A6"/>
    <w:rsid w:val="00F264A7"/>
    <w:rsid w:val="00F266BD"/>
    <w:rsid w:val="00F55AAF"/>
    <w:rsid w:val="00F62B74"/>
    <w:rsid w:val="00F666B1"/>
    <w:rsid w:val="00F867F1"/>
    <w:rsid w:val="00F87F01"/>
    <w:rsid w:val="00F961BE"/>
    <w:rsid w:val="00FA5486"/>
    <w:rsid w:val="00FA64CC"/>
    <w:rsid w:val="00FA7479"/>
    <w:rsid w:val="00FB47D1"/>
    <w:rsid w:val="00FB5CC9"/>
    <w:rsid w:val="00FB6A39"/>
    <w:rsid w:val="00FE05F0"/>
    <w:rsid w:val="00FE2384"/>
    <w:rsid w:val="00FE78F1"/>
    <w:rsid w:val="00FF1DAE"/>
    <w:rsid w:val="00FF2F96"/>
    <w:rsid w:val="00FF3D19"/>
    <w:rsid w:val="00FF6DFB"/>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F9E198"/>
  <w15:docId w15:val="{322EE7A1-804B-4B2C-9DF4-24ACCBDB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CB"/>
    <w:pPr>
      <w:spacing w:before="120" w:after="120"/>
      <w:jc w:val="both"/>
    </w:pPr>
  </w:style>
  <w:style w:type="paragraph" w:styleId="Heading1">
    <w:name w:val="heading 1"/>
    <w:basedOn w:val="ListParagraph"/>
    <w:next w:val="Normal"/>
    <w:link w:val="Heading1Char"/>
    <w:uiPriority w:val="9"/>
    <w:qFormat/>
    <w:rsid w:val="007078BB"/>
    <w:pPr>
      <w:numPr>
        <w:numId w:val="1"/>
      </w:numPr>
      <w:spacing w:before="240" w:after="240"/>
      <w:contextualSpacing w:val="0"/>
      <w:outlineLvl w:val="0"/>
    </w:pPr>
    <w:rPr>
      <w:rFonts w:ascii="Times New Roman" w:hAnsi="Times New Roman" w:cs="Times New Roman"/>
    </w:rPr>
  </w:style>
  <w:style w:type="paragraph" w:styleId="Heading2">
    <w:name w:val="heading 2"/>
    <w:basedOn w:val="ListParagraph"/>
    <w:next w:val="Normal"/>
    <w:link w:val="Heading2Char"/>
    <w:uiPriority w:val="9"/>
    <w:unhideWhenUsed/>
    <w:qFormat/>
    <w:rsid w:val="00B516EF"/>
    <w:pPr>
      <w:numPr>
        <w:numId w:val="2"/>
      </w:numPr>
      <w:contextualSpacing w:val="0"/>
      <w:outlineLvl w:val="1"/>
    </w:pPr>
    <w:rPr>
      <w:rFonts w:ascii="Times New Roman" w:hAnsi="Times New Roman" w:cs="Times New Roman"/>
    </w:rPr>
  </w:style>
  <w:style w:type="paragraph" w:styleId="Heading3">
    <w:name w:val="heading 3"/>
    <w:basedOn w:val="ListParagraph"/>
    <w:next w:val="Normal"/>
    <w:link w:val="Heading3Char"/>
    <w:uiPriority w:val="9"/>
    <w:unhideWhenUsed/>
    <w:qFormat/>
    <w:rsid w:val="004E2470"/>
    <w:pPr>
      <w:keepNext/>
      <w:numPr>
        <w:ilvl w:val="1"/>
        <w:numId w:val="2"/>
      </w:numPr>
      <w:contextualSpacing w:val="0"/>
      <w:outlineLvl w:val="2"/>
    </w:pPr>
    <w:rPr>
      <w:rFonts w:ascii="Times New Roman" w:hAnsi="Times New Roman" w:cs="Times New Roman"/>
    </w:rPr>
  </w:style>
  <w:style w:type="paragraph" w:styleId="Heading4">
    <w:name w:val="heading 4"/>
    <w:basedOn w:val="Normal"/>
    <w:next w:val="Normal"/>
    <w:link w:val="Heading4Char"/>
    <w:uiPriority w:val="9"/>
    <w:semiHidden/>
    <w:unhideWhenUsed/>
    <w:qFormat/>
    <w:rsid w:val="002A25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A25D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08"/>
    <w:pPr>
      <w:ind w:left="720"/>
      <w:contextualSpacing/>
    </w:pPr>
  </w:style>
  <w:style w:type="character" w:styleId="CommentReference">
    <w:name w:val="annotation reference"/>
    <w:basedOn w:val="DefaultParagraphFont"/>
    <w:uiPriority w:val="99"/>
    <w:semiHidden/>
    <w:unhideWhenUsed/>
    <w:rsid w:val="00F666B1"/>
    <w:rPr>
      <w:sz w:val="16"/>
      <w:szCs w:val="16"/>
    </w:rPr>
  </w:style>
  <w:style w:type="paragraph" w:styleId="CommentText">
    <w:name w:val="annotation text"/>
    <w:basedOn w:val="Normal"/>
    <w:link w:val="CommentTextChar"/>
    <w:uiPriority w:val="99"/>
    <w:unhideWhenUsed/>
    <w:rsid w:val="00F666B1"/>
    <w:rPr>
      <w:sz w:val="20"/>
      <w:szCs w:val="20"/>
    </w:rPr>
  </w:style>
  <w:style w:type="character" w:customStyle="1" w:styleId="CommentTextChar">
    <w:name w:val="Comment Text Char"/>
    <w:basedOn w:val="DefaultParagraphFont"/>
    <w:link w:val="CommentText"/>
    <w:uiPriority w:val="99"/>
    <w:rsid w:val="00F666B1"/>
    <w:rPr>
      <w:sz w:val="20"/>
      <w:szCs w:val="20"/>
    </w:rPr>
  </w:style>
  <w:style w:type="paragraph" w:styleId="CommentSubject">
    <w:name w:val="annotation subject"/>
    <w:basedOn w:val="CommentText"/>
    <w:next w:val="CommentText"/>
    <w:link w:val="CommentSubjectChar"/>
    <w:uiPriority w:val="99"/>
    <w:semiHidden/>
    <w:unhideWhenUsed/>
    <w:rsid w:val="00F666B1"/>
    <w:rPr>
      <w:b/>
      <w:bCs/>
    </w:rPr>
  </w:style>
  <w:style w:type="character" w:customStyle="1" w:styleId="CommentSubjectChar">
    <w:name w:val="Comment Subject Char"/>
    <w:basedOn w:val="CommentTextChar"/>
    <w:link w:val="CommentSubject"/>
    <w:uiPriority w:val="99"/>
    <w:semiHidden/>
    <w:rsid w:val="00F666B1"/>
    <w:rPr>
      <w:b/>
      <w:bCs/>
      <w:sz w:val="20"/>
      <w:szCs w:val="20"/>
    </w:rPr>
  </w:style>
  <w:style w:type="paragraph" w:styleId="BalloonText">
    <w:name w:val="Balloon Text"/>
    <w:basedOn w:val="Normal"/>
    <w:link w:val="BalloonTextChar"/>
    <w:uiPriority w:val="99"/>
    <w:unhideWhenUsed/>
    <w:rsid w:val="00F666B1"/>
    <w:rPr>
      <w:rFonts w:ascii="Tahoma" w:hAnsi="Tahoma" w:cs="Tahoma"/>
      <w:sz w:val="16"/>
      <w:szCs w:val="16"/>
    </w:rPr>
  </w:style>
  <w:style w:type="character" w:customStyle="1" w:styleId="BalloonTextChar">
    <w:name w:val="Balloon Text Char"/>
    <w:basedOn w:val="DefaultParagraphFont"/>
    <w:link w:val="BalloonText"/>
    <w:uiPriority w:val="99"/>
    <w:rsid w:val="00F666B1"/>
    <w:rPr>
      <w:rFonts w:ascii="Tahoma" w:hAnsi="Tahoma" w:cs="Tahoma"/>
      <w:sz w:val="16"/>
      <w:szCs w:val="16"/>
    </w:rPr>
  </w:style>
  <w:style w:type="character" w:styleId="Hyperlink">
    <w:name w:val="Hyperlink"/>
    <w:basedOn w:val="DefaultParagraphFont"/>
    <w:uiPriority w:val="99"/>
    <w:unhideWhenUsed/>
    <w:rsid w:val="00D07110"/>
    <w:rPr>
      <w:color w:val="0000FF" w:themeColor="hyperlink"/>
      <w:u w:val="single"/>
    </w:rPr>
  </w:style>
  <w:style w:type="paragraph" w:customStyle="1" w:styleId="IPHCbodytext">
    <w:name w:val="IPHC bodytext"/>
    <w:link w:val="IPHCbodytextChar"/>
    <w:rsid w:val="00B02ADA"/>
    <w:pPr>
      <w:tabs>
        <w:tab w:val="left" w:pos="432"/>
      </w:tabs>
      <w:ind w:firstLine="432"/>
      <w:jc w:val="both"/>
    </w:pPr>
    <w:rPr>
      <w:rFonts w:ascii="Times New Roman" w:eastAsia="Times New Roman" w:hAnsi="Times New Roman" w:cs="Times New Roman"/>
      <w:szCs w:val="20"/>
    </w:rPr>
  </w:style>
  <w:style w:type="table" w:styleId="TableGrid">
    <w:name w:val="Table Grid"/>
    <w:basedOn w:val="TableNormal"/>
    <w:rsid w:val="009C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HCbodytextChar">
    <w:name w:val="IPHC bodytext Char"/>
    <w:basedOn w:val="DefaultParagraphFont"/>
    <w:link w:val="IPHCbodytext"/>
    <w:rsid w:val="009D4E83"/>
    <w:rPr>
      <w:rFonts w:ascii="Times New Roman" w:eastAsia="Times New Roman" w:hAnsi="Times New Roman" w:cs="Times New Roman"/>
      <w:szCs w:val="20"/>
    </w:rPr>
  </w:style>
  <w:style w:type="paragraph" w:customStyle="1" w:styleId="IPHCauthors">
    <w:name w:val="IPHC authors"/>
    <w:link w:val="IPHCauthorsChar"/>
    <w:uiPriority w:val="99"/>
    <w:rsid w:val="009D4E83"/>
    <w:pPr>
      <w:spacing w:before="60" w:after="280"/>
    </w:pPr>
    <w:rPr>
      <w:rFonts w:eastAsia="Times New Roman" w:cs="Times New Roman"/>
      <w:b/>
      <w:noProof/>
      <w:szCs w:val="20"/>
    </w:rPr>
  </w:style>
  <w:style w:type="character" w:customStyle="1" w:styleId="IPHCauthorsChar">
    <w:name w:val="IPHC authors Char"/>
    <w:basedOn w:val="DefaultParagraphFont"/>
    <w:link w:val="IPHCauthors"/>
    <w:uiPriority w:val="99"/>
    <w:rsid w:val="009D4E83"/>
    <w:rPr>
      <w:rFonts w:eastAsia="Times New Roman" w:cs="Times New Roman"/>
      <w:b/>
      <w:noProof/>
      <w:szCs w:val="20"/>
    </w:rPr>
  </w:style>
  <w:style w:type="character" w:customStyle="1" w:styleId="Heading5Char">
    <w:name w:val="Heading 5 Char"/>
    <w:basedOn w:val="DefaultParagraphFont"/>
    <w:link w:val="Heading5"/>
    <w:uiPriority w:val="9"/>
    <w:rsid w:val="002A25D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A25D9"/>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2A25D9"/>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F62B74"/>
    <w:pPr>
      <w:tabs>
        <w:tab w:val="center" w:pos="4680"/>
        <w:tab w:val="right" w:pos="9360"/>
      </w:tabs>
    </w:pPr>
  </w:style>
  <w:style w:type="character" w:customStyle="1" w:styleId="HeaderChar">
    <w:name w:val="Header Char"/>
    <w:basedOn w:val="DefaultParagraphFont"/>
    <w:link w:val="Header"/>
    <w:rsid w:val="00F62B74"/>
  </w:style>
  <w:style w:type="paragraph" w:styleId="Footer">
    <w:name w:val="footer"/>
    <w:basedOn w:val="Normal"/>
    <w:link w:val="FooterChar"/>
    <w:uiPriority w:val="99"/>
    <w:unhideWhenUsed/>
    <w:rsid w:val="00F62B74"/>
    <w:pPr>
      <w:tabs>
        <w:tab w:val="center" w:pos="4680"/>
        <w:tab w:val="right" w:pos="9360"/>
      </w:tabs>
    </w:pPr>
  </w:style>
  <w:style w:type="character" w:customStyle="1" w:styleId="FooterChar">
    <w:name w:val="Footer Char"/>
    <w:basedOn w:val="DefaultParagraphFont"/>
    <w:link w:val="Footer"/>
    <w:uiPriority w:val="99"/>
    <w:rsid w:val="00F62B74"/>
  </w:style>
  <w:style w:type="paragraph" w:customStyle="1" w:styleId="IPHCreference">
    <w:name w:val="IPHC reference"/>
    <w:rsid w:val="00EF03CD"/>
    <w:pPr>
      <w:ind w:left="432" w:hanging="432"/>
    </w:pPr>
    <w:rPr>
      <w:rFonts w:ascii="Times New Roman" w:eastAsia="Times New Roman" w:hAnsi="Times New Roman" w:cs="Times New Roman"/>
      <w:noProof/>
      <w:szCs w:val="20"/>
    </w:rPr>
  </w:style>
  <w:style w:type="paragraph" w:customStyle="1" w:styleId="IPHCmainheading">
    <w:name w:val="IPHC main heading"/>
    <w:next w:val="IPHCbodytext"/>
    <w:link w:val="IPHCmainheadingChar"/>
    <w:rsid w:val="00FB47D1"/>
    <w:pPr>
      <w:spacing w:before="240" w:after="200"/>
    </w:pPr>
    <w:rPr>
      <w:rFonts w:eastAsia="Times New Roman" w:cs="Times New Roman"/>
      <w:b/>
      <w:sz w:val="26"/>
      <w:szCs w:val="20"/>
    </w:rPr>
  </w:style>
  <w:style w:type="character" w:customStyle="1" w:styleId="IPHCmainheadingChar">
    <w:name w:val="IPHC main heading Char"/>
    <w:basedOn w:val="DefaultParagraphFont"/>
    <w:link w:val="IPHCmainheading"/>
    <w:rsid w:val="00FB47D1"/>
    <w:rPr>
      <w:rFonts w:eastAsia="Times New Roman" w:cs="Times New Roman"/>
      <w:b/>
      <w:sz w:val="26"/>
      <w:szCs w:val="20"/>
    </w:rPr>
  </w:style>
  <w:style w:type="paragraph" w:styleId="BodyText">
    <w:name w:val="Body Text"/>
    <w:basedOn w:val="Normal"/>
    <w:link w:val="BodyTextChar"/>
    <w:uiPriority w:val="99"/>
    <w:rsid w:val="007838F8"/>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7838F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078BB"/>
    <w:rPr>
      <w:rFonts w:ascii="Times New Roman" w:hAnsi="Times New Roman" w:cs="Times New Roman"/>
    </w:rPr>
  </w:style>
  <w:style w:type="character" w:customStyle="1" w:styleId="Heading2Char">
    <w:name w:val="Heading 2 Char"/>
    <w:basedOn w:val="DefaultParagraphFont"/>
    <w:link w:val="Heading2"/>
    <w:uiPriority w:val="9"/>
    <w:rsid w:val="00B516EF"/>
    <w:rPr>
      <w:rFonts w:ascii="Times New Roman" w:hAnsi="Times New Roman" w:cs="Times New Roman"/>
    </w:rPr>
  </w:style>
  <w:style w:type="character" w:customStyle="1" w:styleId="Heading3Char">
    <w:name w:val="Heading 3 Char"/>
    <w:basedOn w:val="DefaultParagraphFont"/>
    <w:link w:val="Heading3"/>
    <w:uiPriority w:val="9"/>
    <w:rsid w:val="004E2470"/>
    <w:rPr>
      <w:rFonts w:ascii="Times New Roman" w:hAnsi="Times New Roman" w:cs="Times New Roman"/>
    </w:rPr>
  </w:style>
  <w:style w:type="paragraph" w:styleId="TOCHeading">
    <w:name w:val="TOC Heading"/>
    <w:basedOn w:val="Heading1"/>
    <w:next w:val="Normal"/>
    <w:uiPriority w:val="39"/>
    <w:unhideWhenUsed/>
    <w:qFormat/>
    <w:rsid w:val="00B516EF"/>
    <w:pPr>
      <w:keepNext/>
      <w:keepLines/>
      <w:numPr>
        <w:numId w:val="0"/>
      </w:numPr>
      <w:spacing w:before="480" w:after="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B3208B"/>
    <w:pPr>
      <w:tabs>
        <w:tab w:val="left" w:pos="660"/>
        <w:tab w:val="right" w:leader="dot" w:pos="10790"/>
      </w:tabs>
      <w:spacing w:after="100"/>
    </w:pPr>
  </w:style>
  <w:style w:type="paragraph" w:styleId="TOC2">
    <w:name w:val="toc 2"/>
    <w:basedOn w:val="Normal"/>
    <w:next w:val="Normal"/>
    <w:autoRedefine/>
    <w:uiPriority w:val="39"/>
    <w:unhideWhenUsed/>
    <w:rsid w:val="00B516EF"/>
    <w:pPr>
      <w:spacing w:after="100"/>
      <w:ind w:left="240"/>
    </w:pPr>
  </w:style>
  <w:style w:type="paragraph" w:styleId="TOC3">
    <w:name w:val="toc 3"/>
    <w:basedOn w:val="Normal"/>
    <w:next w:val="Normal"/>
    <w:autoRedefine/>
    <w:uiPriority w:val="39"/>
    <w:unhideWhenUsed/>
    <w:rsid w:val="00B516EF"/>
    <w:pPr>
      <w:spacing w:after="100"/>
      <w:ind w:left="480"/>
    </w:pPr>
  </w:style>
  <w:style w:type="paragraph" w:customStyle="1" w:styleId="IPHCsubheading">
    <w:name w:val="IPHC subheading"/>
    <w:next w:val="IPHCbodytext"/>
    <w:uiPriority w:val="99"/>
    <w:rsid w:val="007F5E72"/>
    <w:pPr>
      <w:spacing w:before="240" w:after="40"/>
    </w:pPr>
    <w:rPr>
      <w:rFonts w:ascii="Times New Roman" w:eastAsia="Times New Roman" w:hAnsi="Times New Roman" w:cs="Times New Roman"/>
      <w:b/>
      <w:szCs w:val="20"/>
    </w:rPr>
  </w:style>
  <w:style w:type="paragraph" w:customStyle="1" w:styleId="IPHCcaptions">
    <w:name w:val="IPHC captions"/>
    <w:rsid w:val="00D74A97"/>
    <w:pPr>
      <w:jc w:val="both"/>
    </w:pPr>
    <w:rPr>
      <w:rFonts w:ascii="Times New Roman" w:eastAsia="Times New Roman" w:hAnsi="Times New Roman" w:cs="Times New Roman"/>
      <w:b/>
      <w:noProof/>
      <w:szCs w:val="20"/>
    </w:rPr>
  </w:style>
  <w:style w:type="character" w:styleId="FollowedHyperlink">
    <w:name w:val="FollowedHyperlink"/>
    <w:basedOn w:val="DefaultParagraphFont"/>
    <w:uiPriority w:val="99"/>
    <w:semiHidden/>
    <w:unhideWhenUsed/>
    <w:rsid w:val="00DD4D33"/>
    <w:rPr>
      <w:color w:val="800080" w:themeColor="followedHyperlink"/>
      <w:u w:val="single"/>
    </w:rPr>
  </w:style>
  <w:style w:type="paragraph" w:customStyle="1" w:styleId="Default">
    <w:name w:val="Default"/>
    <w:rsid w:val="00DD4D33"/>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B3208B"/>
  </w:style>
  <w:style w:type="paragraph" w:styleId="FootnoteText">
    <w:name w:val="footnote text"/>
    <w:basedOn w:val="Normal"/>
    <w:link w:val="FootnoteTextChar"/>
    <w:semiHidden/>
    <w:unhideWhenUsed/>
    <w:rsid w:val="00C1569C"/>
    <w:pPr>
      <w:ind w:firstLine="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1569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1569C"/>
    <w:rPr>
      <w:vertAlign w:val="superscript"/>
    </w:rPr>
  </w:style>
  <w:style w:type="table" w:customStyle="1" w:styleId="TableGrid1">
    <w:name w:val="Table Grid1"/>
    <w:basedOn w:val="TableNormal"/>
    <w:next w:val="TableGrid"/>
    <w:uiPriority w:val="59"/>
    <w:rsid w:val="00C1569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922">
      <w:bodyDiv w:val="1"/>
      <w:marLeft w:val="0"/>
      <w:marRight w:val="0"/>
      <w:marTop w:val="0"/>
      <w:marBottom w:val="0"/>
      <w:divBdr>
        <w:top w:val="none" w:sz="0" w:space="0" w:color="auto"/>
        <w:left w:val="none" w:sz="0" w:space="0" w:color="auto"/>
        <w:bottom w:val="none" w:sz="0" w:space="0" w:color="auto"/>
        <w:right w:val="none" w:sz="0" w:space="0" w:color="auto"/>
      </w:divBdr>
    </w:div>
    <w:div w:id="573708321">
      <w:bodyDiv w:val="1"/>
      <w:marLeft w:val="0"/>
      <w:marRight w:val="0"/>
      <w:marTop w:val="0"/>
      <w:marBottom w:val="0"/>
      <w:divBdr>
        <w:top w:val="none" w:sz="0" w:space="0" w:color="auto"/>
        <w:left w:val="none" w:sz="0" w:space="0" w:color="auto"/>
        <w:bottom w:val="none" w:sz="0" w:space="0" w:color="auto"/>
        <w:right w:val="none" w:sz="0" w:space="0" w:color="auto"/>
      </w:divBdr>
    </w:div>
    <w:div w:id="639773186">
      <w:bodyDiv w:val="1"/>
      <w:marLeft w:val="0"/>
      <w:marRight w:val="0"/>
      <w:marTop w:val="0"/>
      <w:marBottom w:val="0"/>
      <w:divBdr>
        <w:top w:val="none" w:sz="0" w:space="0" w:color="auto"/>
        <w:left w:val="none" w:sz="0" w:space="0" w:color="auto"/>
        <w:bottom w:val="none" w:sz="0" w:space="0" w:color="auto"/>
        <w:right w:val="none" w:sz="0" w:space="0" w:color="auto"/>
      </w:divBdr>
      <w:divsChild>
        <w:div w:id="52627714">
          <w:marLeft w:val="0"/>
          <w:marRight w:val="0"/>
          <w:marTop w:val="0"/>
          <w:marBottom w:val="0"/>
          <w:divBdr>
            <w:top w:val="none" w:sz="0" w:space="0" w:color="auto"/>
            <w:left w:val="none" w:sz="0" w:space="0" w:color="auto"/>
            <w:bottom w:val="none" w:sz="0" w:space="0" w:color="auto"/>
            <w:right w:val="none" w:sz="0" w:space="0" w:color="auto"/>
          </w:divBdr>
        </w:div>
        <w:div w:id="309292838">
          <w:marLeft w:val="0"/>
          <w:marRight w:val="0"/>
          <w:marTop w:val="0"/>
          <w:marBottom w:val="0"/>
          <w:divBdr>
            <w:top w:val="none" w:sz="0" w:space="0" w:color="auto"/>
            <w:left w:val="none" w:sz="0" w:space="0" w:color="auto"/>
            <w:bottom w:val="none" w:sz="0" w:space="0" w:color="auto"/>
            <w:right w:val="none" w:sz="0" w:space="0" w:color="auto"/>
          </w:divBdr>
        </w:div>
        <w:div w:id="328365514">
          <w:marLeft w:val="0"/>
          <w:marRight w:val="0"/>
          <w:marTop w:val="0"/>
          <w:marBottom w:val="0"/>
          <w:divBdr>
            <w:top w:val="none" w:sz="0" w:space="0" w:color="auto"/>
            <w:left w:val="none" w:sz="0" w:space="0" w:color="auto"/>
            <w:bottom w:val="none" w:sz="0" w:space="0" w:color="auto"/>
            <w:right w:val="none" w:sz="0" w:space="0" w:color="auto"/>
          </w:divBdr>
        </w:div>
        <w:div w:id="516240708">
          <w:marLeft w:val="0"/>
          <w:marRight w:val="0"/>
          <w:marTop w:val="0"/>
          <w:marBottom w:val="0"/>
          <w:divBdr>
            <w:top w:val="none" w:sz="0" w:space="0" w:color="auto"/>
            <w:left w:val="none" w:sz="0" w:space="0" w:color="auto"/>
            <w:bottom w:val="none" w:sz="0" w:space="0" w:color="auto"/>
            <w:right w:val="none" w:sz="0" w:space="0" w:color="auto"/>
          </w:divBdr>
        </w:div>
        <w:div w:id="1459832651">
          <w:marLeft w:val="0"/>
          <w:marRight w:val="0"/>
          <w:marTop w:val="0"/>
          <w:marBottom w:val="0"/>
          <w:divBdr>
            <w:top w:val="none" w:sz="0" w:space="0" w:color="auto"/>
            <w:left w:val="none" w:sz="0" w:space="0" w:color="auto"/>
            <w:bottom w:val="none" w:sz="0" w:space="0" w:color="auto"/>
            <w:right w:val="none" w:sz="0" w:space="0" w:color="auto"/>
          </w:divBdr>
        </w:div>
        <w:div w:id="1874877635">
          <w:marLeft w:val="0"/>
          <w:marRight w:val="0"/>
          <w:marTop w:val="0"/>
          <w:marBottom w:val="0"/>
          <w:divBdr>
            <w:top w:val="none" w:sz="0" w:space="0" w:color="auto"/>
            <w:left w:val="none" w:sz="0" w:space="0" w:color="auto"/>
            <w:bottom w:val="none" w:sz="0" w:space="0" w:color="auto"/>
            <w:right w:val="none" w:sz="0" w:space="0" w:color="auto"/>
          </w:divBdr>
        </w:div>
      </w:divsChild>
    </w:div>
    <w:div w:id="753085837">
      <w:bodyDiv w:val="1"/>
      <w:marLeft w:val="0"/>
      <w:marRight w:val="0"/>
      <w:marTop w:val="0"/>
      <w:marBottom w:val="0"/>
      <w:divBdr>
        <w:top w:val="none" w:sz="0" w:space="0" w:color="auto"/>
        <w:left w:val="none" w:sz="0" w:space="0" w:color="auto"/>
        <w:bottom w:val="none" w:sz="0" w:space="0" w:color="auto"/>
        <w:right w:val="none" w:sz="0" w:space="0" w:color="auto"/>
      </w:divBdr>
    </w:div>
    <w:div w:id="878513258">
      <w:bodyDiv w:val="1"/>
      <w:marLeft w:val="0"/>
      <w:marRight w:val="0"/>
      <w:marTop w:val="0"/>
      <w:marBottom w:val="0"/>
      <w:divBdr>
        <w:top w:val="none" w:sz="0" w:space="0" w:color="auto"/>
        <w:left w:val="none" w:sz="0" w:space="0" w:color="auto"/>
        <w:bottom w:val="none" w:sz="0" w:space="0" w:color="auto"/>
        <w:right w:val="none" w:sz="0" w:space="0" w:color="auto"/>
      </w:divBdr>
    </w:div>
    <w:div w:id="1045985282">
      <w:bodyDiv w:val="1"/>
      <w:marLeft w:val="0"/>
      <w:marRight w:val="0"/>
      <w:marTop w:val="0"/>
      <w:marBottom w:val="0"/>
      <w:divBdr>
        <w:top w:val="none" w:sz="0" w:space="0" w:color="auto"/>
        <w:left w:val="none" w:sz="0" w:space="0" w:color="auto"/>
        <w:bottom w:val="none" w:sz="0" w:space="0" w:color="auto"/>
        <w:right w:val="none" w:sz="0" w:space="0" w:color="auto"/>
      </w:divBdr>
    </w:div>
    <w:div w:id="1063217987">
      <w:bodyDiv w:val="1"/>
      <w:marLeft w:val="0"/>
      <w:marRight w:val="0"/>
      <w:marTop w:val="0"/>
      <w:marBottom w:val="0"/>
      <w:divBdr>
        <w:top w:val="none" w:sz="0" w:space="0" w:color="auto"/>
        <w:left w:val="none" w:sz="0" w:space="0" w:color="auto"/>
        <w:bottom w:val="none" w:sz="0" w:space="0" w:color="auto"/>
        <w:right w:val="none" w:sz="0" w:space="0" w:color="auto"/>
      </w:divBdr>
    </w:div>
    <w:div w:id="1084840098">
      <w:bodyDiv w:val="1"/>
      <w:marLeft w:val="0"/>
      <w:marRight w:val="0"/>
      <w:marTop w:val="0"/>
      <w:marBottom w:val="0"/>
      <w:divBdr>
        <w:top w:val="none" w:sz="0" w:space="0" w:color="auto"/>
        <w:left w:val="none" w:sz="0" w:space="0" w:color="auto"/>
        <w:bottom w:val="none" w:sz="0" w:space="0" w:color="auto"/>
        <w:right w:val="none" w:sz="0" w:space="0" w:color="auto"/>
      </w:divBdr>
    </w:div>
    <w:div w:id="1574511291">
      <w:bodyDiv w:val="1"/>
      <w:marLeft w:val="0"/>
      <w:marRight w:val="0"/>
      <w:marTop w:val="0"/>
      <w:marBottom w:val="0"/>
      <w:divBdr>
        <w:top w:val="none" w:sz="0" w:space="0" w:color="auto"/>
        <w:left w:val="none" w:sz="0" w:space="0" w:color="auto"/>
        <w:bottom w:val="none" w:sz="0" w:space="0" w:color="auto"/>
        <w:right w:val="none" w:sz="0" w:space="0" w:color="auto"/>
      </w:divBdr>
    </w:div>
    <w:div w:id="1781337973">
      <w:bodyDiv w:val="1"/>
      <w:marLeft w:val="0"/>
      <w:marRight w:val="0"/>
      <w:marTop w:val="0"/>
      <w:marBottom w:val="0"/>
      <w:divBdr>
        <w:top w:val="none" w:sz="0" w:space="0" w:color="auto"/>
        <w:left w:val="none" w:sz="0" w:space="0" w:color="auto"/>
        <w:bottom w:val="none" w:sz="0" w:space="0" w:color="auto"/>
        <w:right w:val="none" w:sz="0" w:space="0" w:color="auto"/>
      </w:divBdr>
    </w:div>
    <w:div w:id="1785686432">
      <w:bodyDiv w:val="1"/>
      <w:marLeft w:val="0"/>
      <w:marRight w:val="0"/>
      <w:marTop w:val="0"/>
      <w:marBottom w:val="0"/>
      <w:divBdr>
        <w:top w:val="none" w:sz="0" w:space="0" w:color="auto"/>
        <w:left w:val="none" w:sz="0" w:space="0" w:color="auto"/>
        <w:bottom w:val="none" w:sz="0" w:space="0" w:color="auto"/>
        <w:right w:val="none" w:sz="0" w:space="0" w:color="auto"/>
      </w:divBdr>
      <w:divsChild>
        <w:div w:id="536085307">
          <w:marLeft w:val="0"/>
          <w:marRight w:val="0"/>
          <w:marTop w:val="0"/>
          <w:marBottom w:val="0"/>
          <w:divBdr>
            <w:top w:val="none" w:sz="0" w:space="0" w:color="auto"/>
            <w:left w:val="none" w:sz="0" w:space="0" w:color="auto"/>
            <w:bottom w:val="none" w:sz="0" w:space="0" w:color="auto"/>
            <w:right w:val="none" w:sz="0" w:space="0" w:color="auto"/>
          </w:divBdr>
        </w:div>
        <w:div w:id="581763481">
          <w:marLeft w:val="0"/>
          <w:marRight w:val="0"/>
          <w:marTop w:val="0"/>
          <w:marBottom w:val="0"/>
          <w:divBdr>
            <w:top w:val="none" w:sz="0" w:space="0" w:color="auto"/>
            <w:left w:val="none" w:sz="0" w:space="0" w:color="auto"/>
            <w:bottom w:val="none" w:sz="0" w:space="0" w:color="auto"/>
            <w:right w:val="none" w:sz="0" w:space="0" w:color="auto"/>
          </w:divBdr>
        </w:div>
        <w:div w:id="598876959">
          <w:marLeft w:val="0"/>
          <w:marRight w:val="0"/>
          <w:marTop w:val="0"/>
          <w:marBottom w:val="0"/>
          <w:divBdr>
            <w:top w:val="none" w:sz="0" w:space="0" w:color="auto"/>
            <w:left w:val="none" w:sz="0" w:space="0" w:color="auto"/>
            <w:bottom w:val="none" w:sz="0" w:space="0" w:color="auto"/>
            <w:right w:val="none" w:sz="0" w:space="0" w:color="auto"/>
          </w:divBdr>
        </w:div>
        <w:div w:id="1599363276">
          <w:marLeft w:val="0"/>
          <w:marRight w:val="0"/>
          <w:marTop w:val="0"/>
          <w:marBottom w:val="0"/>
          <w:divBdr>
            <w:top w:val="none" w:sz="0" w:space="0" w:color="auto"/>
            <w:left w:val="none" w:sz="0" w:space="0" w:color="auto"/>
            <w:bottom w:val="none" w:sz="0" w:space="0" w:color="auto"/>
            <w:right w:val="none" w:sz="0" w:space="0" w:color="auto"/>
          </w:divBdr>
        </w:div>
        <w:div w:id="1895852801">
          <w:marLeft w:val="0"/>
          <w:marRight w:val="0"/>
          <w:marTop w:val="0"/>
          <w:marBottom w:val="0"/>
          <w:divBdr>
            <w:top w:val="none" w:sz="0" w:space="0" w:color="auto"/>
            <w:left w:val="none" w:sz="0" w:space="0" w:color="auto"/>
            <w:bottom w:val="none" w:sz="0" w:space="0" w:color="auto"/>
            <w:right w:val="none" w:sz="0" w:space="0" w:color="auto"/>
          </w:divBdr>
        </w:div>
        <w:div w:id="1988894022">
          <w:marLeft w:val="0"/>
          <w:marRight w:val="0"/>
          <w:marTop w:val="0"/>
          <w:marBottom w:val="0"/>
          <w:divBdr>
            <w:top w:val="none" w:sz="0" w:space="0" w:color="auto"/>
            <w:left w:val="none" w:sz="0" w:space="0" w:color="auto"/>
            <w:bottom w:val="none" w:sz="0" w:space="0" w:color="auto"/>
            <w:right w:val="none" w:sz="0" w:space="0" w:color="auto"/>
          </w:divBdr>
        </w:div>
      </w:divsChild>
    </w:div>
    <w:div w:id="1795102987">
      <w:bodyDiv w:val="1"/>
      <w:marLeft w:val="0"/>
      <w:marRight w:val="0"/>
      <w:marTop w:val="0"/>
      <w:marBottom w:val="0"/>
      <w:divBdr>
        <w:top w:val="none" w:sz="0" w:space="0" w:color="auto"/>
        <w:left w:val="none" w:sz="0" w:space="0" w:color="auto"/>
        <w:bottom w:val="none" w:sz="0" w:space="0" w:color="auto"/>
        <w:right w:val="none" w:sz="0" w:space="0" w:color="auto"/>
      </w:divBdr>
    </w:div>
    <w:div w:id="1804153981">
      <w:bodyDiv w:val="1"/>
      <w:marLeft w:val="0"/>
      <w:marRight w:val="0"/>
      <w:marTop w:val="0"/>
      <w:marBottom w:val="0"/>
      <w:divBdr>
        <w:top w:val="none" w:sz="0" w:space="0" w:color="auto"/>
        <w:left w:val="none" w:sz="0" w:space="0" w:color="auto"/>
        <w:bottom w:val="none" w:sz="0" w:space="0" w:color="auto"/>
        <w:right w:val="none" w:sz="0" w:space="0" w:color="auto"/>
      </w:divBdr>
    </w:div>
    <w:div w:id="1986812747">
      <w:bodyDiv w:val="1"/>
      <w:marLeft w:val="0"/>
      <w:marRight w:val="0"/>
      <w:marTop w:val="0"/>
      <w:marBottom w:val="0"/>
      <w:divBdr>
        <w:top w:val="none" w:sz="0" w:space="0" w:color="auto"/>
        <w:left w:val="none" w:sz="0" w:space="0" w:color="auto"/>
        <w:bottom w:val="none" w:sz="0" w:space="0" w:color="auto"/>
        <w:right w:val="none" w:sz="0" w:space="0" w:color="auto"/>
      </w:divBdr>
    </w:div>
    <w:div w:id="20851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160-021-09672-w" TargetMode="External"/><Relationship Id="rId18" Type="http://schemas.openxmlformats.org/officeDocument/2006/relationships/image" Target="media/image3.png"/><Relationship Id="rId26" Type="http://schemas.openxmlformats.org/officeDocument/2006/relationships/hyperlink" Target="https://www.iphc.int/the-commission/harvest-strategy-policy" TargetMode="External"/><Relationship Id="rId21" Type="http://schemas.openxmlformats.org/officeDocument/2006/relationships/hyperlink" Target="https://afspubs.onlinelibrary.wiley.com/doi/abs/10.1002/nafm.1071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phc.int/uploads/pdf/5yrirm/iphc-2022-5yrirm.pdf" TargetMode="External"/><Relationship Id="rId17" Type="http://schemas.openxmlformats.org/officeDocument/2006/relationships/hyperlink" Target="https://doi.org/10.1111/1755-0998.13641" TargetMode="External"/><Relationship Id="rId25" Type="http://schemas.openxmlformats.org/officeDocument/2006/relationships/hyperlink" Target="https://www.iphc.int/uploads/pdf/am/am099/iphc-2023-am099-r.pdf" TargetMode="External"/><Relationship Id="rId33" Type="http://schemas.openxmlformats.org/officeDocument/2006/relationships/hyperlink" Target="https://doi.org/10.1002/nafm.10711%20" TargetMode="External"/><Relationship Id="rId2" Type="http://schemas.openxmlformats.org/officeDocument/2006/relationships/numbering" Target="numbering.xml"/><Relationship Id="rId16" Type="http://schemas.openxmlformats.org/officeDocument/2006/relationships/hyperlink" Target="https://www.ncbi.nlm.nih.gov/assembly/GCA_022539355.2/" TargetMode="External"/><Relationship Id="rId20" Type="http://schemas.openxmlformats.org/officeDocument/2006/relationships/hyperlink" Target="https://doi.org/10.3389/fmars.2022.801759" TargetMode="External"/><Relationship Id="rId29" Type="http://schemas.openxmlformats.org/officeDocument/2006/relationships/hyperlink" Target="https://doi.org/10.1016/j.fishres.2022.106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hc.int/uploads/pdf/am/am099/iphc-2023-am099-08.pdf" TargetMode="External"/><Relationship Id="rId24" Type="http://schemas.openxmlformats.org/officeDocument/2006/relationships/hyperlink" Target="https://www.iphc.int/venues/details/99th-session-of-the-iphc-annual-meeting-am099" TargetMode="External"/><Relationship Id="rId32" Type="http://schemas.openxmlformats.org/officeDocument/2006/relationships/hyperlink" Target="https://doi.org/10.1111/1755-0998.1364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bioproject/622249" TargetMode="External"/><Relationship Id="rId23" Type="http://schemas.openxmlformats.org/officeDocument/2006/relationships/hyperlink" Target="https://www.iphc.int/uploads/pdf/am/am099/iphc-2023-am099-11.pdf" TargetMode="External"/><Relationship Id="rId28" Type="http://schemas.openxmlformats.org/officeDocument/2006/relationships/hyperlink" Target="https://www.frontiersin.org/articles/10.3389/fmars.2022.801759/abstract" TargetMode="External"/><Relationship Id="rId36" Type="http://schemas.openxmlformats.org/officeDocument/2006/relationships/fontTable" Target="fontTable.xml"/><Relationship Id="rId10" Type="http://schemas.openxmlformats.org/officeDocument/2006/relationships/hyperlink" Target="https://www.iphc.int/locations/map" TargetMode="External"/><Relationship Id="rId19" Type="http://schemas.openxmlformats.org/officeDocument/2006/relationships/hyperlink" Target="https://doi.org/10.1111/jfb.14551" TargetMode="External"/><Relationship Id="rId31" Type="http://schemas.openxmlformats.org/officeDocument/2006/relationships/hyperlink" Target="https://doi.org/10.1186/s40008-022-00274-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1755-0998.13641" TargetMode="External"/><Relationship Id="rId22" Type="http://schemas.openxmlformats.org/officeDocument/2006/relationships/hyperlink" Target="https://www.iphc.int/datatest/data/water-column-profiler-data" TargetMode="External"/><Relationship Id="rId27" Type="http://schemas.openxmlformats.org/officeDocument/2006/relationships/hyperlink" Target="https://doi.org/10.1016/j.fishres.2022.106303" TargetMode="External"/><Relationship Id="rId30" Type="http://schemas.openxmlformats.org/officeDocument/2006/relationships/hyperlink" Target="https://doi.org/10.1016/j.fishres.2022.106449"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C161-FAA9-4B59-A557-FEA8FA96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Larinto</dc:creator>
  <cp:keywords/>
  <dc:description/>
  <cp:lastModifiedBy>Josep Planas</cp:lastModifiedBy>
  <cp:revision>7</cp:revision>
  <cp:lastPrinted>2023-03-23T20:21:00Z</cp:lastPrinted>
  <dcterms:created xsi:type="dcterms:W3CDTF">2023-03-23T20:18:00Z</dcterms:created>
  <dcterms:modified xsi:type="dcterms:W3CDTF">2023-03-23T20:24:00Z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http://www.zotero.org/styles/fisheries-research</vt:lpwstr>
  </property>
  <property fmtid="{D5CDD505-2E9C-101B-9397-08002B2CF9AE}" pid="13" name="Mendeley Recent Style Name 5_1">
    <vt:lpwstr>Fisheries Research</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