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395A20" w:rsidRDefault="00395A20" w:rsidP="00395A20">
      <w:pPr>
        <w:jc w:val="center"/>
      </w:pPr>
    </w:p>
    <w:p w14:paraId="0A37501D" w14:textId="77777777" w:rsidR="00395A20" w:rsidRDefault="00395A20" w:rsidP="00395A20">
      <w:pPr>
        <w:jc w:val="center"/>
      </w:pPr>
    </w:p>
    <w:p w14:paraId="477C8C46" w14:textId="77777777" w:rsidR="00395A20" w:rsidRDefault="00395A20" w:rsidP="00395A20">
      <w:pPr>
        <w:jc w:val="center"/>
      </w:pPr>
      <w:r>
        <w:t>CANADA</w:t>
      </w:r>
    </w:p>
    <w:p w14:paraId="5DAB6C7B" w14:textId="77777777" w:rsidR="00395A20" w:rsidRDefault="00395A20" w:rsidP="00395A20"/>
    <w:p w14:paraId="02EB378F" w14:textId="77777777" w:rsidR="00395A20" w:rsidRDefault="00395A20" w:rsidP="00395A20"/>
    <w:p w14:paraId="6A05A809" w14:textId="77777777" w:rsidR="00395A20" w:rsidRDefault="00395A20" w:rsidP="00395A20"/>
    <w:p w14:paraId="6A2C87A2" w14:textId="5C0C4423" w:rsidR="00395A20" w:rsidRPr="00063AB2" w:rsidRDefault="00C64150" w:rsidP="00BF6159">
      <w:pPr>
        <w:jc w:val="center"/>
        <w:rPr>
          <w:b/>
          <w:bCs/>
        </w:rPr>
      </w:pPr>
      <w:r w:rsidRPr="00C64150">
        <w:rPr>
          <w:b/>
          <w:bCs/>
        </w:rPr>
        <w:t xml:space="preserve">Report on Groundfish Activities by DFO Pacific Region in </w:t>
      </w:r>
      <w:r w:rsidR="000407F3" w:rsidRPr="00BF6159">
        <w:rPr>
          <w:b/>
          <w:bCs/>
        </w:rPr>
        <w:t>202</w:t>
      </w:r>
      <w:r w:rsidR="00315902">
        <w:rPr>
          <w:b/>
          <w:bCs/>
        </w:rPr>
        <w:t>2</w:t>
      </w:r>
    </w:p>
    <w:p w14:paraId="5A39BBE3" w14:textId="77777777" w:rsidR="00395A20" w:rsidRPr="00063AB2" w:rsidRDefault="00395A20" w:rsidP="00BF6159">
      <w:pPr>
        <w:jc w:val="center"/>
        <w:rPr>
          <w:b/>
          <w:bCs/>
        </w:rPr>
      </w:pPr>
    </w:p>
    <w:p w14:paraId="41C8F396" w14:textId="77777777" w:rsidR="00395A20" w:rsidRPr="00063AB2" w:rsidRDefault="00395A20" w:rsidP="00BF6159">
      <w:pPr>
        <w:jc w:val="center"/>
        <w:rPr>
          <w:b/>
          <w:bCs/>
        </w:rPr>
      </w:pPr>
    </w:p>
    <w:p w14:paraId="72A3D3EC" w14:textId="77777777" w:rsidR="00395A20" w:rsidRPr="00063AB2" w:rsidRDefault="00395A20" w:rsidP="00BF6159">
      <w:pPr>
        <w:jc w:val="center"/>
        <w:rPr>
          <w:b/>
          <w:bCs/>
        </w:rPr>
      </w:pPr>
    </w:p>
    <w:p w14:paraId="3179A73E" w14:textId="25E10041" w:rsidR="00395A20" w:rsidRPr="00063AB2" w:rsidRDefault="00395A20" w:rsidP="00BF6159">
      <w:pPr>
        <w:jc w:val="center"/>
        <w:rPr>
          <w:b/>
          <w:bCs/>
        </w:rPr>
      </w:pPr>
      <w:r w:rsidRPr="00BF6159">
        <w:rPr>
          <w:b/>
          <w:bCs/>
        </w:rPr>
        <w:t>April 202</w:t>
      </w:r>
      <w:r w:rsidR="00315902">
        <w:rPr>
          <w:b/>
          <w:bCs/>
        </w:rPr>
        <w:t>3</w:t>
      </w:r>
    </w:p>
    <w:p w14:paraId="0D0B940D" w14:textId="77777777" w:rsidR="00395A20" w:rsidRDefault="00395A20" w:rsidP="00395A20"/>
    <w:p w14:paraId="0E27B00A" w14:textId="77777777" w:rsidR="00395A20" w:rsidRDefault="00395A20" w:rsidP="00395A20"/>
    <w:p w14:paraId="60061E4C" w14:textId="77777777" w:rsidR="00395A20" w:rsidRDefault="00395A20" w:rsidP="00395A20"/>
    <w:p w14:paraId="44EAFD9C" w14:textId="77777777" w:rsidR="00395A20" w:rsidRDefault="00395A20" w:rsidP="00395A20"/>
    <w:p w14:paraId="4B94D5A5" w14:textId="77777777" w:rsidR="00395A20" w:rsidRDefault="00395A20" w:rsidP="00395A20"/>
    <w:p w14:paraId="3DEEC669" w14:textId="77777777" w:rsidR="00395A20" w:rsidRDefault="00395A20" w:rsidP="00395A20"/>
    <w:p w14:paraId="3656B9AB" w14:textId="77777777" w:rsidR="00395A20" w:rsidRDefault="00395A20" w:rsidP="00395A20"/>
    <w:p w14:paraId="45FB0818" w14:textId="77777777" w:rsidR="00395A20" w:rsidRDefault="00395A20" w:rsidP="00395A20"/>
    <w:p w14:paraId="049F31CB" w14:textId="77777777" w:rsidR="00395A20" w:rsidRDefault="00395A20" w:rsidP="00395A20"/>
    <w:p w14:paraId="53128261" w14:textId="77777777" w:rsidR="00395A20" w:rsidRDefault="00395A20" w:rsidP="00395A20"/>
    <w:p w14:paraId="41ED92B6" w14:textId="77777777" w:rsidR="00395A20" w:rsidRDefault="00395A20" w:rsidP="00395A20">
      <w:pPr>
        <w:jc w:val="center"/>
      </w:pPr>
      <w:r>
        <w:t>Prepared for the</w:t>
      </w:r>
    </w:p>
    <w:p w14:paraId="2A776E0D" w14:textId="77777777" w:rsidR="00395A20" w:rsidRDefault="00395A20" w:rsidP="00395A20">
      <w:pPr>
        <w:jc w:val="center"/>
      </w:pPr>
      <w:r>
        <w:t>Technical Sub-Committee of the Canada-United States Groundfish Committee</w:t>
      </w:r>
    </w:p>
    <w:p w14:paraId="62486C05" w14:textId="77777777" w:rsidR="00395A20" w:rsidRDefault="00395A20" w:rsidP="00395A20"/>
    <w:p w14:paraId="4101652C" w14:textId="77777777" w:rsidR="00395A20" w:rsidRDefault="00395A20" w:rsidP="00395A20"/>
    <w:p w14:paraId="4B99056E" w14:textId="77777777" w:rsidR="00395A20" w:rsidRDefault="00395A20" w:rsidP="00395A20"/>
    <w:p w14:paraId="1299C43A" w14:textId="77777777" w:rsidR="00395A20" w:rsidRDefault="00395A20" w:rsidP="00395A20"/>
    <w:p w14:paraId="4DDBEF00" w14:textId="77777777" w:rsidR="00395A20" w:rsidRDefault="00395A20" w:rsidP="00395A20"/>
    <w:p w14:paraId="3461D779" w14:textId="77777777" w:rsidR="00395A20" w:rsidRDefault="00395A20" w:rsidP="00395A20"/>
    <w:p w14:paraId="3CF2D8B6" w14:textId="77777777" w:rsidR="00395A20" w:rsidRDefault="00395A20" w:rsidP="00395A20"/>
    <w:p w14:paraId="0FB78278" w14:textId="77777777" w:rsidR="00395A20" w:rsidRDefault="00395A20" w:rsidP="00395A20"/>
    <w:p w14:paraId="0562CB0E" w14:textId="77777777" w:rsidR="00395A20" w:rsidRDefault="00395A20" w:rsidP="00395A20"/>
    <w:p w14:paraId="34CE0A41" w14:textId="77777777" w:rsidR="00395A20" w:rsidRDefault="00395A20" w:rsidP="00395A20"/>
    <w:p w14:paraId="110FFD37" w14:textId="77777777" w:rsidR="00395A20" w:rsidRDefault="00395A20" w:rsidP="00395A20"/>
    <w:p w14:paraId="06EDA89C" w14:textId="2CE99009" w:rsidR="00395A20" w:rsidRDefault="00B0311D" w:rsidP="00395A20">
      <w:pPr>
        <w:jc w:val="center"/>
      </w:pPr>
      <w:r>
        <w:t>Edited</w:t>
      </w:r>
      <w:r w:rsidR="00395A20">
        <w:t xml:space="preserve"> by</w:t>
      </w:r>
      <w:r w:rsidR="007A610F">
        <w:t xml:space="preserve"> </w:t>
      </w:r>
      <w:r w:rsidR="00315902">
        <w:t>Dana Haggarty and Jillian Dunic</w:t>
      </w:r>
    </w:p>
    <w:p w14:paraId="7929AAB9" w14:textId="77777777" w:rsidR="007A610F" w:rsidRDefault="007A610F" w:rsidP="00395A20">
      <w:pPr>
        <w:jc w:val="center"/>
      </w:pPr>
    </w:p>
    <w:p w14:paraId="1E60AC2F" w14:textId="19C259C6" w:rsidR="00063AB2" w:rsidRPr="00024D6B" w:rsidRDefault="00063AB2" w:rsidP="00B02EA9">
      <w:pPr>
        <w:jc w:val="center"/>
      </w:pPr>
      <w:r w:rsidRPr="00024D6B">
        <w:t xml:space="preserve">With contributions by </w:t>
      </w:r>
      <w:r w:rsidR="00B02EA9" w:rsidRPr="00024D6B">
        <w:t xml:space="preserve"> </w:t>
      </w:r>
    </w:p>
    <w:p w14:paraId="306C0677" w14:textId="3F7B9BC1" w:rsidR="005A2E21" w:rsidRPr="00024D6B" w:rsidRDefault="008C3FD3" w:rsidP="7B288682">
      <w:pPr>
        <w:jc w:val="center"/>
        <w:rPr>
          <w:rFonts w:eastAsia="Calibri"/>
        </w:rPr>
      </w:pPr>
      <w:r w:rsidRPr="00024D6B">
        <w:rPr>
          <w:rFonts w:eastAsia="Calibri"/>
        </w:rPr>
        <w:t xml:space="preserve">Sean Anderson, </w:t>
      </w:r>
      <w:r w:rsidR="7B288682" w:rsidRPr="00024D6B">
        <w:rPr>
          <w:rFonts w:eastAsia="Calibri"/>
        </w:rPr>
        <w:t xml:space="preserve">Maria Cornthwaite, </w:t>
      </w:r>
      <w:r w:rsidR="0026383A" w:rsidRPr="00024D6B">
        <w:rPr>
          <w:rFonts w:eastAsia="Calibri"/>
        </w:rPr>
        <w:t xml:space="preserve">Lindsay Davidson, </w:t>
      </w:r>
      <w:r w:rsidR="7B288682" w:rsidRPr="00024D6B">
        <w:rPr>
          <w:rFonts w:eastAsia="Calibri"/>
        </w:rPr>
        <w:t>Andrew Edward</w:t>
      </w:r>
      <w:r w:rsidRPr="00024D6B">
        <w:rPr>
          <w:rFonts w:eastAsia="Calibri"/>
        </w:rPr>
        <w:t xml:space="preserve">s, </w:t>
      </w:r>
      <w:r w:rsidR="005A2E21" w:rsidRPr="00024D6B">
        <w:rPr>
          <w:rFonts w:eastAsia="Calibri"/>
        </w:rPr>
        <w:t xml:space="preserve">Deirdre Finn,  </w:t>
      </w:r>
    </w:p>
    <w:p w14:paraId="3CF0C3FB" w14:textId="2723569E" w:rsidR="005A2E21" w:rsidRPr="00024D6B" w:rsidRDefault="008C3FD3" w:rsidP="7B288682">
      <w:pPr>
        <w:jc w:val="center"/>
        <w:rPr>
          <w:rFonts w:eastAsia="Calibri"/>
        </w:rPr>
      </w:pPr>
      <w:r w:rsidRPr="00024D6B">
        <w:rPr>
          <w:rFonts w:eastAsia="Calibri"/>
        </w:rPr>
        <w:t>Robyn Forest, Chris Grandin,</w:t>
      </w:r>
      <w:r w:rsidR="005A2E21" w:rsidRPr="00024D6B">
        <w:rPr>
          <w:rFonts w:eastAsia="Calibri"/>
        </w:rPr>
        <w:t xml:space="preserve"> </w:t>
      </w:r>
      <w:r w:rsidR="7B288682" w:rsidRPr="00024D6B">
        <w:rPr>
          <w:rFonts w:eastAsia="Calibri"/>
        </w:rPr>
        <w:t xml:space="preserve">Lorri Granum, Rowan Haigh, </w:t>
      </w:r>
    </w:p>
    <w:p w14:paraId="0A8519AB" w14:textId="17DCFAA9" w:rsidR="7B288682" w:rsidRPr="00024D6B" w:rsidRDefault="7B288682" w:rsidP="7B288682">
      <w:pPr>
        <w:jc w:val="center"/>
        <w:rPr>
          <w:rFonts w:eastAsia="Calibri"/>
        </w:rPr>
      </w:pPr>
      <w:r w:rsidRPr="00024D6B">
        <w:rPr>
          <w:rFonts w:eastAsia="Calibri"/>
        </w:rPr>
        <w:t>Kendra Holt</w:t>
      </w:r>
      <w:r w:rsidR="0026383A" w:rsidRPr="00024D6B">
        <w:rPr>
          <w:rFonts w:eastAsia="Calibri"/>
        </w:rPr>
        <w:t>, Chris Rooper, Matthew Siegle</w:t>
      </w:r>
      <w:r w:rsidRPr="00024D6B">
        <w:rPr>
          <w:rFonts w:eastAsia="Calibri"/>
        </w:rPr>
        <w:t xml:space="preserve"> and Malcolm Wyeth</w:t>
      </w:r>
    </w:p>
    <w:p w14:paraId="76C9D233" w14:textId="77777777" w:rsidR="007A610F" w:rsidRDefault="007A610F" w:rsidP="00395A20">
      <w:pPr>
        <w:jc w:val="center"/>
      </w:pPr>
    </w:p>
    <w:p w14:paraId="7B77C407" w14:textId="7569CC26" w:rsidR="00395A20" w:rsidRDefault="00395A20" w:rsidP="00395A20">
      <w:pPr>
        <w:jc w:val="center"/>
      </w:pPr>
      <w:r>
        <w:t>Fisheries and Oceans Canada</w:t>
      </w:r>
    </w:p>
    <w:p w14:paraId="0F4FC526" w14:textId="77777777" w:rsidR="00395A20" w:rsidRDefault="00395A20" w:rsidP="00395A20">
      <w:pPr>
        <w:jc w:val="center"/>
      </w:pPr>
      <w:r>
        <w:t>Science Branch, Pacific Biological Station,</w:t>
      </w:r>
    </w:p>
    <w:p w14:paraId="17B1A03C" w14:textId="77777777" w:rsidR="00395A20" w:rsidRDefault="00395A20" w:rsidP="00395A20">
      <w:pPr>
        <w:jc w:val="center"/>
      </w:pPr>
      <w:r>
        <w:t>Nanaimo, British Columbia V9T 6N7</w:t>
      </w:r>
    </w:p>
    <w:p w14:paraId="3FE9F23F" w14:textId="77777777" w:rsidR="00E254CA" w:rsidRDefault="00E254CA" w:rsidP="00395A20"/>
    <w:p w14:paraId="1F72F646" w14:textId="77777777" w:rsidR="00E254CA" w:rsidRDefault="00E254CA">
      <w:pPr>
        <w:spacing w:after="160"/>
        <w:sectPr w:rsidR="00E254CA" w:rsidSect="00E254C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22E0FC93" w14:textId="77777777" w:rsidR="00395A20" w:rsidRDefault="00395A20" w:rsidP="00395A20">
      <w:pPr>
        <w:jc w:val="center"/>
      </w:pPr>
      <w:r>
        <w:lastRenderedPageBreak/>
        <w:t>Table of Contents</w:t>
      </w:r>
    </w:p>
    <w:p w14:paraId="12EC2072" w14:textId="1A132729" w:rsidR="00671F75" w:rsidRDefault="00E32C15">
      <w:pPr>
        <w:pStyle w:val="TOC1"/>
        <w:rPr>
          <w:rFonts w:asciiTheme="minorHAnsi" w:eastAsiaTheme="minorEastAsia" w:hAnsiTheme="minorHAnsi"/>
          <w:noProof/>
          <w:lang w:val="en-US" w:eastAsia="ja-JP"/>
        </w:rPr>
      </w:pPr>
      <w:r>
        <w:fldChar w:fldCharType="begin"/>
      </w:r>
      <w:r>
        <w:instrText xml:space="preserve"> TOC \h \z \t "Heading 1,1,Heading 2,2,Appendix Heading 1,1" </w:instrText>
      </w:r>
      <w:r>
        <w:fldChar w:fldCharType="separate"/>
      </w:r>
      <w:hyperlink w:anchor="_Toc131161701" w:history="1">
        <w:r w:rsidR="00671F75" w:rsidRPr="00FE730A">
          <w:rPr>
            <w:rStyle w:val="Hyperlink"/>
            <w:noProof/>
          </w:rPr>
          <w:t>I.</w:t>
        </w:r>
        <w:r w:rsidR="00671F75">
          <w:rPr>
            <w:rFonts w:asciiTheme="minorHAnsi" w:eastAsiaTheme="minorEastAsia" w:hAnsiTheme="minorHAnsi"/>
            <w:noProof/>
            <w:lang w:val="en-US" w:eastAsia="ja-JP"/>
          </w:rPr>
          <w:tab/>
        </w:r>
        <w:r w:rsidR="00671F75" w:rsidRPr="00FE730A">
          <w:rPr>
            <w:rStyle w:val="Hyperlink"/>
            <w:noProof/>
          </w:rPr>
          <w:t>Agency Overview</w:t>
        </w:r>
        <w:r w:rsidR="00671F75">
          <w:rPr>
            <w:noProof/>
            <w:webHidden/>
          </w:rPr>
          <w:tab/>
        </w:r>
        <w:r w:rsidR="00671F75">
          <w:rPr>
            <w:noProof/>
            <w:webHidden/>
          </w:rPr>
          <w:fldChar w:fldCharType="begin"/>
        </w:r>
        <w:r w:rsidR="00671F75">
          <w:rPr>
            <w:noProof/>
            <w:webHidden/>
          </w:rPr>
          <w:instrText xml:space="preserve"> PAGEREF _Toc131161701 \h </w:instrText>
        </w:r>
        <w:r w:rsidR="00671F75">
          <w:rPr>
            <w:noProof/>
            <w:webHidden/>
          </w:rPr>
        </w:r>
        <w:r w:rsidR="00671F75">
          <w:rPr>
            <w:noProof/>
            <w:webHidden/>
          </w:rPr>
          <w:fldChar w:fldCharType="separate"/>
        </w:r>
        <w:r w:rsidR="00CA23CB">
          <w:rPr>
            <w:noProof/>
            <w:webHidden/>
          </w:rPr>
          <w:t>1</w:t>
        </w:r>
        <w:r w:rsidR="00671F75">
          <w:rPr>
            <w:noProof/>
            <w:webHidden/>
          </w:rPr>
          <w:fldChar w:fldCharType="end"/>
        </w:r>
      </w:hyperlink>
    </w:p>
    <w:p w14:paraId="07A56A18" w14:textId="74C3AF11" w:rsidR="00671F75" w:rsidRDefault="0026383A">
      <w:pPr>
        <w:pStyle w:val="TOC1"/>
        <w:rPr>
          <w:rFonts w:asciiTheme="minorHAnsi" w:eastAsiaTheme="minorEastAsia" w:hAnsiTheme="minorHAnsi"/>
          <w:noProof/>
          <w:lang w:val="en-US" w:eastAsia="ja-JP"/>
        </w:rPr>
      </w:pPr>
      <w:hyperlink w:anchor="_Toc131161702" w:history="1">
        <w:r w:rsidR="00671F75" w:rsidRPr="00FE730A">
          <w:rPr>
            <w:rStyle w:val="Hyperlink"/>
            <w:noProof/>
          </w:rPr>
          <w:t>II.</w:t>
        </w:r>
        <w:r w:rsidR="00671F75">
          <w:rPr>
            <w:rFonts w:asciiTheme="minorHAnsi" w:eastAsiaTheme="minorEastAsia" w:hAnsiTheme="minorHAnsi"/>
            <w:noProof/>
            <w:lang w:val="en-US" w:eastAsia="ja-JP"/>
          </w:rPr>
          <w:tab/>
        </w:r>
        <w:r w:rsidR="00671F75" w:rsidRPr="00FE730A">
          <w:rPr>
            <w:rStyle w:val="Hyperlink"/>
            <w:noProof/>
          </w:rPr>
          <w:t>Surveys</w:t>
        </w:r>
        <w:r w:rsidR="00671F75">
          <w:rPr>
            <w:noProof/>
            <w:webHidden/>
          </w:rPr>
          <w:tab/>
        </w:r>
        <w:r w:rsidR="00671F75">
          <w:rPr>
            <w:noProof/>
            <w:webHidden/>
          </w:rPr>
          <w:fldChar w:fldCharType="begin"/>
        </w:r>
        <w:r w:rsidR="00671F75">
          <w:rPr>
            <w:noProof/>
            <w:webHidden/>
          </w:rPr>
          <w:instrText xml:space="preserve"> PAGEREF _Toc131161702 \h </w:instrText>
        </w:r>
        <w:r w:rsidR="00671F75">
          <w:rPr>
            <w:noProof/>
            <w:webHidden/>
          </w:rPr>
        </w:r>
        <w:r w:rsidR="00671F75">
          <w:rPr>
            <w:noProof/>
            <w:webHidden/>
          </w:rPr>
          <w:fldChar w:fldCharType="separate"/>
        </w:r>
        <w:r w:rsidR="00CA23CB">
          <w:rPr>
            <w:noProof/>
            <w:webHidden/>
          </w:rPr>
          <w:t>3</w:t>
        </w:r>
        <w:r w:rsidR="00671F75">
          <w:rPr>
            <w:noProof/>
            <w:webHidden/>
          </w:rPr>
          <w:fldChar w:fldCharType="end"/>
        </w:r>
      </w:hyperlink>
    </w:p>
    <w:p w14:paraId="6FE3C26E" w14:textId="7332F712" w:rsidR="00671F75" w:rsidRDefault="0026383A">
      <w:pPr>
        <w:pStyle w:val="TOC2"/>
        <w:rPr>
          <w:rFonts w:asciiTheme="minorHAnsi" w:eastAsiaTheme="minorEastAsia" w:hAnsiTheme="minorHAnsi"/>
          <w:noProof/>
          <w:lang w:val="en-US" w:eastAsia="ja-JP"/>
        </w:rPr>
      </w:pPr>
      <w:hyperlink w:anchor="_Toc131161703" w:history="1">
        <w:r w:rsidR="00671F75" w:rsidRPr="00FE730A">
          <w:rPr>
            <w:rStyle w:val="Hyperlink"/>
            <w:noProof/>
          </w:rPr>
          <w:t>A.</w:t>
        </w:r>
        <w:r w:rsidR="00671F75">
          <w:rPr>
            <w:rFonts w:asciiTheme="minorHAnsi" w:eastAsiaTheme="minorEastAsia" w:hAnsiTheme="minorHAnsi"/>
            <w:noProof/>
            <w:lang w:val="en-US" w:eastAsia="ja-JP"/>
          </w:rPr>
          <w:tab/>
        </w:r>
        <w:r w:rsidR="00671F75" w:rsidRPr="00FE730A">
          <w:rPr>
            <w:rStyle w:val="Hyperlink"/>
            <w:noProof/>
          </w:rPr>
          <w:t>Databases and Data Acquisition Software</w:t>
        </w:r>
        <w:r w:rsidR="00671F75">
          <w:rPr>
            <w:noProof/>
            <w:webHidden/>
          </w:rPr>
          <w:tab/>
        </w:r>
        <w:r w:rsidR="00671F75">
          <w:rPr>
            <w:noProof/>
            <w:webHidden/>
          </w:rPr>
          <w:fldChar w:fldCharType="begin"/>
        </w:r>
        <w:r w:rsidR="00671F75">
          <w:rPr>
            <w:noProof/>
            <w:webHidden/>
          </w:rPr>
          <w:instrText xml:space="preserve"> PAGEREF _Toc131161703 \h </w:instrText>
        </w:r>
        <w:r w:rsidR="00671F75">
          <w:rPr>
            <w:noProof/>
            <w:webHidden/>
          </w:rPr>
        </w:r>
        <w:r w:rsidR="00671F75">
          <w:rPr>
            <w:noProof/>
            <w:webHidden/>
          </w:rPr>
          <w:fldChar w:fldCharType="separate"/>
        </w:r>
        <w:r w:rsidR="00CA23CB">
          <w:rPr>
            <w:noProof/>
            <w:webHidden/>
          </w:rPr>
          <w:t>3</w:t>
        </w:r>
        <w:r w:rsidR="00671F75">
          <w:rPr>
            <w:noProof/>
            <w:webHidden/>
          </w:rPr>
          <w:fldChar w:fldCharType="end"/>
        </w:r>
      </w:hyperlink>
    </w:p>
    <w:p w14:paraId="0FA6DA25" w14:textId="20B6430D" w:rsidR="00671F75" w:rsidRDefault="0026383A">
      <w:pPr>
        <w:pStyle w:val="TOC2"/>
        <w:rPr>
          <w:rFonts w:asciiTheme="minorHAnsi" w:eastAsiaTheme="minorEastAsia" w:hAnsiTheme="minorHAnsi"/>
          <w:noProof/>
          <w:lang w:val="en-US" w:eastAsia="ja-JP"/>
        </w:rPr>
      </w:pPr>
      <w:hyperlink w:anchor="_Toc131161704" w:history="1">
        <w:r w:rsidR="00671F75" w:rsidRPr="00FE730A">
          <w:rPr>
            <w:rStyle w:val="Hyperlink"/>
            <w:noProof/>
          </w:rPr>
          <w:t>B.</w:t>
        </w:r>
        <w:r w:rsidR="00671F75">
          <w:rPr>
            <w:rFonts w:asciiTheme="minorHAnsi" w:eastAsiaTheme="minorEastAsia" w:hAnsiTheme="minorHAnsi"/>
            <w:noProof/>
            <w:lang w:val="en-US" w:eastAsia="ja-JP"/>
          </w:rPr>
          <w:tab/>
        </w:r>
        <w:r w:rsidR="00671F75" w:rsidRPr="00FE730A">
          <w:rPr>
            <w:rStyle w:val="Hyperlink"/>
            <w:noProof/>
          </w:rPr>
          <w:t>Commercial Fishery Monitoring and Biological Sampling</w:t>
        </w:r>
        <w:r w:rsidR="00671F75">
          <w:rPr>
            <w:noProof/>
            <w:webHidden/>
          </w:rPr>
          <w:tab/>
        </w:r>
        <w:r w:rsidR="00671F75">
          <w:rPr>
            <w:noProof/>
            <w:webHidden/>
          </w:rPr>
          <w:fldChar w:fldCharType="begin"/>
        </w:r>
        <w:r w:rsidR="00671F75">
          <w:rPr>
            <w:noProof/>
            <w:webHidden/>
          </w:rPr>
          <w:instrText xml:space="preserve"> PAGEREF _Toc131161704 \h </w:instrText>
        </w:r>
        <w:r w:rsidR="00671F75">
          <w:rPr>
            <w:noProof/>
            <w:webHidden/>
          </w:rPr>
        </w:r>
        <w:r w:rsidR="00671F75">
          <w:rPr>
            <w:noProof/>
            <w:webHidden/>
          </w:rPr>
          <w:fldChar w:fldCharType="separate"/>
        </w:r>
        <w:r w:rsidR="00CA23CB">
          <w:rPr>
            <w:noProof/>
            <w:webHidden/>
          </w:rPr>
          <w:t>4</w:t>
        </w:r>
        <w:r w:rsidR="00671F75">
          <w:rPr>
            <w:noProof/>
            <w:webHidden/>
          </w:rPr>
          <w:fldChar w:fldCharType="end"/>
        </w:r>
      </w:hyperlink>
    </w:p>
    <w:p w14:paraId="0F0B6B60" w14:textId="5A346153" w:rsidR="00671F75" w:rsidRDefault="0026383A">
      <w:pPr>
        <w:pStyle w:val="TOC2"/>
        <w:rPr>
          <w:rFonts w:asciiTheme="minorHAnsi" w:eastAsiaTheme="minorEastAsia" w:hAnsiTheme="minorHAnsi"/>
          <w:noProof/>
          <w:lang w:val="en-US" w:eastAsia="ja-JP"/>
        </w:rPr>
      </w:pPr>
      <w:hyperlink w:anchor="_Toc131161705" w:history="1">
        <w:r w:rsidR="00671F75" w:rsidRPr="00FE730A">
          <w:rPr>
            <w:rStyle w:val="Hyperlink"/>
            <w:noProof/>
          </w:rPr>
          <w:t>C.</w:t>
        </w:r>
        <w:r w:rsidR="00671F75">
          <w:rPr>
            <w:rFonts w:asciiTheme="minorHAnsi" w:eastAsiaTheme="minorEastAsia" w:hAnsiTheme="minorHAnsi"/>
            <w:noProof/>
            <w:lang w:val="en-US" w:eastAsia="ja-JP"/>
          </w:rPr>
          <w:tab/>
        </w:r>
        <w:r w:rsidR="00671F75" w:rsidRPr="00FE730A">
          <w:rPr>
            <w:rStyle w:val="Hyperlink"/>
            <w:noProof/>
          </w:rPr>
          <w:t>Research Surveys</w:t>
        </w:r>
        <w:r w:rsidR="00671F75">
          <w:rPr>
            <w:noProof/>
            <w:webHidden/>
          </w:rPr>
          <w:tab/>
        </w:r>
        <w:r w:rsidR="00671F75">
          <w:rPr>
            <w:noProof/>
            <w:webHidden/>
          </w:rPr>
          <w:fldChar w:fldCharType="begin"/>
        </w:r>
        <w:r w:rsidR="00671F75">
          <w:rPr>
            <w:noProof/>
            <w:webHidden/>
          </w:rPr>
          <w:instrText xml:space="preserve"> PAGEREF _Toc131161705 \h </w:instrText>
        </w:r>
        <w:r w:rsidR="00671F75">
          <w:rPr>
            <w:noProof/>
            <w:webHidden/>
          </w:rPr>
        </w:r>
        <w:r w:rsidR="00671F75">
          <w:rPr>
            <w:noProof/>
            <w:webHidden/>
          </w:rPr>
          <w:fldChar w:fldCharType="separate"/>
        </w:r>
        <w:r w:rsidR="00CA23CB">
          <w:rPr>
            <w:noProof/>
            <w:webHidden/>
          </w:rPr>
          <w:t>5</w:t>
        </w:r>
        <w:r w:rsidR="00671F75">
          <w:rPr>
            <w:noProof/>
            <w:webHidden/>
          </w:rPr>
          <w:fldChar w:fldCharType="end"/>
        </w:r>
      </w:hyperlink>
    </w:p>
    <w:p w14:paraId="4423029D" w14:textId="12F56470" w:rsidR="00671F75" w:rsidRDefault="0026383A">
      <w:pPr>
        <w:pStyle w:val="TOC1"/>
        <w:rPr>
          <w:rFonts w:asciiTheme="minorHAnsi" w:eastAsiaTheme="minorEastAsia" w:hAnsiTheme="minorHAnsi"/>
          <w:noProof/>
          <w:lang w:val="en-US" w:eastAsia="ja-JP"/>
        </w:rPr>
      </w:pPr>
      <w:hyperlink w:anchor="_Toc131161706" w:history="1">
        <w:r w:rsidR="00671F75" w:rsidRPr="00FE730A">
          <w:rPr>
            <w:rStyle w:val="Hyperlink"/>
            <w:noProof/>
          </w:rPr>
          <w:t>III.</w:t>
        </w:r>
        <w:r w:rsidR="00671F75">
          <w:rPr>
            <w:rFonts w:asciiTheme="minorHAnsi" w:eastAsiaTheme="minorEastAsia" w:hAnsiTheme="minorHAnsi"/>
            <w:noProof/>
            <w:lang w:val="en-US" w:eastAsia="ja-JP"/>
          </w:rPr>
          <w:tab/>
        </w:r>
        <w:r w:rsidR="00671F75" w:rsidRPr="00FE730A">
          <w:rPr>
            <w:rStyle w:val="Hyperlink"/>
            <w:noProof/>
          </w:rPr>
          <w:t>Reserves</w:t>
        </w:r>
        <w:r w:rsidR="00671F75">
          <w:rPr>
            <w:noProof/>
            <w:webHidden/>
          </w:rPr>
          <w:tab/>
        </w:r>
        <w:r w:rsidR="00671F75">
          <w:rPr>
            <w:noProof/>
            <w:webHidden/>
          </w:rPr>
          <w:fldChar w:fldCharType="begin"/>
        </w:r>
        <w:r w:rsidR="00671F75">
          <w:rPr>
            <w:noProof/>
            <w:webHidden/>
          </w:rPr>
          <w:instrText xml:space="preserve"> PAGEREF _Toc131161706 \h </w:instrText>
        </w:r>
        <w:r w:rsidR="00671F75">
          <w:rPr>
            <w:noProof/>
            <w:webHidden/>
          </w:rPr>
        </w:r>
        <w:r w:rsidR="00671F75">
          <w:rPr>
            <w:noProof/>
            <w:webHidden/>
          </w:rPr>
          <w:fldChar w:fldCharType="separate"/>
        </w:r>
        <w:r w:rsidR="00CA23CB">
          <w:rPr>
            <w:noProof/>
            <w:webHidden/>
          </w:rPr>
          <w:t>11</w:t>
        </w:r>
        <w:r w:rsidR="00671F75">
          <w:rPr>
            <w:noProof/>
            <w:webHidden/>
          </w:rPr>
          <w:fldChar w:fldCharType="end"/>
        </w:r>
      </w:hyperlink>
    </w:p>
    <w:p w14:paraId="0E28187B" w14:textId="0126309D" w:rsidR="00671F75" w:rsidRDefault="0026383A">
      <w:pPr>
        <w:pStyle w:val="TOC1"/>
        <w:rPr>
          <w:rFonts w:asciiTheme="minorHAnsi" w:eastAsiaTheme="minorEastAsia" w:hAnsiTheme="minorHAnsi"/>
          <w:noProof/>
          <w:lang w:val="en-US" w:eastAsia="ja-JP"/>
        </w:rPr>
      </w:pPr>
      <w:hyperlink w:anchor="_Toc131161707" w:history="1">
        <w:r w:rsidR="00671F75" w:rsidRPr="00FE730A">
          <w:rPr>
            <w:rStyle w:val="Hyperlink"/>
            <w:noProof/>
          </w:rPr>
          <w:t>IV.</w:t>
        </w:r>
        <w:r w:rsidR="00671F75">
          <w:rPr>
            <w:rFonts w:asciiTheme="minorHAnsi" w:eastAsiaTheme="minorEastAsia" w:hAnsiTheme="minorHAnsi"/>
            <w:noProof/>
            <w:lang w:val="en-US" w:eastAsia="ja-JP"/>
          </w:rPr>
          <w:tab/>
        </w:r>
        <w:r w:rsidR="00671F75" w:rsidRPr="00FE730A">
          <w:rPr>
            <w:rStyle w:val="Hyperlink"/>
            <w:noProof/>
          </w:rPr>
          <w:t>Review of Agency Groundfish Research, Assessment and Management</w:t>
        </w:r>
        <w:r w:rsidR="00671F75">
          <w:rPr>
            <w:noProof/>
            <w:webHidden/>
          </w:rPr>
          <w:tab/>
        </w:r>
        <w:r w:rsidR="00671F75">
          <w:rPr>
            <w:noProof/>
            <w:webHidden/>
          </w:rPr>
          <w:fldChar w:fldCharType="begin"/>
        </w:r>
        <w:r w:rsidR="00671F75">
          <w:rPr>
            <w:noProof/>
            <w:webHidden/>
          </w:rPr>
          <w:instrText xml:space="preserve"> PAGEREF _Toc131161707 \h </w:instrText>
        </w:r>
        <w:r w:rsidR="00671F75">
          <w:rPr>
            <w:noProof/>
            <w:webHidden/>
          </w:rPr>
        </w:r>
        <w:r w:rsidR="00671F75">
          <w:rPr>
            <w:noProof/>
            <w:webHidden/>
          </w:rPr>
          <w:fldChar w:fldCharType="separate"/>
        </w:r>
        <w:r w:rsidR="00CA23CB">
          <w:rPr>
            <w:noProof/>
            <w:webHidden/>
          </w:rPr>
          <w:t>15</w:t>
        </w:r>
        <w:r w:rsidR="00671F75">
          <w:rPr>
            <w:noProof/>
            <w:webHidden/>
          </w:rPr>
          <w:fldChar w:fldCharType="end"/>
        </w:r>
      </w:hyperlink>
    </w:p>
    <w:p w14:paraId="333FD930" w14:textId="3D3D98B3" w:rsidR="00671F75" w:rsidRDefault="0026383A">
      <w:pPr>
        <w:pStyle w:val="TOC2"/>
        <w:rPr>
          <w:rFonts w:asciiTheme="minorHAnsi" w:eastAsiaTheme="minorEastAsia" w:hAnsiTheme="minorHAnsi"/>
          <w:noProof/>
          <w:lang w:val="en-US" w:eastAsia="ja-JP"/>
        </w:rPr>
      </w:pPr>
      <w:hyperlink w:anchor="_Toc131161708" w:history="1">
        <w:r w:rsidR="00671F75" w:rsidRPr="00FE730A">
          <w:rPr>
            <w:rStyle w:val="Hyperlink"/>
            <w:noProof/>
          </w:rPr>
          <w:t>A.</w:t>
        </w:r>
        <w:r w:rsidR="00671F75">
          <w:rPr>
            <w:rFonts w:asciiTheme="minorHAnsi" w:eastAsiaTheme="minorEastAsia" w:hAnsiTheme="minorHAnsi"/>
            <w:noProof/>
            <w:lang w:val="en-US" w:eastAsia="ja-JP"/>
          </w:rPr>
          <w:tab/>
        </w:r>
        <w:r w:rsidR="00671F75" w:rsidRPr="00FE730A">
          <w:rPr>
            <w:rStyle w:val="Hyperlink"/>
            <w:noProof/>
          </w:rPr>
          <w:t>Hagfish</w:t>
        </w:r>
        <w:r w:rsidR="00671F75">
          <w:rPr>
            <w:noProof/>
            <w:webHidden/>
          </w:rPr>
          <w:tab/>
        </w:r>
        <w:r w:rsidR="00671F75">
          <w:rPr>
            <w:noProof/>
            <w:webHidden/>
          </w:rPr>
          <w:fldChar w:fldCharType="begin"/>
        </w:r>
        <w:r w:rsidR="00671F75">
          <w:rPr>
            <w:noProof/>
            <w:webHidden/>
          </w:rPr>
          <w:instrText xml:space="preserve"> PAGEREF _Toc131161708 \h </w:instrText>
        </w:r>
        <w:r w:rsidR="00671F75">
          <w:rPr>
            <w:noProof/>
            <w:webHidden/>
          </w:rPr>
        </w:r>
        <w:r w:rsidR="00671F75">
          <w:rPr>
            <w:noProof/>
            <w:webHidden/>
          </w:rPr>
          <w:fldChar w:fldCharType="separate"/>
        </w:r>
        <w:r w:rsidR="00CA23CB">
          <w:rPr>
            <w:noProof/>
            <w:webHidden/>
          </w:rPr>
          <w:t>15</w:t>
        </w:r>
        <w:r w:rsidR="00671F75">
          <w:rPr>
            <w:noProof/>
            <w:webHidden/>
          </w:rPr>
          <w:fldChar w:fldCharType="end"/>
        </w:r>
      </w:hyperlink>
    </w:p>
    <w:p w14:paraId="337BCA40" w14:textId="511A4CC9" w:rsidR="00671F75" w:rsidRDefault="0026383A">
      <w:pPr>
        <w:pStyle w:val="TOC2"/>
        <w:rPr>
          <w:rFonts w:asciiTheme="minorHAnsi" w:eastAsiaTheme="minorEastAsia" w:hAnsiTheme="minorHAnsi"/>
          <w:noProof/>
          <w:lang w:val="en-US" w:eastAsia="ja-JP"/>
        </w:rPr>
      </w:pPr>
      <w:hyperlink w:anchor="_Toc131161709" w:history="1">
        <w:r w:rsidR="00671F75" w:rsidRPr="00FE730A">
          <w:rPr>
            <w:rStyle w:val="Hyperlink"/>
            <w:noProof/>
          </w:rPr>
          <w:t>B.</w:t>
        </w:r>
        <w:r w:rsidR="00671F75">
          <w:rPr>
            <w:rFonts w:asciiTheme="minorHAnsi" w:eastAsiaTheme="minorEastAsia" w:hAnsiTheme="minorHAnsi"/>
            <w:noProof/>
            <w:lang w:val="en-US" w:eastAsia="ja-JP"/>
          </w:rPr>
          <w:tab/>
        </w:r>
        <w:r w:rsidR="00671F75" w:rsidRPr="00FE730A">
          <w:rPr>
            <w:rStyle w:val="Hyperlink"/>
            <w:noProof/>
          </w:rPr>
          <w:t>Dogfish and other sharks</w:t>
        </w:r>
        <w:r w:rsidR="00671F75">
          <w:rPr>
            <w:noProof/>
            <w:webHidden/>
          </w:rPr>
          <w:tab/>
        </w:r>
        <w:r w:rsidR="00671F75">
          <w:rPr>
            <w:noProof/>
            <w:webHidden/>
          </w:rPr>
          <w:fldChar w:fldCharType="begin"/>
        </w:r>
        <w:r w:rsidR="00671F75">
          <w:rPr>
            <w:noProof/>
            <w:webHidden/>
          </w:rPr>
          <w:instrText xml:space="preserve"> PAGEREF _Toc131161709 \h </w:instrText>
        </w:r>
        <w:r w:rsidR="00671F75">
          <w:rPr>
            <w:noProof/>
            <w:webHidden/>
          </w:rPr>
        </w:r>
        <w:r w:rsidR="00671F75">
          <w:rPr>
            <w:noProof/>
            <w:webHidden/>
          </w:rPr>
          <w:fldChar w:fldCharType="separate"/>
        </w:r>
        <w:r w:rsidR="00CA23CB">
          <w:rPr>
            <w:noProof/>
            <w:webHidden/>
          </w:rPr>
          <w:t>16</w:t>
        </w:r>
        <w:r w:rsidR="00671F75">
          <w:rPr>
            <w:noProof/>
            <w:webHidden/>
          </w:rPr>
          <w:fldChar w:fldCharType="end"/>
        </w:r>
      </w:hyperlink>
    </w:p>
    <w:p w14:paraId="2F0ABB7D" w14:textId="289A73BB" w:rsidR="00671F75" w:rsidRDefault="0026383A">
      <w:pPr>
        <w:pStyle w:val="TOC2"/>
        <w:rPr>
          <w:rFonts w:asciiTheme="minorHAnsi" w:eastAsiaTheme="minorEastAsia" w:hAnsiTheme="minorHAnsi"/>
          <w:noProof/>
          <w:lang w:val="en-US" w:eastAsia="ja-JP"/>
        </w:rPr>
      </w:pPr>
      <w:hyperlink w:anchor="_Toc131161710" w:history="1">
        <w:r w:rsidR="00671F75" w:rsidRPr="00FE730A">
          <w:rPr>
            <w:rStyle w:val="Hyperlink"/>
            <w:noProof/>
          </w:rPr>
          <w:t>C.</w:t>
        </w:r>
        <w:r w:rsidR="00671F75">
          <w:rPr>
            <w:rFonts w:asciiTheme="minorHAnsi" w:eastAsiaTheme="minorEastAsia" w:hAnsiTheme="minorHAnsi"/>
            <w:noProof/>
            <w:lang w:val="en-US" w:eastAsia="ja-JP"/>
          </w:rPr>
          <w:tab/>
        </w:r>
        <w:r w:rsidR="00671F75" w:rsidRPr="00FE730A">
          <w:rPr>
            <w:rStyle w:val="Hyperlink"/>
            <w:noProof/>
          </w:rPr>
          <w:t>Skates and Chimeras</w:t>
        </w:r>
        <w:r w:rsidR="00671F75">
          <w:rPr>
            <w:noProof/>
            <w:webHidden/>
          </w:rPr>
          <w:tab/>
        </w:r>
        <w:r w:rsidR="00671F75">
          <w:rPr>
            <w:noProof/>
            <w:webHidden/>
          </w:rPr>
          <w:fldChar w:fldCharType="begin"/>
        </w:r>
        <w:r w:rsidR="00671F75">
          <w:rPr>
            <w:noProof/>
            <w:webHidden/>
          </w:rPr>
          <w:instrText xml:space="preserve"> PAGEREF _Toc131161710 \h </w:instrText>
        </w:r>
        <w:r w:rsidR="00671F75">
          <w:rPr>
            <w:noProof/>
            <w:webHidden/>
          </w:rPr>
        </w:r>
        <w:r w:rsidR="00671F75">
          <w:rPr>
            <w:noProof/>
            <w:webHidden/>
          </w:rPr>
          <w:fldChar w:fldCharType="separate"/>
        </w:r>
        <w:r w:rsidR="00CA23CB">
          <w:rPr>
            <w:noProof/>
            <w:webHidden/>
          </w:rPr>
          <w:t>18</w:t>
        </w:r>
        <w:r w:rsidR="00671F75">
          <w:rPr>
            <w:noProof/>
            <w:webHidden/>
          </w:rPr>
          <w:fldChar w:fldCharType="end"/>
        </w:r>
      </w:hyperlink>
    </w:p>
    <w:p w14:paraId="49C773C4" w14:textId="3C746C31" w:rsidR="00671F75" w:rsidRDefault="0026383A">
      <w:pPr>
        <w:pStyle w:val="TOC2"/>
        <w:rPr>
          <w:rFonts w:asciiTheme="minorHAnsi" w:eastAsiaTheme="minorEastAsia" w:hAnsiTheme="minorHAnsi"/>
          <w:noProof/>
          <w:lang w:val="en-US" w:eastAsia="ja-JP"/>
        </w:rPr>
      </w:pPr>
      <w:hyperlink w:anchor="_Toc131161711" w:history="1">
        <w:r w:rsidR="00671F75" w:rsidRPr="00FE730A">
          <w:rPr>
            <w:rStyle w:val="Hyperlink"/>
            <w:noProof/>
          </w:rPr>
          <w:t>D.</w:t>
        </w:r>
        <w:r w:rsidR="00671F75">
          <w:rPr>
            <w:rFonts w:asciiTheme="minorHAnsi" w:eastAsiaTheme="minorEastAsia" w:hAnsiTheme="minorHAnsi"/>
            <w:noProof/>
            <w:lang w:val="en-US" w:eastAsia="ja-JP"/>
          </w:rPr>
          <w:tab/>
        </w:r>
        <w:r w:rsidR="00671F75" w:rsidRPr="00FE730A">
          <w:rPr>
            <w:rStyle w:val="Hyperlink"/>
            <w:noProof/>
          </w:rPr>
          <w:t>Pacific Cod</w:t>
        </w:r>
        <w:r w:rsidR="00671F75">
          <w:rPr>
            <w:noProof/>
            <w:webHidden/>
          </w:rPr>
          <w:tab/>
        </w:r>
        <w:r w:rsidR="00671F75">
          <w:rPr>
            <w:noProof/>
            <w:webHidden/>
          </w:rPr>
          <w:fldChar w:fldCharType="begin"/>
        </w:r>
        <w:r w:rsidR="00671F75">
          <w:rPr>
            <w:noProof/>
            <w:webHidden/>
          </w:rPr>
          <w:instrText xml:space="preserve"> PAGEREF _Toc131161711 \h </w:instrText>
        </w:r>
        <w:r w:rsidR="00671F75">
          <w:rPr>
            <w:noProof/>
            <w:webHidden/>
          </w:rPr>
        </w:r>
        <w:r w:rsidR="00671F75">
          <w:rPr>
            <w:noProof/>
            <w:webHidden/>
          </w:rPr>
          <w:fldChar w:fldCharType="separate"/>
        </w:r>
        <w:r w:rsidR="00CA23CB">
          <w:rPr>
            <w:noProof/>
            <w:webHidden/>
          </w:rPr>
          <w:t>19</w:t>
        </w:r>
        <w:r w:rsidR="00671F75">
          <w:rPr>
            <w:noProof/>
            <w:webHidden/>
          </w:rPr>
          <w:fldChar w:fldCharType="end"/>
        </w:r>
      </w:hyperlink>
    </w:p>
    <w:p w14:paraId="03B0F961" w14:textId="703C3A5E" w:rsidR="00671F75" w:rsidRDefault="0026383A">
      <w:pPr>
        <w:pStyle w:val="TOC2"/>
        <w:rPr>
          <w:rFonts w:asciiTheme="minorHAnsi" w:eastAsiaTheme="minorEastAsia" w:hAnsiTheme="minorHAnsi"/>
          <w:noProof/>
          <w:lang w:val="en-US" w:eastAsia="ja-JP"/>
        </w:rPr>
      </w:pPr>
      <w:hyperlink w:anchor="_Toc131161712" w:history="1">
        <w:r w:rsidR="00671F75" w:rsidRPr="00FE730A">
          <w:rPr>
            <w:rStyle w:val="Hyperlink"/>
            <w:noProof/>
          </w:rPr>
          <w:t>E.</w:t>
        </w:r>
        <w:r w:rsidR="00671F75">
          <w:rPr>
            <w:rFonts w:asciiTheme="minorHAnsi" w:eastAsiaTheme="minorEastAsia" w:hAnsiTheme="minorHAnsi"/>
            <w:noProof/>
            <w:lang w:val="en-US" w:eastAsia="ja-JP"/>
          </w:rPr>
          <w:tab/>
        </w:r>
        <w:r w:rsidR="00671F75" w:rsidRPr="00FE730A">
          <w:rPr>
            <w:rStyle w:val="Hyperlink"/>
            <w:noProof/>
          </w:rPr>
          <w:t>Walleye Pollock</w:t>
        </w:r>
        <w:r w:rsidR="00671F75">
          <w:rPr>
            <w:noProof/>
            <w:webHidden/>
          </w:rPr>
          <w:tab/>
        </w:r>
        <w:r w:rsidR="00671F75">
          <w:rPr>
            <w:noProof/>
            <w:webHidden/>
          </w:rPr>
          <w:fldChar w:fldCharType="begin"/>
        </w:r>
        <w:r w:rsidR="00671F75">
          <w:rPr>
            <w:noProof/>
            <w:webHidden/>
          </w:rPr>
          <w:instrText xml:space="preserve"> PAGEREF _Toc131161712 \h </w:instrText>
        </w:r>
        <w:r w:rsidR="00671F75">
          <w:rPr>
            <w:noProof/>
            <w:webHidden/>
          </w:rPr>
        </w:r>
        <w:r w:rsidR="00671F75">
          <w:rPr>
            <w:noProof/>
            <w:webHidden/>
          </w:rPr>
          <w:fldChar w:fldCharType="separate"/>
        </w:r>
        <w:r w:rsidR="00CA23CB">
          <w:rPr>
            <w:noProof/>
            <w:webHidden/>
          </w:rPr>
          <w:t>20</w:t>
        </w:r>
        <w:r w:rsidR="00671F75">
          <w:rPr>
            <w:noProof/>
            <w:webHidden/>
          </w:rPr>
          <w:fldChar w:fldCharType="end"/>
        </w:r>
      </w:hyperlink>
    </w:p>
    <w:p w14:paraId="375BA32E" w14:textId="53F7E5F6" w:rsidR="00671F75" w:rsidRDefault="0026383A">
      <w:pPr>
        <w:pStyle w:val="TOC2"/>
        <w:rPr>
          <w:rFonts w:asciiTheme="minorHAnsi" w:eastAsiaTheme="minorEastAsia" w:hAnsiTheme="minorHAnsi"/>
          <w:noProof/>
          <w:lang w:val="en-US" w:eastAsia="ja-JP"/>
        </w:rPr>
      </w:pPr>
      <w:hyperlink w:anchor="_Toc131161713" w:history="1">
        <w:r w:rsidR="00671F75" w:rsidRPr="00FE730A">
          <w:rPr>
            <w:rStyle w:val="Hyperlink"/>
            <w:noProof/>
          </w:rPr>
          <w:t>F.</w:t>
        </w:r>
        <w:r w:rsidR="00671F75">
          <w:rPr>
            <w:rFonts w:asciiTheme="minorHAnsi" w:eastAsiaTheme="minorEastAsia" w:hAnsiTheme="minorHAnsi"/>
            <w:noProof/>
            <w:lang w:val="en-US" w:eastAsia="ja-JP"/>
          </w:rPr>
          <w:tab/>
        </w:r>
        <w:r w:rsidR="00671F75" w:rsidRPr="00FE730A">
          <w:rPr>
            <w:rStyle w:val="Hyperlink"/>
            <w:noProof/>
          </w:rPr>
          <w:t>Pacific Whiting (Hake)</w:t>
        </w:r>
        <w:r w:rsidR="00671F75">
          <w:rPr>
            <w:noProof/>
            <w:webHidden/>
          </w:rPr>
          <w:tab/>
        </w:r>
        <w:r w:rsidR="00671F75">
          <w:rPr>
            <w:noProof/>
            <w:webHidden/>
          </w:rPr>
          <w:fldChar w:fldCharType="begin"/>
        </w:r>
        <w:r w:rsidR="00671F75">
          <w:rPr>
            <w:noProof/>
            <w:webHidden/>
          </w:rPr>
          <w:instrText xml:space="preserve"> PAGEREF _Toc131161713 \h </w:instrText>
        </w:r>
        <w:r w:rsidR="00671F75">
          <w:rPr>
            <w:noProof/>
            <w:webHidden/>
          </w:rPr>
        </w:r>
        <w:r w:rsidR="00671F75">
          <w:rPr>
            <w:noProof/>
            <w:webHidden/>
          </w:rPr>
          <w:fldChar w:fldCharType="separate"/>
        </w:r>
        <w:r w:rsidR="00CA23CB">
          <w:rPr>
            <w:noProof/>
            <w:webHidden/>
          </w:rPr>
          <w:t>20</w:t>
        </w:r>
        <w:r w:rsidR="00671F75">
          <w:rPr>
            <w:noProof/>
            <w:webHidden/>
          </w:rPr>
          <w:fldChar w:fldCharType="end"/>
        </w:r>
      </w:hyperlink>
    </w:p>
    <w:p w14:paraId="518FE43E" w14:textId="2A5B26EB" w:rsidR="00671F75" w:rsidRDefault="0026383A">
      <w:pPr>
        <w:pStyle w:val="TOC2"/>
        <w:rPr>
          <w:rFonts w:asciiTheme="minorHAnsi" w:eastAsiaTheme="minorEastAsia" w:hAnsiTheme="minorHAnsi"/>
          <w:noProof/>
          <w:lang w:val="en-US" w:eastAsia="ja-JP"/>
        </w:rPr>
      </w:pPr>
      <w:hyperlink w:anchor="_Toc131161714" w:history="1">
        <w:r w:rsidR="00671F75" w:rsidRPr="00FE730A">
          <w:rPr>
            <w:rStyle w:val="Hyperlink"/>
            <w:noProof/>
          </w:rPr>
          <w:t>G.</w:t>
        </w:r>
        <w:r w:rsidR="00671F75">
          <w:rPr>
            <w:rFonts w:asciiTheme="minorHAnsi" w:eastAsiaTheme="minorEastAsia" w:hAnsiTheme="minorHAnsi"/>
            <w:noProof/>
            <w:lang w:val="en-US" w:eastAsia="ja-JP"/>
          </w:rPr>
          <w:tab/>
        </w:r>
        <w:r w:rsidR="00671F75" w:rsidRPr="00FE730A">
          <w:rPr>
            <w:rStyle w:val="Hyperlink"/>
            <w:noProof/>
          </w:rPr>
          <w:t>Grenadiers</w:t>
        </w:r>
        <w:r w:rsidR="00671F75">
          <w:rPr>
            <w:noProof/>
            <w:webHidden/>
          </w:rPr>
          <w:tab/>
        </w:r>
        <w:r w:rsidR="00671F75">
          <w:rPr>
            <w:noProof/>
            <w:webHidden/>
          </w:rPr>
          <w:fldChar w:fldCharType="begin"/>
        </w:r>
        <w:r w:rsidR="00671F75">
          <w:rPr>
            <w:noProof/>
            <w:webHidden/>
          </w:rPr>
          <w:instrText xml:space="preserve"> PAGEREF _Toc131161714 \h </w:instrText>
        </w:r>
        <w:r w:rsidR="00671F75">
          <w:rPr>
            <w:noProof/>
            <w:webHidden/>
          </w:rPr>
        </w:r>
        <w:r w:rsidR="00671F75">
          <w:rPr>
            <w:noProof/>
            <w:webHidden/>
          </w:rPr>
          <w:fldChar w:fldCharType="separate"/>
        </w:r>
        <w:r w:rsidR="00CA23CB">
          <w:rPr>
            <w:noProof/>
            <w:webHidden/>
          </w:rPr>
          <w:t>22</w:t>
        </w:r>
        <w:r w:rsidR="00671F75">
          <w:rPr>
            <w:noProof/>
            <w:webHidden/>
          </w:rPr>
          <w:fldChar w:fldCharType="end"/>
        </w:r>
      </w:hyperlink>
    </w:p>
    <w:p w14:paraId="1833F1C6" w14:textId="02B8E2ED" w:rsidR="00671F75" w:rsidRDefault="0026383A">
      <w:pPr>
        <w:pStyle w:val="TOC2"/>
        <w:rPr>
          <w:rFonts w:asciiTheme="minorHAnsi" w:eastAsiaTheme="minorEastAsia" w:hAnsiTheme="minorHAnsi"/>
          <w:noProof/>
          <w:lang w:val="en-US" w:eastAsia="ja-JP"/>
        </w:rPr>
      </w:pPr>
      <w:hyperlink w:anchor="_Toc131161715" w:history="1">
        <w:r w:rsidR="00671F75" w:rsidRPr="00FE730A">
          <w:rPr>
            <w:rStyle w:val="Hyperlink"/>
            <w:noProof/>
          </w:rPr>
          <w:t>H.</w:t>
        </w:r>
        <w:r w:rsidR="00671F75">
          <w:rPr>
            <w:rFonts w:asciiTheme="minorHAnsi" w:eastAsiaTheme="minorEastAsia" w:hAnsiTheme="minorHAnsi"/>
            <w:noProof/>
            <w:lang w:val="en-US" w:eastAsia="ja-JP"/>
          </w:rPr>
          <w:tab/>
        </w:r>
        <w:r w:rsidR="00671F75" w:rsidRPr="00FE730A">
          <w:rPr>
            <w:rStyle w:val="Hyperlink"/>
            <w:noProof/>
          </w:rPr>
          <w:t>Rockfish</w:t>
        </w:r>
        <w:r w:rsidR="00671F75">
          <w:rPr>
            <w:noProof/>
            <w:webHidden/>
          </w:rPr>
          <w:tab/>
        </w:r>
        <w:r w:rsidR="00671F75">
          <w:rPr>
            <w:noProof/>
            <w:webHidden/>
          </w:rPr>
          <w:fldChar w:fldCharType="begin"/>
        </w:r>
        <w:r w:rsidR="00671F75">
          <w:rPr>
            <w:noProof/>
            <w:webHidden/>
          </w:rPr>
          <w:instrText xml:space="preserve"> PAGEREF _Toc131161715 \h </w:instrText>
        </w:r>
        <w:r w:rsidR="00671F75">
          <w:rPr>
            <w:noProof/>
            <w:webHidden/>
          </w:rPr>
        </w:r>
        <w:r w:rsidR="00671F75">
          <w:rPr>
            <w:noProof/>
            <w:webHidden/>
          </w:rPr>
          <w:fldChar w:fldCharType="separate"/>
        </w:r>
        <w:r w:rsidR="00CA23CB">
          <w:rPr>
            <w:noProof/>
            <w:webHidden/>
          </w:rPr>
          <w:t>23</w:t>
        </w:r>
        <w:r w:rsidR="00671F75">
          <w:rPr>
            <w:noProof/>
            <w:webHidden/>
          </w:rPr>
          <w:fldChar w:fldCharType="end"/>
        </w:r>
      </w:hyperlink>
    </w:p>
    <w:p w14:paraId="1BCEE4D7" w14:textId="629AF42C" w:rsidR="00671F75" w:rsidRDefault="0026383A">
      <w:pPr>
        <w:pStyle w:val="TOC2"/>
        <w:rPr>
          <w:rFonts w:asciiTheme="minorHAnsi" w:eastAsiaTheme="minorEastAsia" w:hAnsiTheme="minorHAnsi"/>
          <w:noProof/>
          <w:lang w:val="en-US" w:eastAsia="ja-JP"/>
        </w:rPr>
      </w:pPr>
      <w:hyperlink w:anchor="_Toc131161716" w:history="1">
        <w:r w:rsidR="00671F75" w:rsidRPr="00FE730A">
          <w:rPr>
            <w:rStyle w:val="Hyperlink"/>
            <w:noProof/>
          </w:rPr>
          <w:t>I.</w:t>
        </w:r>
        <w:r w:rsidR="00671F75">
          <w:rPr>
            <w:rFonts w:asciiTheme="minorHAnsi" w:eastAsiaTheme="minorEastAsia" w:hAnsiTheme="minorHAnsi"/>
            <w:noProof/>
            <w:lang w:val="en-US" w:eastAsia="ja-JP"/>
          </w:rPr>
          <w:tab/>
        </w:r>
        <w:r w:rsidR="00671F75" w:rsidRPr="00FE730A">
          <w:rPr>
            <w:rStyle w:val="Hyperlink"/>
            <w:noProof/>
          </w:rPr>
          <w:t>Thornyheads</w:t>
        </w:r>
        <w:r w:rsidR="00671F75">
          <w:rPr>
            <w:noProof/>
            <w:webHidden/>
          </w:rPr>
          <w:tab/>
        </w:r>
        <w:r w:rsidR="00671F75">
          <w:rPr>
            <w:noProof/>
            <w:webHidden/>
          </w:rPr>
          <w:fldChar w:fldCharType="begin"/>
        </w:r>
        <w:r w:rsidR="00671F75">
          <w:rPr>
            <w:noProof/>
            <w:webHidden/>
          </w:rPr>
          <w:instrText xml:space="preserve"> PAGEREF _Toc131161716 \h </w:instrText>
        </w:r>
        <w:r w:rsidR="00671F75">
          <w:rPr>
            <w:noProof/>
            <w:webHidden/>
          </w:rPr>
        </w:r>
        <w:r w:rsidR="00671F75">
          <w:rPr>
            <w:noProof/>
            <w:webHidden/>
          </w:rPr>
          <w:fldChar w:fldCharType="separate"/>
        </w:r>
        <w:r w:rsidR="00CA23CB">
          <w:rPr>
            <w:noProof/>
            <w:webHidden/>
          </w:rPr>
          <w:t>30</w:t>
        </w:r>
        <w:r w:rsidR="00671F75">
          <w:rPr>
            <w:noProof/>
            <w:webHidden/>
          </w:rPr>
          <w:fldChar w:fldCharType="end"/>
        </w:r>
      </w:hyperlink>
    </w:p>
    <w:p w14:paraId="6B2DD083" w14:textId="3384A1A8" w:rsidR="00671F75" w:rsidRDefault="0026383A">
      <w:pPr>
        <w:pStyle w:val="TOC2"/>
        <w:rPr>
          <w:rFonts w:asciiTheme="minorHAnsi" w:eastAsiaTheme="minorEastAsia" w:hAnsiTheme="minorHAnsi"/>
          <w:noProof/>
          <w:lang w:val="en-US" w:eastAsia="ja-JP"/>
        </w:rPr>
      </w:pPr>
      <w:hyperlink w:anchor="_Toc131161717" w:history="1">
        <w:r w:rsidR="00671F75" w:rsidRPr="00FE730A">
          <w:rPr>
            <w:rStyle w:val="Hyperlink"/>
            <w:noProof/>
          </w:rPr>
          <w:t>J.</w:t>
        </w:r>
        <w:r w:rsidR="00671F75">
          <w:rPr>
            <w:rFonts w:asciiTheme="minorHAnsi" w:eastAsiaTheme="minorEastAsia" w:hAnsiTheme="minorHAnsi"/>
            <w:noProof/>
            <w:lang w:val="en-US" w:eastAsia="ja-JP"/>
          </w:rPr>
          <w:tab/>
        </w:r>
        <w:r w:rsidR="00671F75" w:rsidRPr="00FE730A">
          <w:rPr>
            <w:rStyle w:val="Hyperlink"/>
            <w:noProof/>
          </w:rPr>
          <w:t>Sablefish</w:t>
        </w:r>
        <w:r w:rsidR="00671F75">
          <w:rPr>
            <w:noProof/>
            <w:webHidden/>
          </w:rPr>
          <w:tab/>
        </w:r>
        <w:r w:rsidR="00671F75">
          <w:rPr>
            <w:noProof/>
            <w:webHidden/>
          </w:rPr>
          <w:fldChar w:fldCharType="begin"/>
        </w:r>
        <w:r w:rsidR="00671F75">
          <w:rPr>
            <w:noProof/>
            <w:webHidden/>
          </w:rPr>
          <w:instrText xml:space="preserve"> PAGEREF _Toc131161717 \h </w:instrText>
        </w:r>
        <w:r w:rsidR="00671F75">
          <w:rPr>
            <w:noProof/>
            <w:webHidden/>
          </w:rPr>
        </w:r>
        <w:r w:rsidR="00671F75">
          <w:rPr>
            <w:noProof/>
            <w:webHidden/>
          </w:rPr>
          <w:fldChar w:fldCharType="separate"/>
        </w:r>
        <w:r w:rsidR="00CA23CB">
          <w:rPr>
            <w:noProof/>
            <w:webHidden/>
          </w:rPr>
          <w:t>31</w:t>
        </w:r>
        <w:r w:rsidR="00671F75">
          <w:rPr>
            <w:noProof/>
            <w:webHidden/>
          </w:rPr>
          <w:fldChar w:fldCharType="end"/>
        </w:r>
      </w:hyperlink>
    </w:p>
    <w:p w14:paraId="57A52B92" w14:textId="17A2ED8D" w:rsidR="00671F75" w:rsidRDefault="0026383A">
      <w:pPr>
        <w:pStyle w:val="TOC2"/>
        <w:rPr>
          <w:rFonts w:asciiTheme="minorHAnsi" w:eastAsiaTheme="minorEastAsia" w:hAnsiTheme="minorHAnsi"/>
          <w:noProof/>
          <w:lang w:val="en-US" w:eastAsia="ja-JP"/>
        </w:rPr>
      </w:pPr>
      <w:hyperlink w:anchor="_Toc131161718" w:history="1">
        <w:r w:rsidR="00671F75" w:rsidRPr="00FE730A">
          <w:rPr>
            <w:rStyle w:val="Hyperlink"/>
            <w:noProof/>
          </w:rPr>
          <w:t>K.</w:t>
        </w:r>
        <w:r w:rsidR="00671F75">
          <w:rPr>
            <w:rFonts w:asciiTheme="minorHAnsi" w:eastAsiaTheme="minorEastAsia" w:hAnsiTheme="minorHAnsi"/>
            <w:noProof/>
            <w:lang w:val="en-US" w:eastAsia="ja-JP"/>
          </w:rPr>
          <w:tab/>
        </w:r>
        <w:r w:rsidR="00671F75" w:rsidRPr="00FE730A">
          <w:rPr>
            <w:rStyle w:val="Hyperlink"/>
            <w:noProof/>
          </w:rPr>
          <w:t>Lingcod</w:t>
        </w:r>
        <w:r w:rsidR="00671F75">
          <w:rPr>
            <w:noProof/>
            <w:webHidden/>
          </w:rPr>
          <w:tab/>
        </w:r>
        <w:r w:rsidR="00671F75">
          <w:rPr>
            <w:noProof/>
            <w:webHidden/>
          </w:rPr>
          <w:fldChar w:fldCharType="begin"/>
        </w:r>
        <w:r w:rsidR="00671F75">
          <w:rPr>
            <w:noProof/>
            <w:webHidden/>
          </w:rPr>
          <w:instrText xml:space="preserve"> PAGEREF _Toc131161718 \h </w:instrText>
        </w:r>
        <w:r w:rsidR="00671F75">
          <w:rPr>
            <w:noProof/>
            <w:webHidden/>
          </w:rPr>
        </w:r>
        <w:r w:rsidR="00671F75">
          <w:rPr>
            <w:noProof/>
            <w:webHidden/>
          </w:rPr>
          <w:fldChar w:fldCharType="separate"/>
        </w:r>
        <w:r w:rsidR="00CA23CB">
          <w:rPr>
            <w:noProof/>
            <w:webHidden/>
          </w:rPr>
          <w:t>33</w:t>
        </w:r>
        <w:r w:rsidR="00671F75">
          <w:rPr>
            <w:noProof/>
            <w:webHidden/>
          </w:rPr>
          <w:fldChar w:fldCharType="end"/>
        </w:r>
      </w:hyperlink>
    </w:p>
    <w:p w14:paraId="76857526" w14:textId="29867568" w:rsidR="00671F75" w:rsidRDefault="0026383A">
      <w:pPr>
        <w:pStyle w:val="TOC2"/>
        <w:rPr>
          <w:rFonts w:asciiTheme="minorHAnsi" w:eastAsiaTheme="minorEastAsia" w:hAnsiTheme="minorHAnsi"/>
          <w:noProof/>
          <w:lang w:val="en-US" w:eastAsia="ja-JP"/>
        </w:rPr>
      </w:pPr>
      <w:hyperlink w:anchor="_Toc131161719" w:history="1">
        <w:r w:rsidR="00671F75" w:rsidRPr="00FE730A">
          <w:rPr>
            <w:rStyle w:val="Hyperlink"/>
            <w:noProof/>
          </w:rPr>
          <w:t>L.</w:t>
        </w:r>
        <w:r w:rsidR="00671F75">
          <w:rPr>
            <w:rFonts w:asciiTheme="minorHAnsi" w:eastAsiaTheme="minorEastAsia" w:hAnsiTheme="minorHAnsi"/>
            <w:noProof/>
            <w:lang w:val="en-US" w:eastAsia="ja-JP"/>
          </w:rPr>
          <w:tab/>
        </w:r>
        <w:r w:rsidR="00671F75" w:rsidRPr="00FE730A">
          <w:rPr>
            <w:rStyle w:val="Hyperlink"/>
            <w:noProof/>
          </w:rPr>
          <w:t>Atka Mackerel</w:t>
        </w:r>
        <w:r w:rsidR="00671F75">
          <w:rPr>
            <w:noProof/>
            <w:webHidden/>
          </w:rPr>
          <w:tab/>
        </w:r>
        <w:r w:rsidR="00671F75">
          <w:rPr>
            <w:noProof/>
            <w:webHidden/>
          </w:rPr>
          <w:fldChar w:fldCharType="begin"/>
        </w:r>
        <w:r w:rsidR="00671F75">
          <w:rPr>
            <w:noProof/>
            <w:webHidden/>
          </w:rPr>
          <w:instrText xml:space="preserve"> PAGEREF _Toc131161719 \h </w:instrText>
        </w:r>
        <w:r w:rsidR="00671F75">
          <w:rPr>
            <w:noProof/>
            <w:webHidden/>
          </w:rPr>
        </w:r>
        <w:r w:rsidR="00671F75">
          <w:rPr>
            <w:noProof/>
            <w:webHidden/>
          </w:rPr>
          <w:fldChar w:fldCharType="separate"/>
        </w:r>
        <w:r w:rsidR="00CA23CB">
          <w:rPr>
            <w:noProof/>
            <w:webHidden/>
          </w:rPr>
          <w:t>34</w:t>
        </w:r>
        <w:r w:rsidR="00671F75">
          <w:rPr>
            <w:noProof/>
            <w:webHidden/>
          </w:rPr>
          <w:fldChar w:fldCharType="end"/>
        </w:r>
      </w:hyperlink>
    </w:p>
    <w:p w14:paraId="78EC2F55" w14:textId="557E8599" w:rsidR="00671F75" w:rsidRDefault="0026383A">
      <w:pPr>
        <w:pStyle w:val="TOC2"/>
        <w:rPr>
          <w:rFonts w:asciiTheme="minorHAnsi" w:eastAsiaTheme="minorEastAsia" w:hAnsiTheme="minorHAnsi"/>
          <w:noProof/>
          <w:lang w:val="en-US" w:eastAsia="ja-JP"/>
        </w:rPr>
      </w:pPr>
      <w:hyperlink w:anchor="_Toc131161720" w:history="1">
        <w:r w:rsidR="00671F75" w:rsidRPr="00FE730A">
          <w:rPr>
            <w:rStyle w:val="Hyperlink"/>
            <w:noProof/>
          </w:rPr>
          <w:t>M.</w:t>
        </w:r>
        <w:r w:rsidR="00671F75">
          <w:rPr>
            <w:rFonts w:asciiTheme="minorHAnsi" w:eastAsiaTheme="minorEastAsia" w:hAnsiTheme="minorHAnsi"/>
            <w:noProof/>
            <w:lang w:val="en-US" w:eastAsia="ja-JP"/>
          </w:rPr>
          <w:tab/>
        </w:r>
        <w:r w:rsidR="00671F75" w:rsidRPr="00FE730A">
          <w:rPr>
            <w:rStyle w:val="Hyperlink"/>
            <w:noProof/>
          </w:rPr>
          <w:t>Flatfish</w:t>
        </w:r>
        <w:r w:rsidR="00671F75">
          <w:rPr>
            <w:noProof/>
            <w:webHidden/>
          </w:rPr>
          <w:tab/>
        </w:r>
        <w:r w:rsidR="00671F75">
          <w:rPr>
            <w:noProof/>
            <w:webHidden/>
          </w:rPr>
          <w:fldChar w:fldCharType="begin"/>
        </w:r>
        <w:r w:rsidR="00671F75">
          <w:rPr>
            <w:noProof/>
            <w:webHidden/>
          </w:rPr>
          <w:instrText xml:space="preserve"> PAGEREF _Toc131161720 \h </w:instrText>
        </w:r>
        <w:r w:rsidR="00671F75">
          <w:rPr>
            <w:noProof/>
            <w:webHidden/>
          </w:rPr>
        </w:r>
        <w:r w:rsidR="00671F75">
          <w:rPr>
            <w:noProof/>
            <w:webHidden/>
          </w:rPr>
          <w:fldChar w:fldCharType="separate"/>
        </w:r>
        <w:r w:rsidR="00CA23CB">
          <w:rPr>
            <w:noProof/>
            <w:webHidden/>
          </w:rPr>
          <w:t>34</w:t>
        </w:r>
        <w:r w:rsidR="00671F75">
          <w:rPr>
            <w:noProof/>
            <w:webHidden/>
          </w:rPr>
          <w:fldChar w:fldCharType="end"/>
        </w:r>
      </w:hyperlink>
    </w:p>
    <w:p w14:paraId="17E0CBE3" w14:textId="0C91FD5D" w:rsidR="00671F75" w:rsidRDefault="0026383A">
      <w:pPr>
        <w:pStyle w:val="TOC2"/>
        <w:rPr>
          <w:rFonts w:asciiTheme="minorHAnsi" w:eastAsiaTheme="minorEastAsia" w:hAnsiTheme="minorHAnsi"/>
          <w:noProof/>
          <w:lang w:val="en-US" w:eastAsia="ja-JP"/>
        </w:rPr>
      </w:pPr>
      <w:hyperlink w:anchor="_Toc131161721" w:history="1">
        <w:r w:rsidR="00671F75" w:rsidRPr="00FE730A">
          <w:rPr>
            <w:rStyle w:val="Hyperlink"/>
            <w:noProof/>
          </w:rPr>
          <w:t>N.</w:t>
        </w:r>
        <w:r w:rsidR="00671F75">
          <w:rPr>
            <w:rFonts w:asciiTheme="minorHAnsi" w:eastAsiaTheme="minorEastAsia" w:hAnsiTheme="minorHAnsi"/>
            <w:noProof/>
            <w:lang w:val="en-US" w:eastAsia="ja-JP"/>
          </w:rPr>
          <w:tab/>
        </w:r>
        <w:r w:rsidR="00671F75" w:rsidRPr="00FE730A">
          <w:rPr>
            <w:rStyle w:val="Hyperlink"/>
            <w:noProof/>
          </w:rPr>
          <w:t>Pacific Halibut &amp; IPHC Activities</w:t>
        </w:r>
        <w:r w:rsidR="00671F75">
          <w:rPr>
            <w:noProof/>
            <w:webHidden/>
          </w:rPr>
          <w:tab/>
        </w:r>
        <w:r w:rsidR="00671F75">
          <w:rPr>
            <w:noProof/>
            <w:webHidden/>
          </w:rPr>
          <w:fldChar w:fldCharType="begin"/>
        </w:r>
        <w:r w:rsidR="00671F75">
          <w:rPr>
            <w:noProof/>
            <w:webHidden/>
          </w:rPr>
          <w:instrText xml:space="preserve"> PAGEREF _Toc131161721 \h </w:instrText>
        </w:r>
        <w:r w:rsidR="00671F75">
          <w:rPr>
            <w:noProof/>
            <w:webHidden/>
          </w:rPr>
        </w:r>
        <w:r w:rsidR="00671F75">
          <w:rPr>
            <w:noProof/>
            <w:webHidden/>
          </w:rPr>
          <w:fldChar w:fldCharType="separate"/>
        </w:r>
        <w:r w:rsidR="00CA23CB">
          <w:rPr>
            <w:noProof/>
            <w:webHidden/>
          </w:rPr>
          <w:t>35</w:t>
        </w:r>
        <w:r w:rsidR="00671F75">
          <w:rPr>
            <w:noProof/>
            <w:webHidden/>
          </w:rPr>
          <w:fldChar w:fldCharType="end"/>
        </w:r>
      </w:hyperlink>
    </w:p>
    <w:p w14:paraId="25FA8E9F" w14:textId="51FFB0C5" w:rsidR="00671F75" w:rsidRDefault="0026383A">
      <w:pPr>
        <w:pStyle w:val="TOC2"/>
        <w:rPr>
          <w:rFonts w:asciiTheme="minorHAnsi" w:eastAsiaTheme="minorEastAsia" w:hAnsiTheme="minorHAnsi"/>
          <w:noProof/>
          <w:lang w:val="en-US" w:eastAsia="ja-JP"/>
        </w:rPr>
      </w:pPr>
      <w:hyperlink w:anchor="_Toc131161722" w:history="1">
        <w:r w:rsidR="00671F75" w:rsidRPr="00FE730A">
          <w:rPr>
            <w:rStyle w:val="Hyperlink"/>
            <w:noProof/>
          </w:rPr>
          <w:t>O.</w:t>
        </w:r>
        <w:r w:rsidR="00671F75">
          <w:rPr>
            <w:rFonts w:asciiTheme="minorHAnsi" w:eastAsiaTheme="minorEastAsia" w:hAnsiTheme="minorHAnsi"/>
            <w:noProof/>
            <w:lang w:val="en-US" w:eastAsia="ja-JP"/>
          </w:rPr>
          <w:tab/>
        </w:r>
        <w:r w:rsidR="00671F75" w:rsidRPr="00FE730A">
          <w:rPr>
            <w:rStyle w:val="Hyperlink"/>
            <w:noProof/>
          </w:rPr>
          <w:t>Other Groundfish Species</w:t>
        </w:r>
        <w:r w:rsidR="00671F75">
          <w:rPr>
            <w:noProof/>
            <w:webHidden/>
          </w:rPr>
          <w:tab/>
        </w:r>
        <w:r w:rsidR="00671F75">
          <w:rPr>
            <w:noProof/>
            <w:webHidden/>
          </w:rPr>
          <w:fldChar w:fldCharType="begin"/>
        </w:r>
        <w:r w:rsidR="00671F75">
          <w:rPr>
            <w:noProof/>
            <w:webHidden/>
          </w:rPr>
          <w:instrText xml:space="preserve"> PAGEREF _Toc131161722 \h </w:instrText>
        </w:r>
        <w:r w:rsidR="00671F75">
          <w:rPr>
            <w:noProof/>
            <w:webHidden/>
          </w:rPr>
        </w:r>
        <w:r w:rsidR="00671F75">
          <w:rPr>
            <w:noProof/>
            <w:webHidden/>
          </w:rPr>
          <w:fldChar w:fldCharType="separate"/>
        </w:r>
        <w:r w:rsidR="00CA23CB">
          <w:rPr>
            <w:noProof/>
            <w:webHidden/>
          </w:rPr>
          <w:t>36</w:t>
        </w:r>
        <w:r w:rsidR="00671F75">
          <w:rPr>
            <w:noProof/>
            <w:webHidden/>
          </w:rPr>
          <w:fldChar w:fldCharType="end"/>
        </w:r>
      </w:hyperlink>
    </w:p>
    <w:p w14:paraId="183E245C" w14:textId="3A23DC44" w:rsidR="00671F75" w:rsidRDefault="0026383A">
      <w:pPr>
        <w:pStyle w:val="TOC1"/>
        <w:rPr>
          <w:rFonts w:asciiTheme="minorHAnsi" w:eastAsiaTheme="minorEastAsia" w:hAnsiTheme="minorHAnsi"/>
          <w:noProof/>
          <w:lang w:val="en-US" w:eastAsia="ja-JP"/>
        </w:rPr>
      </w:pPr>
      <w:hyperlink w:anchor="_Toc131161723" w:history="1">
        <w:r w:rsidR="00671F75" w:rsidRPr="00FE730A">
          <w:rPr>
            <w:rStyle w:val="Hyperlink"/>
            <w:noProof/>
          </w:rPr>
          <w:t>V.</w:t>
        </w:r>
        <w:r w:rsidR="00671F75">
          <w:rPr>
            <w:rFonts w:asciiTheme="minorHAnsi" w:eastAsiaTheme="minorEastAsia" w:hAnsiTheme="minorHAnsi"/>
            <w:noProof/>
            <w:lang w:val="en-US" w:eastAsia="ja-JP"/>
          </w:rPr>
          <w:tab/>
        </w:r>
        <w:r w:rsidR="00671F75" w:rsidRPr="00FE730A">
          <w:rPr>
            <w:rStyle w:val="Hyperlink"/>
            <w:noProof/>
          </w:rPr>
          <w:t>Ecosystem Studies</w:t>
        </w:r>
        <w:r w:rsidR="00671F75">
          <w:rPr>
            <w:noProof/>
            <w:webHidden/>
          </w:rPr>
          <w:tab/>
        </w:r>
        <w:r w:rsidR="00671F75">
          <w:rPr>
            <w:noProof/>
            <w:webHidden/>
          </w:rPr>
          <w:fldChar w:fldCharType="begin"/>
        </w:r>
        <w:r w:rsidR="00671F75">
          <w:rPr>
            <w:noProof/>
            <w:webHidden/>
          </w:rPr>
          <w:instrText xml:space="preserve"> PAGEREF _Toc131161723 \h </w:instrText>
        </w:r>
        <w:r w:rsidR="00671F75">
          <w:rPr>
            <w:noProof/>
            <w:webHidden/>
          </w:rPr>
        </w:r>
        <w:r w:rsidR="00671F75">
          <w:rPr>
            <w:noProof/>
            <w:webHidden/>
          </w:rPr>
          <w:fldChar w:fldCharType="separate"/>
        </w:r>
        <w:r w:rsidR="00CA23CB">
          <w:rPr>
            <w:noProof/>
            <w:webHidden/>
          </w:rPr>
          <w:t>36</w:t>
        </w:r>
        <w:r w:rsidR="00671F75">
          <w:rPr>
            <w:noProof/>
            <w:webHidden/>
          </w:rPr>
          <w:fldChar w:fldCharType="end"/>
        </w:r>
      </w:hyperlink>
    </w:p>
    <w:p w14:paraId="2305928C" w14:textId="1EA4A5CC" w:rsidR="00671F75" w:rsidRDefault="0026383A">
      <w:pPr>
        <w:pStyle w:val="TOC1"/>
        <w:rPr>
          <w:rFonts w:asciiTheme="minorHAnsi" w:eastAsiaTheme="minorEastAsia" w:hAnsiTheme="minorHAnsi"/>
          <w:noProof/>
          <w:lang w:val="en-US" w:eastAsia="ja-JP"/>
        </w:rPr>
      </w:pPr>
      <w:hyperlink w:anchor="_Toc131161724" w:history="1">
        <w:r w:rsidR="00671F75" w:rsidRPr="00FE730A">
          <w:rPr>
            <w:rStyle w:val="Hyperlink"/>
            <w:noProof/>
          </w:rPr>
          <w:t>VI.</w:t>
        </w:r>
        <w:r w:rsidR="00671F75">
          <w:rPr>
            <w:rFonts w:asciiTheme="minorHAnsi" w:eastAsiaTheme="minorEastAsia" w:hAnsiTheme="minorHAnsi"/>
            <w:noProof/>
            <w:lang w:val="en-US" w:eastAsia="ja-JP"/>
          </w:rPr>
          <w:tab/>
        </w:r>
        <w:r w:rsidR="00671F75" w:rsidRPr="00FE730A">
          <w:rPr>
            <w:rStyle w:val="Hyperlink"/>
            <w:noProof/>
          </w:rPr>
          <w:t>Other related studies</w:t>
        </w:r>
        <w:r w:rsidR="00671F75">
          <w:rPr>
            <w:noProof/>
            <w:webHidden/>
          </w:rPr>
          <w:tab/>
        </w:r>
        <w:r w:rsidR="00671F75">
          <w:rPr>
            <w:noProof/>
            <w:webHidden/>
          </w:rPr>
          <w:fldChar w:fldCharType="begin"/>
        </w:r>
        <w:r w:rsidR="00671F75">
          <w:rPr>
            <w:noProof/>
            <w:webHidden/>
          </w:rPr>
          <w:instrText xml:space="preserve"> PAGEREF _Toc131161724 \h </w:instrText>
        </w:r>
        <w:r w:rsidR="00671F75">
          <w:rPr>
            <w:noProof/>
            <w:webHidden/>
          </w:rPr>
        </w:r>
        <w:r w:rsidR="00671F75">
          <w:rPr>
            <w:noProof/>
            <w:webHidden/>
          </w:rPr>
          <w:fldChar w:fldCharType="separate"/>
        </w:r>
        <w:r w:rsidR="00CA23CB">
          <w:rPr>
            <w:noProof/>
            <w:webHidden/>
          </w:rPr>
          <w:t>38</w:t>
        </w:r>
        <w:r w:rsidR="00671F75">
          <w:rPr>
            <w:noProof/>
            <w:webHidden/>
          </w:rPr>
          <w:fldChar w:fldCharType="end"/>
        </w:r>
      </w:hyperlink>
    </w:p>
    <w:p w14:paraId="27D3D662" w14:textId="1DB72F99" w:rsidR="00671F75" w:rsidRDefault="0026383A">
      <w:pPr>
        <w:pStyle w:val="TOC1"/>
        <w:rPr>
          <w:rFonts w:asciiTheme="minorHAnsi" w:eastAsiaTheme="minorEastAsia" w:hAnsiTheme="minorHAnsi"/>
          <w:noProof/>
          <w:lang w:val="en-US" w:eastAsia="ja-JP"/>
        </w:rPr>
      </w:pPr>
      <w:hyperlink w:anchor="_Toc131161725" w:history="1">
        <w:r w:rsidR="00671F75" w:rsidRPr="00FE730A">
          <w:rPr>
            <w:rStyle w:val="Hyperlink"/>
            <w:noProof/>
          </w:rPr>
          <w:t>VII.</w:t>
        </w:r>
        <w:r w:rsidR="00671F75">
          <w:rPr>
            <w:rFonts w:asciiTheme="minorHAnsi" w:eastAsiaTheme="minorEastAsia" w:hAnsiTheme="minorHAnsi"/>
            <w:noProof/>
            <w:lang w:val="en-US" w:eastAsia="ja-JP"/>
          </w:rPr>
          <w:tab/>
        </w:r>
        <w:r w:rsidR="00671F75" w:rsidRPr="00FE730A">
          <w:rPr>
            <w:rStyle w:val="Hyperlink"/>
            <w:noProof/>
          </w:rPr>
          <w:t>Publications</w:t>
        </w:r>
        <w:r w:rsidR="00671F75">
          <w:rPr>
            <w:noProof/>
            <w:webHidden/>
          </w:rPr>
          <w:tab/>
        </w:r>
        <w:r w:rsidR="00671F75">
          <w:rPr>
            <w:noProof/>
            <w:webHidden/>
          </w:rPr>
          <w:fldChar w:fldCharType="begin"/>
        </w:r>
        <w:r w:rsidR="00671F75">
          <w:rPr>
            <w:noProof/>
            <w:webHidden/>
          </w:rPr>
          <w:instrText xml:space="preserve"> PAGEREF _Toc131161725 \h </w:instrText>
        </w:r>
        <w:r w:rsidR="00671F75">
          <w:rPr>
            <w:noProof/>
            <w:webHidden/>
          </w:rPr>
        </w:r>
        <w:r w:rsidR="00671F75">
          <w:rPr>
            <w:noProof/>
            <w:webHidden/>
          </w:rPr>
          <w:fldChar w:fldCharType="separate"/>
        </w:r>
        <w:r w:rsidR="00CA23CB">
          <w:rPr>
            <w:noProof/>
            <w:webHidden/>
          </w:rPr>
          <w:t>38</w:t>
        </w:r>
        <w:r w:rsidR="00671F75">
          <w:rPr>
            <w:noProof/>
            <w:webHidden/>
          </w:rPr>
          <w:fldChar w:fldCharType="end"/>
        </w:r>
      </w:hyperlink>
    </w:p>
    <w:p w14:paraId="04D4390F" w14:textId="674D5403" w:rsidR="00671F75" w:rsidRDefault="0026383A">
      <w:pPr>
        <w:pStyle w:val="TOC2"/>
        <w:rPr>
          <w:rFonts w:asciiTheme="minorHAnsi" w:eastAsiaTheme="minorEastAsia" w:hAnsiTheme="minorHAnsi"/>
          <w:noProof/>
          <w:lang w:val="en-US" w:eastAsia="ja-JP"/>
        </w:rPr>
      </w:pPr>
      <w:hyperlink w:anchor="_Toc131161726" w:history="1">
        <w:r w:rsidR="00671F75" w:rsidRPr="00FE730A">
          <w:rPr>
            <w:rStyle w:val="Hyperlink"/>
            <w:noProof/>
          </w:rPr>
          <w:t>A.</w:t>
        </w:r>
        <w:r w:rsidR="00671F75">
          <w:rPr>
            <w:rFonts w:asciiTheme="minorHAnsi" w:eastAsiaTheme="minorEastAsia" w:hAnsiTheme="minorHAnsi"/>
            <w:noProof/>
            <w:lang w:val="en-US" w:eastAsia="ja-JP"/>
          </w:rPr>
          <w:tab/>
        </w:r>
        <w:r w:rsidR="00671F75" w:rsidRPr="00FE730A">
          <w:rPr>
            <w:rStyle w:val="Hyperlink"/>
            <w:noProof/>
          </w:rPr>
          <w:t>Primary Publications</w:t>
        </w:r>
        <w:r w:rsidR="00671F75">
          <w:rPr>
            <w:noProof/>
            <w:webHidden/>
          </w:rPr>
          <w:tab/>
        </w:r>
        <w:r w:rsidR="00671F75">
          <w:rPr>
            <w:noProof/>
            <w:webHidden/>
          </w:rPr>
          <w:fldChar w:fldCharType="begin"/>
        </w:r>
        <w:r w:rsidR="00671F75">
          <w:rPr>
            <w:noProof/>
            <w:webHidden/>
          </w:rPr>
          <w:instrText xml:space="preserve"> PAGEREF _Toc131161726 \h </w:instrText>
        </w:r>
        <w:r w:rsidR="00671F75">
          <w:rPr>
            <w:noProof/>
            <w:webHidden/>
          </w:rPr>
        </w:r>
        <w:r w:rsidR="00671F75">
          <w:rPr>
            <w:noProof/>
            <w:webHidden/>
          </w:rPr>
          <w:fldChar w:fldCharType="separate"/>
        </w:r>
        <w:r w:rsidR="00CA23CB">
          <w:rPr>
            <w:noProof/>
            <w:webHidden/>
          </w:rPr>
          <w:t>40</w:t>
        </w:r>
        <w:r w:rsidR="00671F75">
          <w:rPr>
            <w:noProof/>
            <w:webHidden/>
          </w:rPr>
          <w:fldChar w:fldCharType="end"/>
        </w:r>
      </w:hyperlink>
    </w:p>
    <w:p w14:paraId="5C9DA48D" w14:textId="49D6ABCD" w:rsidR="00671F75" w:rsidRDefault="0026383A">
      <w:pPr>
        <w:pStyle w:val="TOC2"/>
        <w:rPr>
          <w:rFonts w:asciiTheme="minorHAnsi" w:eastAsiaTheme="minorEastAsia" w:hAnsiTheme="minorHAnsi"/>
          <w:noProof/>
          <w:lang w:val="en-US" w:eastAsia="ja-JP"/>
        </w:rPr>
      </w:pPr>
      <w:hyperlink w:anchor="_Toc131161727" w:history="1">
        <w:r w:rsidR="00671F75" w:rsidRPr="00FE730A">
          <w:rPr>
            <w:rStyle w:val="Hyperlink"/>
            <w:noProof/>
          </w:rPr>
          <w:t>B.</w:t>
        </w:r>
        <w:r w:rsidR="00671F75">
          <w:rPr>
            <w:rFonts w:asciiTheme="minorHAnsi" w:eastAsiaTheme="minorEastAsia" w:hAnsiTheme="minorHAnsi"/>
            <w:noProof/>
            <w:lang w:val="en-US" w:eastAsia="ja-JP"/>
          </w:rPr>
          <w:tab/>
        </w:r>
        <w:r w:rsidR="00671F75" w:rsidRPr="00FE730A">
          <w:rPr>
            <w:rStyle w:val="Hyperlink"/>
            <w:noProof/>
          </w:rPr>
          <w:t>Other Publications</w:t>
        </w:r>
        <w:r w:rsidR="00671F75">
          <w:rPr>
            <w:noProof/>
            <w:webHidden/>
          </w:rPr>
          <w:tab/>
        </w:r>
        <w:r w:rsidR="00671F75">
          <w:rPr>
            <w:noProof/>
            <w:webHidden/>
          </w:rPr>
          <w:fldChar w:fldCharType="begin"/>
        </w:r>
        <w:r w:rsidR="00671F75">
          <w:rPr>
            <w:noProof/>
            <w:webHidden/>
          </w:rPr>
          <w:instrText xml:space="preserve"> PAGEREF _Toc131161727 \h </w:instrText>
        </w:r>
        <w:r w:rsidR="00671F75">
          <w:rPr>
            <w:noProof/>
            <w:webHidden/>
          </w:rPr>
        </w:r>
        <w:r w:rsidR="00671F75">
          <w:rPr>
            <w:noProof/>
            <w:webHidden/>
          </w:rPr>
          <w:fldChar w:fldCharType="separate"/>
        </w:r>
        <w:r w:rsidR="00CA23CB">
          <w:rPr>
            <w:noProof/>
            <w:webHidden/>
          </w:rPr>
          <w:t>42</w:t>
        </w:r>
        <w:r w:rsidR="00671F75">
          <w:rPr>
            <w:noProof/>
            <w:webHidden/>
          </w:rPr>
          <w:fldChar w:fldCharType="end"/>
        </w:r>
      </w:hyperlink>
    </w:p>
    <w:p w14:paraId="26BEA697" w14:textId="7D2792F0" w:rsidR="00671F75" w:rsidRDefault="0026383A">
      <w:pPr>
        <w:pStyle w:val="TOC1"/>
        <w:rPr>
          <w:rFonts w:asciiTheme="minorHAnsi" w:eastAsiaTheme="minorEastAsia" w:hAnsiTheme="minorHAnsi"/>
          <w:noProof/>
          <w:lang w:val="en-US" w:eastAsia="ja-JP"/>
        </w:rPr>
      </w:pPr>
      <w:hyperlink w:anchor="_Toc131161728" w:history="1">
        <w:r w:rsidR="00671F75" w:rsidRPr="00FE730A">
          <w:rPr>
            <w:rStyle w:val="Hyperlink"/>
            <w:noProof/>
          </w:rPr>
          <w:t>Appendix 1: British Columbia commercial groundfish TACs, landings, and research allocations for 2022.</w:t>
        </w:r>
        <w:r w:rsidR="00671F75">
          <w:rPr>
            <w:noProof/>
            <w:webHidden/>
          </w:rPr>
          <w:tab/>
        </w:r>
        <w:r w:rsidR="00671F75">
          <w:rPr>
            <w:noProof/>
            <w:webHidden/>
          </w:rPr>
          <w:fldChar w:fldCharType="begin"/>
        </w:r>
        <w:r w:rsidR="00671F75">
          <w:rPr>
            <w:noProof/>
            <w:webHidden/>
          </w:rPr>
          <w:instrText xml:space="preserve"> PAGEREF _Toc131161728 \h </w:instrText>
        </w:r>
        <w:r w:rsidR="00671F75">
          <w:rPr>
            <w:noProof/>
            <w:webHidden/>
          </w:rPr>
        </w:r>
        <w:r w:rsidR="00671F75">
          <w:rPr>
            <w:noProof/>
            <w:webHidden/>
          </w:rPr>
          <w:fldChar w:fldCharType="separate"/>
        </w:r>
        <w:r w:rsidR="00CA23CB">
          <w:rPr>
            <w:noProof/>
            <w:webHidden/>
          </w:rPr>
          <w:t>44</w:t>
        </w:r>
        <w:r w:rsidR="00671F75">
          <w:rPr>
            <w:noProof/>
            <w:webHidden/>
          </w:rPr>
          <w:fldChar w:fldCharType="end"/>
        </w:r>
      </w:hyperlink>
    </w:p>
    <w:p w14:paraId="08CE6F91" w14:textId="7B09C1DF" w:rsidR="00395A20" w:rsidRDefault="00E32C15" w:rsidP="00395A20">
      <w:r>
        <w:fldChar w:fldCharType="end"/>
      </w:r>
    </w:p>
    <w:p w14:paraId="61CDCEAD" w14:textId="77777777" w:rsidR="005B54C4" w:rsidRDefault="005B54C4">
      <w:pPr>
        <w:spacing w:after="160"/>
        <w:sectPr w:rsidR="005B54C4" w:rsidSect="00E254CA">
          <w:headerReference w:type="default" r:id="rId17"/>
          <w:footerReference w:type="default" r:id="rId18"/>
          <w:pgSz w:w="12240" w:h="15840"/>
          <w:pgMar w:top="1440" w:right="1440" w:bottom="1440" w:left="1440" w:header="720" w:footer="720" w:gutter="0"/>
          <w:pgNumType w:fmt="lowerRoman" w:start="1"/>
          <w:cols w:space="720"/>
          <w:docGrid w:linePitch="360"/>
        </w:sectPr>
      </w:pPr>
    </w:p>
    <w:p w14:paraId="35938114" w14:textId="77777777" w:rsidR="00395A20" w:rsidRPr="00395A20" w:rsidRDefault="00395A20" w:rsidP="00395A20">
      <w:pPr>
        <w:pStyle w:val="Heading1"/>
      </w:pPr>
      <w:bookmarkStart w:id="0" w:name="_Toc131161701"/>
      <w:r>
        <w:lastRenderedPageBreak/>
        <w:t>Agency Overview</w:t>
      </w:r>
      <w:bookmarkEnd w:id="0"/>
    </w:p>
    <w:p w14:paraId="0A9AF123" w14:textId="77777777" w:rsidR="00395A20" w:rsidRPr="002C0DF4" w:rsidRDefault="00395A20" w:rsidP="002C0DF4">
      <w:pPr>
        <w:pStyle w:val="Body"/>
      </w:pPr>
      <w:r>
        <w:t>Fisheries and Oceans Canada (DFO) has its regional headquarters office (RHQ) for the Pacific Region (British Columbia and Yukon) in Vancouver, British Columbia, with area offices and science facilities at various locations throughout the Region</w:t>
      </w:r>
      <w:r w:rsidR="00E878D1">
        <w:t xml:space="preserve">. </w:t>
      </w:r>
      <w:r>
        <w:t>Groundfish fishery management is conducted by the Groundfish Management Unit within the Fisheries Management Branch at RHQ, while Groundfish stock assessment and research is conducted by Science Branch at the Pacific Biological Station (PBS) in Nanaimo, and at the Institute of Ocean Sciences (IOS) in Sidney</w:t>
      </w:r>
      <w:r w:rsidR="00E878D1">
        <w:t xml:space="preserve">. </w:t>
      </w:r>
      <w:r>
        <w:t>Within Science Branch, a variety of programs are responsible for delivering groundfish stock assessments and research and for providing science advice to fishery managers, species at risk coordinators, marine spatial planners, etc</w:t>
      </w:r>
      <w:r w:rsidR="00E878D1">
        <w:t xml:space="preserve">. </w:t>
      </w:r>
      <w:r>
        <w:t>Directors, division managers, and section heads are as follows:</w:t>
      </w:r>
    </w:p>
    <w:p w14:paraId="217AC2AB" w14:textId="6EF8A22F" w:rsidR="00395A20" w:rsidRPr="00395A20" w:rsidRDefault="00395A20" w:rsidP="00395A20">
      <w:pPr>
        <w:pStyle w:val="Body"/>
        <w:spacing w:before="240"/>
        <w:rPr>
          <w:u w:val="single"/>
        </w:rPr>
      </w:pPr>
      <w:r w:rsidRPr="5ABB0D50">
        <w:rPr>
          <w:u w:val="single"/>
        </w:rPr>
        <w:t xml:space="preserve">Fisheries and Oceans Canada Minister: The Honourable </w:t>
      </w:r>
      <w:r w:rsidR="000A5015" w:rsidRPr="00B83EB5">
        <w:rPr>
          <w:u w:val="single"/>
        </w:rPr>
        <w:t>Joyce Murray</w:t>
      </w:r>
    </w:p>
    <w:p w14:paraId="7A0C6FBC" w14:textId="77777777" w:rsidR="00395A20" w:rsidRPr="00395A20" w:rsidRDefault="00395A20" w:rsidP="00395A20">
      <w:pPr>
        <w:pStyle w:val="Body"/>
        <w:spacing w:before="240"/>
        <w:rPr>
          <w:u w:val="single"/>
        </w:rPr>
      </w:pPr>
      <w:r w:rsidRPr="5ABB0D50">
        <w:rPr>
          <w:u w:val="single"/>
        </w:rPr>
        <w:t>Regional Headquarters Office (RHQ)</w:t>
      </w:r>
    </w:p>
    <w:p w14:paraId="6DF18AE4" w14:textId="77777777" w:rsidR="00395A20" w:rsidRDefault="00395A20" w:rsidP="00395A20">
      <w:pPr>
        <w:pStyle w:val="Body"/>
        <w:spacing w:before="240"/>
      </w:pPr>
      <w:r>
        <w:t>Regional Director General: Rebecca Reid</w:t>
      </w:r>
    </w:p>
    <w:p w14:paraId="03D8F2AD" w14:textId="77777777" w:rsidR="00395A20" w:rsidRPr="00395A20" w:rsidRDefault="00395A20" w:rsidP="00395A20">
      <w:pPr>
        <w:pStyle w:val="Body"/>
        <w:spacing w:before="240"/>
        <w:rPr>
          <w:u w:val="single"/>
        </w:rPr>
      </w:pPr>
      <w:r w:rsidRPr="5ABB0D50">
        <w:rPr>
          <w:u w:val="single"/>
        </w:rPr>
        <w:t>Fisheries and Aquaculture Management Branch</w:t>
      </w:r>
    </w:p>
    <w:p w14:paraId="44664647" w14:textId="159F0CED" w:rsidR="00395A20" w:rsidRPr="00B83EB5" w:rsidRDefault="00395A20" w:rsidP="00395A20">
      <w:r>
        <w:t xml:space="preserve">Regional Director of Fisheries Management: </w:t>
      </w:r>
      <w:r>
        <w:tab/>
      </w:r>
      <w:r>
        <w:tab/>
      </w:r>
      <w:r>
        <w:tab/>
      </w:r>
      <w:r w:rsidR="000A5015" w:rsidRPr="00B83EB5">
        <w:t>Neil Davis</w:t>
      </w:r>
    </w:p>
    <w:p w14:paraId="097FF57B" w14:textId="39F85832" w:rsidR="00395A20" w:rsidRPr="00B83EB5" w:rsidRDefault="00395A20" w:rsidP="00395A20">
      <w:r w:rsidRPr="00B83EB5">
        <w:t>Regional Director of Resource Managemen</w:t>
      </w:r>
      <w:r w:rsidR="00A52CC4">
        <w:t>t and Sustainability</w:t>
      </w:r>
      <w:r w:rsidRPr="00B83EB5">
        <w:t xml:space="preserve">: </w:t>
      </w:r>
      <w:r w:rsidR="00A52CC4">
        <w:tab/>
        <w:t xml:space="preserve">Jennifer </w:t>
      </w:r>
      <w:proofErr w:type="spellStart"/>
      <w:r w:rsidR="00A52CC4">
        <w:t>Nener</w:t>
      </w:r>
      <w:proofErr w:type="spellEnd"/>
      <w:r w:rsidR="00A52CC4">
        <w:t xml:space="preserve"> (Acting)</w:t>
      </w:r>
    </w:p>
    <w:p w14:paraId="7257E8A5" w14:textId="438453C1" w:rsidR="00395A20" w:rsidRPr="005A2E21" w:rsidRDefault="00395A20" w:rsidP="00395A20">
      <w:r w:rsidRPr="005A2E21">
        <w:t xml:space="preserve">Regional Manager of Groundfish: </w:t>
      </w:r>
      <w:r w:rsidRPr="005A2E21">
        <w:tab/>
      </w:r>
      <w:r w:rsidRPr="005A2E21">
        <w:tab/>
      </w:r>
      <w:r w:rsidRPr="005A2E21">
        <w:tab/>
      </w:r>
      <w:r w:rsidRPr="005A2E21">
        <w:tab/>
      </w:r>
      <w:r w:rsidRPr="005A2E21">
        <w:tab/>
      </w:r>
      <w:r w:rsidR="00A52CC4">
        <w:t>Danielle Scriven</w:t>
      </w:r>
    </w:p>
    <w:p w14:paraId="6BB9E253" w14:textId="77777777" w:rsidR="00F71090" w:rsidRPr="005A2E21" w:rsidRDefault="00F71090" w:rsidP="00395A20"/>
    <w:p w14:paraId="2F90700C" w14:textId="77777777" w:rsidR="00395A20" w:rsidRPr="005A2E21" w:rsidRDefault="00395A20" w:rsidP="00395A20">
      <w:pPr>
        <w:pStyle w:val="Body"/>
        <w:rPr>
          <w:u w:val="single"/>
        </w:rPr>
      </w:pPr>
      <w:r w:rsidRPr="005A2E21">
        <w:rPr>
          <w:u w:val="single"/>
        </w:rPr>
        <w:t>Science Branch</w:t>
      </w:r>
    </w:p>
    <w:p w14:paraId="241B4615" w14:textId="41D6511E" w:rsidR="00395A20" w:rsidRPr="005A2E21" w:rsidRDefault="00395A20" w:rsidP="00395A20">
      <w:r w:rsidRPr="005A2E21">
        <w:t>Regional Director of Science:</w:t>
      </w:r>
      <w:r w:rsidRPr="005A2E21">
        <w:tab/>
      </w:r>
      <w:r w:rsidRPr="005A2E21">
        <w:tab/>
      </w:r>
      <w:r w:rsidRPr="005A2E21">
        <w:tab/>
      </w:r>
      <w:r w:rsidRPr="005A2E21">
        <w:tab/>
      </w:r>
      <w:r w:rsidRPr="005A2E21">
        <w:tab/>
      </w:r>
      <w:r w:rsidRPr="005A2E21">
        <w:tab/>
      </w:r>
      <w:r w:rsidR="000A5015" w:rsidRPr="005A2E21">
        <w:t>Andrew Thomson</w:t>
      </w:r>
    </w:p>
    <w:p w14:paraId="23DE523C" w14:textId="77777777" w:rsidR="00DC26A3" w:rsidRPr="005A2E21" w:rsidRDefault="00DC26A3" w:rsidP="00395A20"/>
    <w:p w14:paraId="549F3883" w14:textId="55EC17D3" w:rsidR="00395A20" w:rsidRPr="005A2E21" w:rsidRDefault="00395A20" w:rsidP="00395A20">
      <w:r w:rsidRPr="005A2E21">
        <w:t xml:space="preserve">Strategic Science Initiatives Division (SSID): </w:t>
      </w:r>
      <w:r w:rsidRPr="005A2E21">
        <w:tab/>
      </w:r>
      <w:r w:rsidRPr="005A2E21">
        <w:tab/>
      </w:r>
      <w:r w:rsidRPr="005A2E21">
        <w:tab/>
      </w:r>
      <w:r w:rsidR="00A52CC4">
        <w:t>Shelby Reesor</w:t>
      </w:r>
      <w:r w:rsidR="00B83EB5" w:rsidRPr="005A2E21">
        <w:t xml:space="preserve"> (Acting)</w:t>
      </w:r>
    </w:p>
    <w:p w14:paraId="7DADEE40" w14:textId="1D99FAA8" w:rsidR="00395A20" w:rsidRPr="005A2E21" w:rsidRDefault="00395A20" w:rsidP="00395A20">
      <w:pPr>
        <w:pStyle w:val="ListParagraph"/>
        <w:numPr>
          <w:ilvl w:val="0"/>
          <w:numId w:val="2"/>
        </w:numPr>
      </w:pPr>
      <w:r w:rsidRPr="005A2E21">
        <w:t xml:space="preserve">Centre for Science Advice – Pacific: </w:t>
      </w:r>
      <w:r w:rsidRPr="005A2E21">
        <w:tab/>
      </w:r>
      <w:r w:rsidRPr="005A2E21">
        <w:tab/>
      </w:r>
      <w:r w:rsidRPr="005A2E21">
        <w:tab/>
      </w:r>
      <w:r w:rsidRPr="005A2E21">
        <w:tab/>
      </w:r>
      <w:r w:rsidR="00A52CC4">
        <w:t>Miriam O</w:t>
      </w:r>
    </w:p>
    <w:p w14:paraId="71E8A7E1" w14:textId="77777777" w:rsidR="00395A20" w:rsidRPr="005A2E21" w:rsidRDefault="00395A20" w:rsidP="00395A20">
      <w:pPr>
        <w:pStyle w:val="ListParagraph"/>
        <w:numPr>
          <w:ilvl w:val="0"/>
          <w:numId w:val="2"/>
        </w:numPr>
      </w:pPr>
      <w:r w:rsidRPr="005A2E21">
        <w:t xml:space="preserve">Strategic Partnerships and Programs: </w:t>
      </w:r>
      <w:r w:rsidRPr="005A2E21">
        <w:tab/>
      </w:r>
      <w:r w:rsidRPr="005A2E21">
        <w:tab/>
      </w:r>
      <w:r w:rsidRPr="005A2E21">
        <w:tab/>
        <w:t>March Klaver</w:t>
      </w:r>
    </w:p>
    <w:p w14:paraId="52E56223" w14:textId="77777777" w:rsidR="00DC26A3" w:rsidRPr="005A2E21" w:rsidRDefault="00DC26A3" w:rsidP="00395A20"/>
    <w:p w14:paraId="438842D9" w14:textId="77777777" w:rsidR="00395A20" w:rsidRPr="005A2E21" w:rsidRDefault="00395A20" w:rsidP="00395A20">
      <w:r w:rsidRPr="005A2E21">
        <w:t>Stock Assessment and Research Division (</w:t>
      </w:r>
      <w:proofErr w:type="spellStart"/>
      <w:r w:rsidRPr="005A2E21">
        <w:t>StAR</w:t>
      </w:r>
      <w:proofErr w:type="spellEnd"/>
      <w:r w:rsidRPr="005A2E21">
        <w:t xml:space="preserve">): </w:t>
      </w:r>
      <w:r w:rsidRPr="005A2E21">
        <w:tab/>
      </w:r>
      <w:r w:rsidRPr="005A2E21">
        <w:tab/>
      </w:r>
      <w:r w:rsidRPr="005A2E21">
        <w:tab/>
        <w:t>John Holmes</w:t>
      </w:r>
    </w:p>
    <w:p w14:paraId="24FDF324" w14:textId="6F8D5CAF" w:rsidR="00395A20" w:rsidRPr="005A2E21" w:rsidRDefault="00395A20" w:rsidP="00395A20">
      <w:pPr>
        <w:pStyle w:val="ListParagraph"/>
        <w:numPr>
          <w:ilvl w:val="0"/>
          <w:numId w:val="3"/>
        </w:numPr>
      </w:pPr>
      <w:r w:rsidRPr="005A2E21">
        <w:t xml:space="preserve">Groundfish Section: </w:t>
      </w:r>
      <w:r w:rsidRPr="005A2E21">
        <w:tab/>
      </w:r>
      <w:r w:rsidRPr="005A2E21">
        <w:tab/>
      </w:r>
      <w:r w:rsidRPr="005A2E21">
        <w:tab/>
      </w:r>
      <w:r w:rsidRPr="005A2E21">
        <w:tab/>
      </w:r>
      <w:r w:rsidRPr="005A2E21">
        <w:tab/>
      </w:r>
      <w:r w:rsidRPr="005A2E21">
        <w:tab/>
      </w:r>
      <w:r w:rsidR="00D104B7" w:rsidRPr="005A2E21">
        <w:t>Dana Hag</w:t>
      </w:r>
      <w:r w:rsidR="00A52CC4">
        <w:t xml:space="preserve">garty </w:t>
      </w:r>
    </w:p>
    <w:p w14:paraId="155E78E0" w14:textId="38B77EAE" w:rsidR="00395A20" w:rsidRPr="005A2E21" w:rsidRDefault="00395A20" w:rsidP="00395A20">
      <w:pPr>
        <w:pStyle w:val="ListParagraph"/>
        <w:numPr>
          <w:ilvl w:val="0"/>
          <w:numId w:val="3"/>
        </w:numPr>
      </w:pPr>
      <w:r w:rsidRPr="005A2E21">
        <w:t xml:space="preserve">Quantitative Assessment Methods Section: </w:t>
      </w:r>
      <w:r w:rsidRPr="005A2E21">
        <w:tab/>
      </w:r>
      <w:r w:rsidRPr="005A2E21">
        <w:tab/>
      </w:r>
      <w:r w:rsidRPr="005A2E21">
        <w:tab/>
      </w:r>
      <w:r w:rsidR="00874318" w:rsidRPr="005A2E21">
        <w:t>Steve Schut</w:t>
      </w:r>
    </w:p>
    <w:p w14:paraId="515B69DC" w14:textId="77777777" w:rsidR="00395A20" w:rsidRPr="005A2E21" w:rsidRDefault="00395A20" w:rsidP="00395A20">
      <w:pPr>
        <w:pStyle w:val="ListParagraph"/>
        <w:numPr>
          <w:ilvl w:val="0"/>
          <w:numId w:val="3"/>
        </w:numPr>
      </w:pPr>
      <w:r w:rsidRPr="005A2E21">
        <w:t xml:space="preserve">Fisheries and Assessment Data Section: </w:t>
      </w:r>
      <w:r w:rsidRPr="005A2E21">
        <w:tab/>
      </w:r>
      <w:r w:rsidRPr="005A2E21">
        <w:tab/>
      </w:r>
      <w:r w:rsidRPr="005A2E21">
        <w:tab/>
        <w:t>Shelee Hamilton</w:t>
      </w:r>
    </w:p>
    <w:p w14:paraId="4132E82D" w14:textId="77777777" w:rsidR="00395A20" w:rsidRPr="005A2E21" w:rsidRDefault="00395A20" w:rsidP="00395A20">
      <w:pPr>
        <w:pStyle w:val="ListParagraph"/>
        <w:numPr>
          <w:ilvl w:val="0"/>
          <w:numId w:val="3"/>
        </w:numPr>
      </w:pPr>
      <w:r w:rsidRPr="005A2E21">
        <w:t xml:space="preserve">Marine Invertebrates Section: </w:t>
      </w:r>
      <w:r w:rsidRPr="005A2E21">
        <w:tab/>
      </w:r>
      <w:r w:rsidRPr="005A2E21">
        <w:tab/>
      </w:r>
      <w:r w:rsidRPr="005A2E21">
        <w:tab/>
      </w:r>
      <w:r w:rsidRPr="005A2E21">
        <w:tab/>
        <w:t>Ken Fong</w:t>
      </w:r>
    </w:p>
    <w:p w14:paraId="56C4D53D" w14:textId="77777777" w:rsidR="00395A20" w:rsidRPr="005A2E21" w:rsidRDefault="00395A20" w:rsidP="00395A20">
      <w:pPr>
        <w:pStyle w:val="ListParagraph"/>
        <w:numPr>
          <w:ilvl w:val="0"/>
          <w:numId w:val="3"/>
        </w:numPr>
      </w:pPr>
      <w:r w:rsidRPr="005A2E21">
        <w:t xml:space="preserve">Salmon Assessment: </w:t>
      </w:r>
      <w:r w:rsidRPr="005A2E21">
        <w:tab/>
      </w:r>
      <w:r w:rsidRPr="005A2E21">
        <w:tab/>
      </w:r>
      <w:r w:rsidRPr="005A2E21">
        <w:tab/>
      </w:r>
      <w:r w:rsidRPr="005A2E21">
        <w:tab/>
      </w:r>
      <w:r w:rsidRPr="005A2E21">
        <w:tab/>
      </w:r>
      <w:r w:rsidRPr="005A2E21">
        <w:tab/>
        <w:t>Antonio Velez-Espino</w:t>
      </w:r>
    </w:p>
    <w:p w14:paraId="4BD96CEE" w14:textId="09CF5224" w:rsidR="00395A20" w:rsidRPr="005A2E21" w:rsidRDefault="00395A20" w:rsidP="00395A20">
      <w:pPr>
        <w:pStyle w:val="ListParagraph"/>
        <w:numPr>
          <w:ilvl w:val="0"/>
          <w:numId w:val="3"/>
        </w:numPr>
      </w:pPr>
      <w:r w:rsidRPr="005A2E21">
        <w:t xml:space="preserve">Salmon Coordinator: </w:t>
      </w:r>
      <w:r w:rsidRPr="005A2E21">
        <w:tab/>
      </w:r>
      <w:r w:rsidRPr="005A2E21">
        <w:tab/>
      </w:r>
      <w:r w:rsidRPr="005A2E21">
        <w:tab/>
      </w:r>
      <w:r w:rsidRPr="005A2E21">
        <w:tab/>
      </w:r>
      <w:r w:rsidRPr="005A2E21">
        <w:tab/>
      </w:r>
      <w:r w:rsidRPr="005A2E21">
        <w:tab/>
      </w:r>
      <w:r w:rsidR="00874318" w:rsidRPr="005A2E21">
        <w:t>Dawn Lewis</w:t>
      </w:r>
    </w:p>
    <w:p w14:paraId="07547A01" w14:textId="77777777" w:rsidR="00DC26A3" w:rsidRPr="005A2E21" w:rsidRDefault="00DC26A3" w:rsidP="00395A20"/>
    <w:p w14:paraId="66313782" w14:textId="2A51F291" w:rsidR="00395A20" w:rsidRPr="005A2E21" w:rsidRDefault="00395A20" w:rsidP="00395A20">
      <w:r w:rsidRPr="005A2E21">
        <w:t xml:space="preserve">Aquatic Diagnostics, Genomics &amp; Technology Division (ADGT): </w:t>
      </w:r>
      <w:r w:rsidRPr="005A2E21">
        <w:tab/>
      </w:r>
      <w:r w:rsidR="00D104B7" w:rsidRPr="005A2E21">
        <w:t>Jon Chamberlain (Acting)</w:t>
      </w:r>
      <w:r w:rsidRPr="005A2E21">
        <w:t xml:space="preserve"> </w:t>
      </w:r>
    </w:p>
    <w:p w14:paraId="30FB8D2E" w14:textId="5E482C9D" w:rsidR="00395A20" w:rsidRPr="005A2E21" w:rsidRDefault="00395A20" w:rsidP="00395A20">
      <w:pPr>
        <w:pStyle w:val="ListParagraph"/>
        <w:numPr>
          <w:ilvl w:val="0"/>
          <w:numId w:val="4"/>
        </w:numPr>
      </w:pPr>
      <w:r w:rsidRPr="005A2E21">
        <w:t xml:space="preserve">Applied Technology: </w:t>
      </w:r>
      <w:r w:rsidRPr="005A2E21">
        <w:tab/>
      </w:r>
      <w:r w:rsidRPr="005A2E21">
        <w:tab/>
      </w:r>
      <w:r w:rsidRPr="005A2E21">
        <w:tab/>
      </w:r>
      <w:r w:rsidRPr="005A2E21">
        <w:tab/>
      </w:r>
      <w:r w:rsidRPr="005A2E21">
        <w:tab/>
      </w:r>
      <w:r w:rsidRPr="005A2E21">
        <w:tab/>
      </w:r>
      <w:r w:rsidR="00A52CC4">
        <w:t xml:space="preserve">Kathryn Berry </w:t>
      </w:r>
    </w:p>
    <w:p w14:paraId="7AAB689C" w14:textId="77777777" w:rsidR="00395A20" w:rsidRPr="005A2E21" w:rsidRDefault="00395A20" w:rsidP="00395A20">
      <w:pPr>
        <w:pStyle w:val="ListParagraph"/>
        <w:numPr>
          <w:ilvl w:val="0"/>
          <w:numId w:val="4"/>
        </w:numPr>
      </w:pPr>
      <w:r w:rsidRPr="005A2E21">
        <w:t xml:space="preserve">Genetics: </w:t>
      </w:r>
      <w:r w:rsidRPr="005A2E21">
        <w:tab/>
      </w:r>
      <w:r w:rsidRPr="005A2E21">
        <w:tab/>
      </w:r>
      <w:r w:rsidRPr="005A2E21">
        <w:tab/>
      </w:r>
      <w:r w:rsidRPr="005A2E21">
        <w:tab/>
      </w:r>
      <w:r w:rsidRPr="005A2E21">
        <w:tab/>
      </w:r>
      <w:r w:rsidRPr="005A2E21">
        <w:tab/>
      </w:r>
      <w:r w:rsidRPr="005A2E21">
        <w:tab/>
        <w:t>John Candy</w:t>
      </w:r>
    </w:p>
    <w:p w14:paraId="2351EC7B" w14:textId="77777777" w:rsidR="00395A20" w:rsidRPr="005A2E21" w:rsidRDefault="00395A20" w:rsidP="00395A20">
      <w:pPr>
        <w:pStyle w:val="ListParagraph"/>
        <w:numPr>
          <w:ilvl w:val="0"/>
          <w:numId w:val="4"/>
        </w:numPr>
      </w:pPr>
      <w:r w:rsidRPr="005A2E21">
        <w:t xml:space="preserve">Aquatic Animal Health: </w:t>
      </w:r>
      <w:r w:rsidRPr="005A2E21">
        <w:tab/>
      </w:r>
      <w:r w:rsidRPr="005A2E21">
        <w:tab/>
      </w:r>
      <w:r w:rsidRPr="005A2E21">
        <w:tab/>
      </w:r>
      <w:r w:rsidRPr="005A2E21">
        <w:tab/>
      </w:r>
      <w:r w:rsidRPr="005A2E21">
        <w:tab/>
        <w:t>Mark Higgins</w:t>
      </w:r>
    </w:p>
    <w:p w14:paraId="5043CB0F" w14:textId="77777777" w:rsidR="00DC26A3" w:rsidRPr="005A2E21" w:rsidRDefault="00DC26A3" w:rsidP="00395A20"/>
    <w:p w14:paraId="24AC3412" w14:textId="77777777" w:rsidR="00395A20" w:rsidRPr="005A2E21" w:rsidRDefault="00395A20" w:rsidP="00874318">
      <w:pPr>
        <w:keepNext/>
      </w:pPr>
      <w:r w:rsidRPr="005A2E21">
        <w:lastRenderedPageBreak/>
        <w:t xml:space="preserve">Ocean Science Division (OSD): </w:t>
      </w:r>
      <w:r w:rsidRPr="005A2E21">
        <w:tab/>
      </w:r>
      <w:r w:rsidRPr="005A2E21">
        <w:tab/>
      </w:r>
      <w:r w:rsidRPr="005A2E21">
        <w:tab/>
      </w:r>
      <w:r w:rsidRPr="005A2E21">
        <w:tab/>
      </w:r>
      <w:r w:rsidRPr="005A2E21">
        <w:tab/>
        <w:t>Kim Houston</w:t>
      </w:r>
    </w:p>
    <w:p w14:paraId="79A5E279" w14:textId="10A0A35B" w:rsidR="00395A20" w:rsidRPr="005A2E21" w:rsidRDefault="00395A20" w:rsidP="00395A20">
      <w:pPr>
        <w:pStyle w:val="ListParagraph"/>
        <w:numPr>
          <w:ilvl w:val="0"/>
          <w:numId w:val="5"/>
        </w:numPr>
      </w:pPr>
      <w:r w:rsidRPr="005A2E21">
        <w:t xml:space="preserve">Ecology and Biogeochemistry: </w:t>
      </w:r>
      <w:r w:rsidRPr="005A2E21">
        <w:tab/>
      </w:r>
      <w:r w:rsidRPr="005A2E21">
        <w:tab/>
      </w:r>
      <w:r w:rsidRPr="005A2E21">
        <w:tab/>
      </w:r>
      <w:r w:rsidRPr="005A2E21">
        <w:tab/>
      </w:r>
      <w:r w:rsidR="00D104B7" w:rsidRPr="005A2E21">
        <w:t>Neil Dangerfield</w:t>
      </w:r>
    </w:p>
    <w:p w14:paraId="7F67DEE7" w14:textId="7FABEF48" w:rsidR="00395A20" w:rsidRPr="005A2E21" w:rsidRDefault="00E878D1" w:rsidP="00395A20">
      <w:pPr>
        <w:pStyle w:val="ListParagraph"/>
        <w:numPr>
          <w:ilvl w:val="0"/>
          <w:numId w:val="5"/>
        </w:numPr>
      </w:pPr>
      <w:r w:rsidRPr="005A2E21">
        <w:t>Modelling &amp; Prediction:</w:t>
      </w:r>
      <w:r w:rsidRPr="005A2E21">
        <w:tab/>
      </w:r>
      <w:r w:rsidRPr="005A2E21">
        <w:tab/>
      </w:r>
      <w:r w:rsidRPr="005A2E21">
        <w:tab/>
      </w:r>
      <w:r w:rsidRPr="005A2E21">
        <w:tab/>
      </w:r>
      <w:r w:rsidRPr="005A2E21">
        <w:tab/>
      </w:r>
      <w:r w:rsidR="00D104B7" w:rsidRPr="005A2E21">
        <w:t>Di Wan</w:t>
      </w:r>
      <w:r w:rsidR="00874318" w:rsidRPr="005A2E21">
        <w:t xml:space="preserve"> (Acting)</w:t>
      </w:r>
    </w:p>
    <w:p w14:paraId="30DBECE7" w14:textId="092F5F48" w:rsidR="00395A20" w:rsidRPr="005A2E21" w:rsidRDefault="00395A20" w:rsidP="00395A20">
      <w:pPr>
        <w:pStyle w:val="ListParagraph"/>
        <w:numPr>
          <w:ilvl w:val="0"/>
          <w:numId w:val="5"/>
        </w:numPr>
      </w:pPr>
      <w:r w:rsidRPr="005A2E21">
        <w:t xml:space="preserve">State of the Ocean: </w:t>
      </w:r>
      <w:r w:rsidRPr="005A2E21">
        <w:tab/>
      </w:r>
      <w:r w:rsidRPr="005A2E21">
        <w:tab/>
      </w:r>
      <w:r w:rsidRPr="005A2E21">
        <w:tab/>
      </w:r>
      <w:r w:rsidRPr="005A2E21">
        <w:tab/>
      </w:r>
      <w:r w:rsidRPr="005A2E21">
        <w:tab/>
      </w:r>
      <w:r w:rsidRPr="005A2E21">
        <w:tab/>
      </w:r>
      <w:r w:rsidR="00D104B7" w:rsidRPr="005A2E21">
        <w:t>Gwyn Lintern</w:t>
      </w:r>
    </w:p>
    <w:p w14:paraId="07459315" w14:textId="77777777" w:rsidR="00DC26A3" w:rsidRPr="005A2E21" w:rsidRDefault="00DC26A3" w:rsidP="00395A20"/>
    <w:p w14:paraId="1A2D1368" w14:textId="77777777" w:rsidR="00395A20" w:rsidRPr="005A2E21" w:rsidRDefault="00395A20" w:rsidP="00395A20">
      <w:r w:rsidRPr="005A2E21">
        <w:t xml:space="preserve">Ecosystem Science Division (ESD): </w:t>
      </w:r>
      <w:r w:rsidRPr="005A2E21">
        <w:tab/>
      </w:r>
      <w:r w:rsidRPr="005A2E21">
        <w:tab/>
      </w:r>
      <w:r w:rsidRPr="005A2E21">
        <w:tab/>
      </w:r>
      <w:r w:rsidRPr="005A2E21">
        <w:tab/>
      </w:r>
      <w:r w:rsidRPr="005A2E21">
        <w:tab/>
        <w:t xml:space="preserve">Eddy Kennedy </w:t>
      </w:r>
    </w:p>
    <w:p w14:paraId="19D296A1" w14:textId="63A2BD07" w:rsidR="00395A20" w:rsidRPr="005A2E21" w:rsidRDefault="00395A20" w:rsidP="00395A20">
      <w:pPr>
        <w:pStyle w:val="ListParagraph"/>
        <w:numPr>
          <w:ilvl w:val="0"/>
          <w:numId w:val="6"/>
        </w:numPr>
      </w:pPr>
      <w:r w:rsidRPr="005A2E21">
        <w:t xml:space="preserve">Marine Spatial Ecology &amp; Analysis: </w:t>
      </w:r>
      <w:r w:rsidRPr="005A2E21">
        <w:tab/>
      </w:r>
      <w:r w:rsidRPr="005A2E21">
        <w:tab/>
      </w:r>
      <w:r w:rsidRPr="005A2E21">
        <w:tab/>
      </w:r>
      <w:r w:rsidRPr="005A2E21">
        <w:tab/>
      </w:r>
      <w:r w:rsidR="00A52CC4">
        <w:t>Tammy Norgard</w:t>
      </w:r>
    </w:p>
    <w:p w14:paraId="01A54093" w14:textId="77777777" w:rsidR="00395A20" w:rsidRPr="005A2E21" w:rsidRDefault="00395A20" w:rsidP="00395A20">
      <w:pPr>
        <w:pStyle w:val="ListParagraph"/>
        <w:numPr>
          <w:ilvl w:val="0"/>
          <w:numId w:val="6"/>
        </w:numPr>
      </w:pPr>
      <w:r w:rsidRPr="005A2E21">
        <w:t xml:space="preserve">Aquatic Ecosystem &amp; Marine Mammals: </w:t>
      </w:r>
      <w:r w:rsidRPr="005A2E21">
        <w:tab/>
      </w:r>
      <w:r w:rsidRPr="005A2E21">
        <w:tab/>
      </w:r>
      <w:r w:rsidRPr="005A2E21">
        <w:tab/>
        <w:t>Sean MacConnachie</w:t>
      </w:r>
    </w:p>
    <w:p w14:paraId="5E3A1205" w14:textId="77777777" w:rsidR="00395A20" w:rsidRPr="005A2E21" w:rsidRDefault="00395A20" w:rsidP="00395A20">
      <w:pPr>
        <w:pStyle w:val="ListParagraph"/>
        <w:numPr>
          <w:ilvl w:val="0"/>
          <w:numId w:val="6"/>
        </w:numPr>
      </w:pPr>
      <w:r w:rsidRPr="005A2E21">
        <w:t xml:space="preserve">Freshwater Ecosystems: </w:t>
      </w:r>
      <w:r w:rsidRPr="005A2E21">
        <w:tab/>
      </w:r>
      <w:r w:rsidRPr="005A2E21">
        <w:tab/>
      </w:r>
      <w:r w:rsidRPr="005A2E21">
        <w:tab/>
      </w:r>
      <w:r w:rsidRPr="005A2E21">
        <w:tab/>
      </w:r>
      <w:r w:rsidRPr="005A2E21">
        <w:tab/>
        <w:t>Jeffery Lemieux</w:t>
      </w:r>
    </w:p>
    <w:p w14:paraId="189D31F1" w14:textId="77777777" w:rsidR="00395A20" w:rsidRPr="005A2E21" w:rsidRDefault="00395A20" w:rsidP="00395A20">
      <w:pPr>
        <w:pStyle w:val="ListParagraph"/>
        <w:numPr>
          <w:ilvl w:val="0"/>
          <w:numId w:val="6"/>
        </w:numPr>
      </w:pPr>
      <w:r w:rsidRPr="005A2E21">
        <w:t xml:space="preserve">Nearshore Ecosystems: </w:t>
      </w:r>
      <w:r w:rsidRPr="005A2E21">
        <w:tab/>
      </w:r>
      <w:r w:rsidRPr="005A2E21">
        <w:tab/>
      </w:r>
      <w:r w:rsidRPr="005A2E21">
        <w:tab/>
      </w:r>
      <w:r w:rsidRPr="005A2E21">
        <w:tab/>
      </w:r>
      <w:r w:rsidRPr="005A2E21">
        <w:tab/>
        <w:t>Cher LaCoste</w:t>
      </w:r>
    </w:p>
    <w:p w14:paraId="5A4BBC3A" w14:textId="5A7D2C46" w:rsidR="00395A20" w:rsidRPr="005A2E21" w:rsidRDefault="00395A20" w:rsidP="00395A20">
      <w:pPr>
        <w:pStyle w:val="ListParagraph"/>
        <w:numPr>
          <w:ilvl w:val="0"/>
          <w:numId w:val="6"/>
        </w:numPr>
      </w:pPr>
      <w:r>
        <w:t xml:space="preserve">Regional Ecosystem Effects on Fish &amp; Fisheries: </w:t>
      </w:r>
      <w:r>
        <w:tab/>
      </w:r>
      <w:r>
        <w:tab/>
      </w:r>
      <w:r w:rsidR="00A52CC4">
        <w:t>Jason Ladell (Acting)</w:t>
      </w:r>
    </w:p>
    <w:p w14:paraId="6537F28F" w14:textId="77777777" w:rsidR="00DC26A3" w:rsidRDefault="00DC26A3" w:rsidP="00395A20"/>
    <w:p w14:paraId="62B5EE5C" w14:textId="77777777" w:rsidR="00395A20" w:rsidRDefault="00395A20" w:rsidP="00395A20">
      <w:r>
        <w:t xml:space="preserve">Canadian Hydrographic Service (CHS): </w:t>
      </w:r>
      <w:r w:rsidR="00DC26A3">
        <w:tab/>
      </w:r>
      <w:r w:rsidR="00DC26A3">
        <w:tab/>
      </w:r>
      <w:r w:rsidR="00DC26A3">
        <w:tab/>
      </w:r>
      <w:r w:rsidR="00DC26A3">
        <w:tab/>
      </w:r>
      <w:r>
        <w:t>Mark LeBlanc</w:t>
      </w:r>
    </w:p>
    <w:p w14:paraId="6DFB9E20" w14:textId="77777777" w:rsidR="002C0DF4" w:rsidRDefault="002C0DF4" w:rsidP="00395A20"/>
    <w:p w14:paraId="7D857647" w14:textId="1CC241D0" w:rsidR="00395A20" w:rsidRPr="00F71090" w:rsidRDefault="00395A20" w:rsidP="00F71090">
      <w:pPr>
        <w:pStyle w:val="Body"/>
      </w:pPr>
      <w:r>
        <w:t>Groundfish research and stock assessment work is conducted amongst the Groundfish, Fisheries and Assessment Data, and Quantitative Methods Sections within</w:t>
      </w:r>
      <w:r w:rsidR="004737DC">
        <w:t xml:space="preserve"> the</w:t>
      </w:r>
      <w:r>
        <w:t xml:space="preserve"> St</w:t>
      </w:r>
      <w:r w:rsidR="004737DC">
        <w:t xml:space="preserve">ock </w:t>
      </w:r>
      <w:r>
        <w:t>A</w:t>
      </w:r>
      <w:r w:rsidR="004737DC">
        <w:t xml:space="preserve">ssessment and </w:t>
      </w:r>
      <w:r>
        <w:t>R</w:t>
      </w:r>
      <w:r w:rsidR="004737DC">
        <w:t>esearch (</w:t>
      </w:r>
      <w:proofErr w:type="spellStart"/>
      <w:r w:rsidR="004737DC">
        <w:t>StAR</w:t>
      </w:r>
      <w:proofErr w:type="spellEnd"/>
      <w:r w:rsidR="004737DC">
        <w:t>) division</w:t>
      </w:r>
      <w:r>
        <w:t xml:space="preserve">. Groundfish specimen ageing and genetics are conducted in the Applied Technologies and Genetics Sections in </w:t>
      </w:r>
      <w:r w:rsidR="004737DC" w:rsidRPr="005A2E21">
        <w:t xml:space="preserve">Aquatic Diagnostics, Genomics &amp; Technology Division </w:t>
      </w:r>
      <w:r w:rsidR="004737DC">
        <w:t>(</w:t>
      </w:r>
      <w:r>
        <w:t>ADGT</w:t>
      </w:r>
      <w:r w:rsidR="004737DC">
        <w:t>)</w:t>
      </w:r>
      <w:r>
        <w:t>. Acoustic fisheries research and surveys are led by the Ecology and Biogeochemistry Section in</w:t>
      </w:r>
      <w:r w:rsidR="004737DC" w:rsidRPr="004737DC">
        <w:t xml:space="preserve"> </w:t>
      </w:r>
      <w:r w:rsidR="004737DC" w:rsidRPr="005A2E21">
        <w:t>Ocean Science Division</w:t>
      </w:r>
      <w:r>
        <w:t xml:space="preserve"> </w:t>
      </w:r>
      <w:r w:rsidR="004737DC">
        <w:t>(</w:t>
      </w:r>
      <w:r>
        <w:t>OSD</w:t>
      </w:r>
      <w:r w:rsidR="004737DC">
        <w:t>)</w:t>
      </w:r>
      <w:r w:rsidR="00E878D1">
        <w:t xml:space="preserve">. </w:t>
      </w:r>
      <w:r>
        <w:t>Ecosystem studies, marine protected areas research and planning, and habitat research is undertaken in collaboration with staff in the Ecosystems Science Division (ESD).</w:t>
      </w:r>
      <w:r w:rsidR="004737DC">
        <w:t xml:space="preserve"> The Canadian Hydrographic Service (CHS) is responsible for hydrographic surveys and navigational products and services in Canada. </w:t>
      </w:r>
    </w:p>
    <w:p w14:paraId="70C9DB5F" w14:textId="53790C15" w:rsidR="00395A20" w:rsidRPr="00F71090" w:rsidRDefault="00395A20" w:rsidP="00F71090">
      <w:pPr>
        <w:pStyle w:val="Body"/>
      </w:pPr>
      <w:r>
        <w:t xml:space="preserve">Fishery Managers and other clients receive science advice from </w:t>
      </w:r>
      <w:proofErr w:type="spellStart"/>
      <w:r>
        <w:t>StAR</w:t>
      </w:r>
      <w:proofErr w:type="spellEnd"/>
      <w:r>
        <w:t xml:space="preserve"> through the Canadian Centre for Scientific Advice Pacific (CSAP) review committee. Groundfish subject matter experts </w:t>
      </w:r>
      <w:r w:rsidR="00997F01">
        <w:t xml:space="preserve">(SMEs) </w:t>
      </w:r>
      <w:r>
        <w:t>meet periodically throughout the year to provide scientific peer review of stock assessment working papers and develop scientific advice</w:t>
      </w:r>
      <w:r w:rsidR="00997F01">
        <w:t>. E</w:t>
      </w:r>
      <w:r>
        <w:t>very peer review process involves both internal (DFO) and external reviewers. The resulting Science Advisory Report summarizes the advice to Fishery Managers, with the full stock assessment becoming a Research Document.</w:t>
      </w:r>
      <w:r w:rsidR="004737DC">
        <w:t xml:space="preserve"> A proceedings document summarizing the meeting is also available.</w:t>
      </w:r>
      <w:r>
        <w:t xml:space="preserve"> </w:t>
      </w:r>
      <w:r w:rsidR="004737DC">
        <w:t>Updates to accepted stock assessments as well as management procedure updates can be published as Science Response documents. All four types of</w:t>
      </w:r>
      <w:r>
        <w:t xml:space="preserve"> documents can be </w:t>
      </w:r>
      <w:r w:rsidR="004737DC">
        <w:t xml:space="preserve">downloaded from </w:t>
      </w:r>
      <w:r>
        <w:t>the Canadian Stock Assessment Secretariat website:</w:t>
      </w:r>
      <w:r w:rsidR="00BD0316">
        <w:t xml:space="preserve"> </w:t>
      </w:r>
      <w:hyperlink r:id="rId19">
        <w:r w:rsidR="00BD0316" w:rsidRPr="5ABB0D50">
          <w:rPr>
            <w:rStyle w:val="Hyperlink"/>
          </w:rPr>
          <w:t>http://www.dfo-mpo.gc.ca/csas-sccs/index-eng.htm</w:t>
        </w:r>
      </w:hyperlink>
      <w:r>
        <w:t>. The frequency of review meetings and production of stock assessment advice for fisheries managers varies depending on departmental, branch and regional priorities.</w:t>
      </w:r>
    </w:p>
    <w:p w14:paraId="00A7BF47" w14:textId="1731C0AF" w:rsidR="000407F3" w:rsidRPr="00063AB2" w:rsidRDefault="00395A20" w:rsidP="000407F3">
      <w:pPr>
        <w:pStyle w:val="Body"/>
      </w:pPr>
      <w:r>
        <w:t>The Canadian Coast Guard operates DFO research vessels. These research vessels include the J.P. Tully, Vector, Neocaligus</w:t>
      </w:r>
      <w:r w:rsidR="000407F3">
        <w:t xml:space="preserve">, and the Sir John Franklin. </w:t>
      </w:r>
      <w:r w:rsidR="008D00CD">
        <w:t xml:space="preserve">In 2022, Groundfish surveys were completed on the Neocaligus and Sir John Franklin. </w:t>
      </w:r>
    </w:p>
    <w:p w14:paraId="263AB43B" w14:textId="383B5290" w:rsidR="000407F3" w:rsidRPr="00063AB2" w:rsidRDefault="38E26437" w:rsidP="00F71090">
      <w:pPr>
        <w:pStyle w:val="Body"/>
      </w:pPr>
      <w:r>
        <w:t xml:space="preserve">The Groundfish Trawl, Sablefish, Rockfish, Lingcod, North Pacific Spiny Dogfish, and Halibut fishery sectors continue to be managed as an integrated fishery with Individual Vessel Quotas (IVQs). IVQs can be for specific areas or coastwide. Within the general IVQ context, managers also use a suite of management tactics including time and area specific closures and bycatch </w:t>
      </w:r>
      <w:r>
        <w:lastRenderedPageBreak/>
        <w:t>limits. The 20</w:t>
      </w:r>
      <w:r w:rsidR="3A5BCFFF">
        <w:t>2</w:t>
      </w:r>
      <w:r w:rsidR="26DF8BD1">
        <w:t>2</w:t>
      </w:r>
      <w:r>
        <w:t xml:space="preserve"> Groundfish Integrated Fisheries Management Plan </w:t>
      </w:r>
      <w:r w:rsidR="3A5BCFFF">
        <w:t>v.</w:t>
      </w:r>
      <w:r w:rsidR="61252488">
        <w:t>3</w:t>
      </w:r>
      <w:r w:rsidR="3A5BCFFF">
        <w:t>.</w:t>
      </w:r>
      <w:r w:rsidR="16A22C5A">
        <w:t>0</w:t>
      </w:r>
      <w:r w:rsidR="3A5BCFFF">
        <w:t xml:space="preserve"> (IFMP) is available from the Federal Science Library:</w:t>
      </w:r>
      <w:r w:rsidR="5DCED7D8">
        <w:t xml:space="preserve"> https://waves-vagues.dfo-mpo.gc.ca/library-bibliotheque/41034971.pdf</w:t>
      </w:r>
      <w:r w:rsidR="4B0F2A75">
        <w:t xml:space="preserve">. </w:t>
      </w:r>
    </w:p>
    <w:p w14:paraId="60485303" w14:textId="387D2C8E" w:rsidR="0F57C82B" w:rsidRDefault="0F57C82B" w:rsidP="0F57C82B">
      <w:pPr>
        <w:pStyle w:val="Body"/>
        <w:rPr>
          <w:rFonts w:eastAsia="Calibri"/>
        </w:rPr>
      </w:pPr>
      <w:r w:rsidRPr="0F57C82B">
        <w:rPr>
          <w:rFonts w:eastAsia="Calibri"/>
        </w:rPr>
        <w:t>Allocations of fish for financing scientific and management activities are identified in the Groundfish IFMP. Use of Fish Collaborative Agreements were developed for 202</w:t>
      </w:r>
      <w:r w:rsidR="008D00CD">
        <w:rPr>
          <w:rFonts w:eastAsia="Calibri"/>
        </w:rPr>
        <w:t>2</w:t>
      </w:r>
      <w:r w:rsidRPr="0F57C82B">
        <w:rPr>
          <w:rFonts w:eastAsia="Calibri"/>
        </w:rPr>
        <w:t>-2</w:t>
      </w:r>
      <w:r w:rsidR="008D00CD">
        <w:rPr>
          <w:rFonts w:eastAsia="Calibri"/>
        </w:rPr>
        <w:t>3</w:t>
      </w:r>
      <w:r w:rsidRPr="0F57C82B">
        <w:rPr>
          <w:rFonts w:eastAsia="Calibri"/>
        </w:rPr>
        <w:t xml:space="preserve"> between Fisheries and Oceans Canada and Wild Canadian Sablefish (multi-year agreement to the end of 2023), Pacific Halibut Management Association of BC</w:t>
      </w:r>
      <w:r w:rsidR="008D00CD">
        <w:rPr>
          <w:rFonts w:eastAsia="Calibri"/>
        </w:rPr>
        <w:t xml:space="preserve"> (multi-year agreement to the end of 2026)</w:t>
      </w:r>
      <w:r w:rsidRPr="0F57C82B">
        <w:rPr>
          <w:rFonts w:eastAsia="Calibri"/>
        </w:rPr>
        <w:t>, and the Canadian Groundfish Research and Conservation Society to support groundfish science activities through the allocation of fish to finance the activities</w:t>
      </w:r>
      <w:r w:rsidR="008D00CD">
        <w:rPr>
          <w:rFonts w:eastAsia="Calibri"/>
        </w:rPr>
        <w:t xml:space="preserve"> (updated annually)</w:t>
      </w:r>
      <w:r w:rsidRPr="0F57C82B">
        <w:rPr>
          <w:rFonts w:eastAsia="Calibri"/>
        </w:rPr>
        <w:t xml:space="preserve">. </w:t>
      </w:r>
    </w:p>
    <w:p w14:paraId="3726643E" w14:textId="7CE1B1DF" w:rsidR="00E70497" w:rsidRDefault="3AACCF66" w:rsidP="490425B0">
      <w:pPr>
        <w:pStyle w:val="Body"/>
        <w:rPr>
          <w:rFonts w:eastAsia="Arial" w:cs="Arial"/>
          <w:i/>
          <w:iCs/>
        </w:rPr>
      </w:pPr>
      <w:r w:rsidRPr="490425B0">
        <w:rPr>
          <w:rFonts w:eastAsia="Arial" w:cs="Arial"/>
          <w:i/>
          <w:iCs/>
        </w:rPr>
        <w:t>Fish stock provisions</w:t>
      </w:r>
    </w:p>
    <w:p w14:paraId="787DDD39" w14:textId="402581BD" w:rsidR="7F51A26F" w:rsidRDefault="55891D70" w:rsidP="7F51A26F">
      <w:pPr>
        <w:rPr>
          <w:rFonts w:eastAsia="Arial" w:cs="Arial"/>
        </w:rPr>
      </w:pPr>
      <w:r w:rsidRPr="490425B0">
        <w:rPr>
          <w:rFonts w:eastAsia="Arial" w:cs="Arial"/>
        </w:rPr>
        <w:t xml:space="preserve">Following amendments made to Canada’s </w:t>
      </w:r>
      <w:r w:rsidRPr="490425B0">
        <w:rPr>
          <w:rFonts w:eastAsia="Arial" w:cs="Arial"/>
          <w:i/>
          <w:iCs/>
        </w:rPr>
        <w:t>Fisheries Act</w:t>
      </w:r>
      <w:r w:rsidRPr="490425B0">
        <w:rPr>
          <w:rFonts w:eastAsia="Arial" w:cs="Arial"/>
        </w:rPr>
        <w:t xml:space="preserve">, new regulations amending the Fishery (General) Regulations, ss. 69-70, were published in </w:t>
      </w:r>
      <w:r w:rsidRPr="490425B0">
        <w:rPr>
          <w:rFonts w:eastAsia="Arial" w:cs="Arial"/>
          <w:i/>
          <w:iCs/>
        </w:rPr>
        <w:t>Canada Gazette Part II</w:t>
      </w:r>
      <w:r w:rsidRPr="490425B0">
        <w:rPr>
          <w:rFonts w:eastAsia="Arial" w:cs="Arial"/>
        </w:rPr>
        <w:t xml:space="preserve">, including required contents of rebuilding plans. The Fish Stocks provisions have come into force for 30 prescribed major fish stocks. The date of coming into force was </w:t>
      </w:r>
      <w:r w:rsidRPr="490425B0">
        <w:rPr>
          <w:rFonts w:eastAsia="Arial" w:cs="Arial"/>
          <w:b/>
          <w:bCs/>
        </w:rPr>
        <w:t>April 4,</w:t>
      </w:r>
      <w:r w:rsidR="49E17119" w:rsidRPr="490425B0">
        <w:rPr>
          <w:rFonts w:eastAsia="Arial" w:cs="Arial"/>
          <w:b/>
          <w:bCs/>
        </w:rPr>
        <w:t xml:space="preserve"> 2021</w:t>
      </w:r>
      <w:r w:rsidRPr="490425B0">
        <w:rPr>
          <w:rFonts w:eastAsia="Arial" w:cs="Arial"/>
        </w:rPr>
        <w:t xml:space="preserve"> the date in which the regulations were registered. Rebuilding requirements under the Fish Stock Provisions will apply to Inside Yelloweye Rockfish and Bocaccio. Domestic Fisheries Policy is currently finalizing approvals for revised Rebuilding Plan Guidelines to support the development of rebuilding plans to meet these </w:t>
      </w:r>
      <w:r w:rsidR="49E17119" w:rsidRPr="490425B0">
        <w:rPr>
          <w:rFonts w:eastAsia="Arial" w:cs="Arial"/>
        </w:rPr>
        <w:t>requirements. Other Pacific gro</w:t>
      </w:r>
      <w:r w:rsidRPr="490425B0">
        <w:rPr>
          <w:rFonts w:eastAsia="Arial" w:cs="Arial"/>
        </w:rPr>
        <w:t>undfish stocks listed as “major stocks” but that don’t require rebuilding plans include Outside Yelloweye Rockfish, Pacific Hake</w:t>
      </w:r>
      <w:r w:rsidR="1EFAEDD1" w:rsidRPr="490425B0">
        <w:rPr>
          <w:rFonts w:eastAsia="Arial" w:cs="Arial"/>
        </w:rPr>
        <w:t>,</w:t>
      </w:r>
      <w:r w:rsidRPr="490425B0">
        <w:rPr>
          <w:rFonts w:eastAsia="Arial" w:cs="Arial"/>
        </w:rPr>
        <w:t xml:space="preserve"> and Sablefish. Other Pacific groundfish stocks will be gazetted in following batches in subsequent years. For more information:  https://www.gazette.gc.ca/rp-pr/p2/2022/2022-04-13/html/sor-dors73-eng.html</w:t>
      </w:r>
      <w:r w:rsidR="49E17119" w:rsidRPr="490425B0">
        <w:rPr>
          <w:rStyle w:val="Hyperlink"/>
          <w:rFonts w:eastAsia="Arial" w:cs="Arial"/>
        </w:rPr>
        <w:t>.</w:t>
      </w:r>
    </w:p>
    <w:p w14:paraId="6489E073" w14:textId="329B5E13" w:rsidR="7F51A26F" w:rsidRDefault="7F51A26F" w:rsidP="490425B0">
      <w:pPr>
        <w:rPr>
          <w:rFonts w:eastAsia="Arial" w:cs="Arial"/>
        </w:rPr>
      </w:pPr>
    </w:p>
    <w:p w14:paraId="28E65724" w14:textId="5BB324EB" w:rsidR="7F51A26F" w:rsidRDefault="1BCBBAA8" w:rsidP="490425B0">
      <w:pPr>
        <w:rPr>
          <w:rFonts w:eastAsia="Arial" w:cs="Arial"/>
        </w:rPr>
      </w:pPr>
      <w:r w:rsidRPr="490425B0">
        <w:rPr>
          <w:rFonts w:eastAsia="Arial" w:cs="Arial"/>
        </w:rPr>
        <w:t xml:space="preserve">The second batch of major stocks to be gazetted is expected soon. </w:t>
      </w:r>
    </w:p>
    <w:p w14:paraId="022C4E38" w14:textId="77777777" w:rsidR="00395A20" w:rsidRDefault="00395A20" w:rsidP="00063AB2">
      <w:pPr>
        <w:pStyle w:val="Heading1"/>
      </w:pPr>
      <w:bookmarkStart w:id="1" w:name="_Toc131161702"/>
      <w:r>
        <w:t>Surveys</w:t>
      </w:r>
      <w:bookmarkEnd w:id="1"/>
    </w:p>
    <w:p w14:paraId="424B6C15" w14:textId="77777777" w:rsidR="00395A20" w:rsidRPr="00F71090" w:rsidRDefault="00395A20" w:rsidP="005C43FF">
      <w:pPr>
        <w:pStyle w:val="Heading2"/>
      </w:pPr>
      <w:bookmarkStart w:id="2" w:name="_Toc131161703"/>
      <w:bookmarkStart w:id="3" w:name="_GoBack"/>
      <w:bookmarkEnd w:id="3"/>
      <w:r>
        <w:t>Databases and Data Acquisition Software</w:t>
      </w:r>
      <w:bookmarkEnd w:id="2"/>
    </w:p>
    <w:p w14:paraId="5273898C" w14:textId="68486584" w:rsidR="50234427" w:rsidRDefault="584B9CC3" w:rsidP="490425B0">
      <w:pPr>
        <w:rPr>
          <w:rFonts w:eastAsia="Arial" w:cs="Arial"/>
        </w:rPr>
      </w:pPr>
      <w:proofErr w:type="spellStart"/>
      <w:r w:rsidRPr="387816AB">
        <w:rPr>
          <w:rFonts w:eastAsia="Arial" w:cs="Arial"/>
          <w:b/>
          <w:bCs/>
        </w:rPr>
        <w:t>GFBioField</w:t>
      </w:r>
      <w:proofErr w:type="spellEnd"/>
      <w:r w:rsidRPr="387816AB">
        <w:rPr>
          <w:rFonts w:eastAsia="Arial" w:cs="Arial"/>
        </w:rPr>
        <w:t xml:space="preserve"> is a data acquisition software application created in-house by DFO staff in the Groundfish Surveys Program at the Pacific Biological Station in Nanaimo British Columbia. </w:t>
      </w:r>
      <w:proofErr w:type="spellStart"/>
      <w:r w:rsidRPr="387816AB">
        <w:rPr>
          <w:rFonts w:eastAsia="Arial" w:cs="Arial"/>
        </w:rPr>
        <w:t>GFBioField</w:t>
      </w:r>
      <w:proofErr w:type="spellEnd"/>
      <w:r w:rsidRPr="387816AB">
        <w:rPr>
          <w:rFonts w:eastAsia="Arial" w:cs="Arial"/>
        </w:rPr>
        <w:t xml:space="preserve"> was designed for real-time data capture and data entry during at-sea surveys but can also be used for dockside sampling and office-based data entry. Modified versions have been developed by Groundfish Surveys staff for use by other programs such as the Marine Invertebrates Section within the </w:t>
      </w:r>
      <w:proofErr w:type="spellStart"/>
      <w:r w:rsidRPr="387816AB">
        <w:rPr>
          <w:rFonts w:eastAsia="Arial" w:cs="Arial"/>
        </w:rPr>
        <w:t>StAR</w:t>
      </w:r>
      <w:proofErr w:type="spellEnd"/>
      <w:r w:rsidRPr="387816AB">
        <w:rPr>
          <w:rFonts w:eastAsia="Arial" w:cs="Arial"/>
        </w:rPr>
        <w:t xml:space="preserve"> Division, and the Aquatic Ecosystems and Marine Mammals Section and Regional Ecosystem Effects on Fish and Fisheries Section in the Ecosystem Science Division. </w:t>
      </w:r>
      <w:proofErr w:type="spellStart"/>
      <w:r w:rsidRPr="387816AB">
        <w:rPr>
          <w:rFonts w:eastAsia="Arial" w:cs="Arial"/>
        </w:rPr>
        <w:t>GFBioField</w:t>
      </w:r>
      <w:proofErr w:type="spellEnd"/>
      <w:r w:rsidRPr="387816AB">
        <w:rPr>
          <w:rFonts w:eastAsia="Arial" w:cs="Arial"/>
        </w:rPr>
        <w:t xml:space="preserve"> uses a client-server architecture employing Microsoft SQL Server 2016 for the back-end data storage and business logic along with a Microsoft Access 2016 front-end. </w:t>
      </w:r>
    </w:p>
    <w:p w14:paraId="28EDAA32" w14:textId="69134EF0" w:rsidR="490425B0" w:rsidRDefault="490425B0" w:rsidP="490425B0">
      <w:pPr>
        <w:rPr>
          <w:rFonts w:eastAsia="Arial" w:cs="Arial"/>
        </w:rPr>
      </w:pPr>
    </w:p>
    <w:p w14:paraId="1CC3C932" w14:textId="4569929A" w:rsidR="50234427" w:rsidRDefault="50234427" w:rsidP="490425B0">
      <w:pPr>
        <w:spacing w:line="257" w:lineRule="auto"/>
        <w:rPr>
          <w:rFonts w:eastAsia="Arial" w:cs="Arial"/>
        </w:rPr>
      </w:pPr>
      <w:proofErr w:type="spellStart"/>
      <w:r w:rsidRPr="490425B0">
        <w:rPr>
          <w:rFonts w:eastAsia="Arial" w:cs="Arial"/>
          <w:b/>
          <w:bCs/>
        </w:rPr>
        <w:t>GFBio</w:t>
      </w:r>
      <w:proofErr w:type="spellEnd"/>
      <w:r w:rsidRPr="490425B0">
        <w:rPr>
          <w:rFonts w:eastAsia="Arial" w:cs="Arial"/>
        </w:rPr>
        <w:t xml:space="preserve"> is an oracle database developed in-house by DFO staff in the 1990s, which houses groundfish research survey and commercial biological data collected in British Columbia from the 1940s to the present. </w:t>
      </w:r>
      <w:proofErr w:type="spellStart"/>
      <w:r w:rsidRPr="490425B0">
        <w:rPr>
          <w:rFonts w:eastAsia="Arial" w:cs="Arial"/>
        </w:rPr>
        <w:t>GFBio</w:t>
      </w:r>
      <w:proofErr w:type="spellEnd"/>
      <w:r w:rsidRPr="490425B0">
        <w:rPr>
          <w:rFonts w:eastAsia="Arial" w:cs="Arial"/>
        </w:rPr>
        <w:t xml:space="preserve"> now includes 29,412 trips and 11,981,382 individual fish specimens. In 2022, data entry activities concentrated on input of current-year groundfish research cruises, hake &amp; sablefish dockside commercial samples, and fish ages.</w:t>
      </w:r>
    </w:p>
    <w:p w14:paraId="3FF9CFBF" w14:textId="1402E8BB" w:rsidR="490425B0" w:rsidRDefault="490425B0" w:rsidP="490425B0">
      <w:pPr>
        <w:spacing w:line="257" w:lineRule="auto"/>
        <w:rPr>
          <w:rFonts w:eastAsia="Arial" w:cs="Arial"/>
        </w:rPr>
      </w:pPr>
    </w:p>
    <w:p w14:paraId="4838882F" w14:textId="20BB3E94" w:rsidR="50234427" w:rsidRDefault="50234427" w:rsidP="490425B0">
      <w:pPr>
        <w:spacing w:line="257" w:lineRule="auto"/>
        <w:rPr>
          <w:rFonts w:eastAsia="Arial" w:cs="Arial"/>
        </w:rPr>
      </w:pPr>
      <w:r w:rsidRPr="490425B0">
        <w:rPr>
          <w:rFonts w:eastAsia="Arial" w:cs="Arial"/>
        </w:rPr>
        <w:t xml:space="preserve">The </w:t>
      </w:r>
      <w:proofErr w:type="spellStart"/>
      <w:r w:rsidRPr="490425B0">
        <w:rPr>
          <w:rFonts w:eastAsia="Arial" w:cs="Arial"/>
          <w:b/>
          <w:bCs/>
        </w:rPr>
        <w:t>Sclerochronology</w:t>
      </w:r>
      <w:proofErr w:type="spellEnd"/>
      <w:r w:rsidRPr="490425B0">
        <w:rPr>
          <w:rFonts w:eastAsia="Arial" w:cs="Arial"/>
          <w:b/>
          <w:bCs/>
        </w:rPr>
        <w:t xml:space="preserve"> Lab Direct Data Entry Application</w:t>
      </w:r>
      <w:r w:rsidRPr="490425B0">
        <w:rPr>
          <w:rFonts w:eastAsia="Arial" w:cs="Arial"/>
        </w:rPr>
        <w:t xml:space="preserve">, or </w:t>
      </w:r>
      <w:r w:rsidRPr="490425B0">
        <w:rPr>
          <w:rFonts w:eastAsia="Arial" w:cs="Arial"/>
          <w:b/>
          <w:bCs/>
        </w:rPr>
        <w:t>SCLDDE</w:t>
      </w:r>
      <w:r w:rsidRPr="490425B0">
        <w:rPr>
          <w:rFonts w:eastAsia="Arial" w:cs="Arial"/>
        </w:rPr>
        <w:t xml:space="preserve"> for short, is a new software application for direct entry of fish ages and related data by </w:t>
      </w:r>
      <w:proofErr w:type="spellStart"/>
      <w:r w:rsidRPr="490425B0">
        <w:rPr>
          <w:rFonts w:eastAsia="Arial" w:cs="Arial"/>
        </w:rPr>
        <w:t>Sclerochronology</w:t>
      </w:r>
      <w:proofErr w:type="spellEnd"/>
      <w:r w:rsidRPr="490425B0">
        <w:rPr>
          <w:rFonts w:eastAsia="Arial" w:cs="Arial"/>
        </w:rPr>
        <w:t xml:space="preserve"> Lab (SCL) staff into </w:t>
      </w:r>
      <w:proofErr w:type="spellStart"/>
      <w:r w:rsidRPr="490425B0">
        <w:rPr>
          <w:rFonts w:eastAsia="Arial" w:cs="Arial"/>
        </w:rPr>
        <w:t>GFBio</w:t>
      </w:r>
      <w:proofErr w:type="spellEnd"/>
      <w:r w:rsidRPr="490425B0">
        <w:rPr>
          <w:rFonts w:eastAsia="Arial" w:cs="Arial"/>
        </w:rPr>
        <w:t xml:space="preserve">. The application is similar to </w:t>
      </w:r>
      <w:proofErr w:type="spellStart"/>
      <w:r w:rsidRPr="490425B0">
        <w:rPr>
          <w:rFonts w:eastAsia="Arial" w:cs="Arial"/>
        </w:rPr>
        <w:t>GFBioField</w:t>
      </w:r>
      <w:proofErr w:type="spellEnd"/>
      <w:r w:rsidRPr="490425B0">
        <w:rPr>
          <w:rFonts w:eastAsia="Arial" w:cs="Arial"/>
        </w:rPr>
        <w:t xml:space="preserve">, and was developed in-house in 2021 by Norm Olsen from the Groundfish Surveys Program. The application incorporates the age request process (where a researcher selects available samples from </w:t>
      </w:r>
      <w:proofErr w:type="spellStart"/>
      <w:r w:rsidRPr="490425B0">
        <w:rPr>
          <w:rFonts w:eastAsia="Arial" w:cs="Arial"/>
        </w:rPr>
        <w:t>GFBio</w:t>
      </w:r>
      <w:proofErr w:type="spellEnd"/>
      <w:r w:rsidRPr="490425B0">
        <w:rPr>
          <w:rFonts w:eastAsia="Arial" w:cs="Arial"/>
        </w:rPr>
        <w:t xml:space="preserve"> and requests ages), provides a means for SCL staff to view and prioritize requests, and then provides data entry forms for real-time entry of ages and other associated information. The application has been online for production aging since November 2021, and underwent testing and further development throughout 2022.  In 2022, the SCLDDE was used for Hake, Quillback Rockfish, and Canary Rockfish ages, with additional species to be added over time. Fish ages not entered directly through the SCLDDE continue to be entered manually from paper data sheets by Groundfish Data Unit staff.</w:t>
      </w:r>
    </w:p>
    <w:p w14:paraId="3DD163EA" w14:textId="513DD96A" w:rsidR="490425B0" w:rsidRDefault="490425B0" w:rsidP="490425B0">
      <w:pPr>
        <w:spacing w:line="257" w:lineRule="auto"/>
        <w:rPr>
          <w:rFonts w:eastAsia="Arial" w:cs="Arial"/>
        </w:rPr>
      </w:pPr>
    </w:p>
    <w:p w14:paraId="75E4154F" w14:textId="57B0305C" w:rsidR="50234427" w:rsidRDefault="50234427" w:rsidP="490425B0">
      <w:pPr>
        <w:spacing w:line="257" w:lineRule="auto"/>
        <w:rPr>
          <w:rFonts w:eastAsia="Arial" w:cs="Arial"/>
        </w:rPr>
      </w:pPr>
      <w:r w:rsidRPr="490425B0">
        <w:rPr>
          <w:rFonts w:eastAsia="Arial" w:cs="Arial"/>
          <w:b/>
          <w:bCs/>
        </w:rPr>
        <w:t>GFFOS</w:t>
      </w:r>
      <w:r w:rsidRPr="490425B0">
        <w:rPr>
          <w:rFonts w:eastAsia="Arial" w:cs="Arial"/>
        </w:rPr>
        <w:t xml:space="preserve"> is a SQL database developed by DFO Science staff and maintained by the Groundfish Data Unit. GFFOS contains reformatted and manipulated data from commercial groundfish fishery data held in the Fishery Operations System (FOS) oracle database. The groundfish modules of FOS are maintained by the Fisheries and Aquaculture Management Branch of DFO and hold data such as hail out / hail in information, fisher logs, observer logs, and offload information from the dockside monitoring program. GFFOS imports key information from FOS tables, reformatted to facilitate querying by DFO Science staff, and u</w:t>
      </w:r>
      <w:r w:rsidR="404DCECB" w:rsidRPr="490425B0">
        <w:rPr>
          <w:rFonts w:eastAsia="Arial" w:cs="Arial"/>
        </w:rPr>
        <w:t>s</w:t>
      </w:r>
      <w:r w:rsidRPr="490425B0">
        <w:rPr>
          <w:rFonts w:eastAsia="Arial" w:cs="Arial"/>
        </w:rPr>
        <w:t>es the available sources of catch information to produce “best estimates” of catch.</w:t>
      </w:r>
    </w:p>
    <w:p w14:paraId="12B8C6D4" w14:textId="170B8351" w:rsidR="490425B0" w:rsidRDefault="490425B0" w:rsidP="490425B0">
      <w:pPr>
        <w:pStyle w:val="Body"/>
      </w:pPr>
    </w:p>
    <w:p w14:paraId="4E5B96DB" w14:textId="77777777" w:rsidR="00395A20" w:rsidRPr="00F71090" w:rsidRDefault="27C6E057" w:rsidP="005C43FF">
      <w:pPr>
        <w:pStyle w:val="Heading2"/>
      </w:pPr>
      <w:bookmarkStart w:id="4" w:name="_Toc131161704"/>
      <w:r>
        <w:t>Commercial Fishery Monitoring and Biological Sampling</w:t>
      </w:r>
      <w:bookmarkEnd w:id="4"/>
    </w:p>
    <w:p w14:paraId="1F444F0A" w14:textId="528827AF" w:rsidR="5432E895" w:rsidRDefault="5432E895" w:rsidP="490425B0">
      <w:pPr>
        <w:rPr>
          <w:rFonts w:eastAsia="Arial" w:cs="Arial"/>
          <w:i/>
          <w:iCs/>
        </w:rPr>
      </w:pPr>
      <w:r w:rsidRPr="490425B0">
        <w:rPr>
          <w:rFonts w:eastAsia="Arial" w:cs="Arial"/>
          <w:i/>
          <w:iCs/>
        </w:rPr>
        <w:t xml:space="preserve"> Fishery Monitoring</w:t>
      </w:r>
    </w:p>
    <w:p w14:paraId="072E83FB" w14:textId="1AC0EBF3" w:rsidR="490425B0" w:rsidRDefault="490425B0" w:rsidP="490425B0">
      <w:pPr>
        <w:rPr>
          <w:rFonts w:eastAsia="Arial" w:cs="Arial"/>
          <w:i/>
          <w:iCs/>
        </w:rPr>
      </w:pPr>
    </w:p>
    <w:p w14:paraId="0DE61555" w14:textId="096B4B2E" w:rsidR="5432E895" w:rsidRDefault="5432E895" w:rsidP="490425B0">
      <w:pPr>
        <w:spacing w:line="257" w:lineRule="auto"/>
        <w:rPr>
          <w:rFonts w:eastAsia="Arial" w:cs="Arial"/>
        </w:rPr>
      </w:pPr>
      <w:r w:rsidRPr="490425B0">
        <w:rPr>
          <w:rFonts w:eastAsia="Arial" w:cs="Arial"/>
        </w:rPr>
        <w:t xml:space="preserve">Groundfish commercial fisheries in British Columbia are subject to 100% catch monitoring. This requirement is met </w:t>
      </w:r>
      <w:r w:rsidR="7C2AF172" w:rsidRPr="490425B0">
        <w:rPr>
          <w:rFonts w:eastAsia="Arial" w:cs="Arial"/>
        </w:rPr>
        <w:t>using</w:t>
      </w:r>
      <w:r w:rsidRPr="490425B0">
        <w:rPr>
          <w:rFonts w:eastAsia="Arial" w:cs="Arial"/>
        </w:rPr>
        <w:t xml:space="preserve"> an electronic monitoring (EM) system on each trip. In addition, a dockside monitoring program (DMP) validates all commercial landings. EM systems must meet standards specified by DFO, must be functional for the duration of any fishing trip, and are subject to an audit following every trip. The combination of fisher logbooks with EM and DMP are intended to provide an accurate and complete record of all fishing that takes place under a commercial groundfish fishing licence. The Groundfish Trawl fishery currently uses an EM program to fulfil the 100% at-sea monitoring requirement previously fulfilled by the at-sea observer program (ASOP). The EM program includes equipment (cameras, hydraulic and rotational sensors, GPS) which must meet certain standards, video-monitored fixed measuring grids for all releases of lingcod and sablefish which are subject to size limits, and an audit program to ensure the accuracy of fishing logs. Consequences for non-compliance with EM audit standards may include partial or 100 per cent replacement of fisher logbook data with EM estimates when audits do not meet standards.</w:t>
      </w:r>
    </w:p>
    <w:p w14:paraId="257F0F05" w14:textId="3F65D8AA" w:rsidR="490425B0" w:rsidRDefault="490425B0" w:rsidP="490425B0">
      <w:pPr>
        <w:spacing w:line="257" w:lineRule="auto"/>
        <w:rPr>
          <w:rFonts w:eastAsia="Arial" w:cs="Arial"/>
        </w:rPr>
      </w:pPr>
    </w:p>
    <w:p w14:paraId="18F7E7BE" w14:textId="653254A0" w:rsidR="5432E895" w:rsidRDefault="5432E895" w:rsidP="490425B0">
      <w:pPr>
        <w:spacing w:line="257" w:lineRule="auto"/>
        <w:rPr>
          <w:rFonts w:eastAsia="Arial" w:cs="Arial"/>
        </w:rPr>
      </w:pPr>
      <w:r w:rsidRPr="490425B0">
        <w:rPr>
          <w:rFonts w:eastAsia="Arial" w:cs="Arial"/>
        </w:rPr>
        <w:t xml:space="preserve">Commercial fishery data from fisher logs and DMP are captured electronically in the groundfish modules of the Fishery Operations System (FOS) database, maintained by the Fisheries and Aquaculture Management Branch of DFO. EM data are held separately but may be used to replace fisher logbook data in FOS per audit requirements. Groundfish Science maintains the </w:t>
      </w:r>
      <w:r w:rsidRPr="490425B0">
        <w:rPr>
          <w:rFonts w:eastAsia="Arial" w:cs="Arial"/>
        </w:rPr>
        <w:lastRenderedPageBreak/>
        <w:t xml:space="preserve">SQL database GFFOS, which contains the post-audit groundfish FOS data, reformatted to be useful for scientific purposes. </w:t>
      </w:r>
    </w:p>
    <w:p w14:paraId="0F67B94D" w14:textId="56C6EAC6" w:rsidR="490425B0" w:rsidRDefault="490425B0" w:rsidP="490425B0">
      <w:pPr>
        <w:spacing w:line="257" w:lineRule="auto"/>
        <w:rPr>
          <w:rFonts w:eastAsia="Arial" w:cs="Arial"/>
        </w:rPr>
      </w:pPr>
    </w:p>
    <w:p w14:paraId="74074B53" w14:textId="049225F5" w:rsidR="5432E895" w:rsidRDefault="5432E895" w:rsidP="490425B0">
      <w:pPr>
        <w:spacing w:line="257" w:lineRule="auto"/>
        <w:rPr>
          <w:rFonts w:eastAsia="Arial" w:cs="Arial"/>
          <w:i/>
          <w:iCs/>
        </w:rPr>
      </w:pPr>
      <w:r w:rsidRPr="490425B0">
        <w:rPr>
          <w:rFonts w:eastAsia="Arial" w:cs="Arial"/>
          <w:i/>
          <w:iCs/>
        </w:rPr>
        <w:t>Biological Sampling</w:t>
      </w:r>
    </w:p>
    <w:p w14:paraId="4EB05EDD" w14:textId="0DED3CDA" w:rsidR="490425B0" w:rsidRDefault="490425B0" w:rsidP="490425B0">
      <w:pPr>
        <w:spacing w:line="257" w:lineRule="auto"/>
        <w:rPr>
          <w:rFonts w:eastAsia="Arial" w:cs="Arial"/>
          <w:i/>
          <w:iCs/>
        </w:rPr>
      </w:pPr>
    </w:p>
    <w:p w14:paraId="34A0894C" w14:textId="5F477B3E" w:rsidR="5432E895" w:rsidRDefault="5432E895" w:rsidP="490425B0">
      <w:pPr>
        <w:spacing w:line="257" w:lineRule="auto"/>
        <w:rPr>
          <w:rFonts w:eastAsia="Arial" w:cs="Arial"/>
        </w:rPr>
      </w:pPr>
      <w:r w:rsidRPr="490425B0">
        <w:rPr>
          <w:rFonts w:eastAsia="Arial" w:cs="Arial"/>
        </w:rPr>
        <w:t>Biological samples have previously been collected from the commercial groundfish fishery by at-sea observers in the trawl fishery and through dockside sampling of the trawl fishery and sablefish trap/longline fishery. Since the suspension of ASOP in April 2020 there have been no at-sea biological samples from the groundfish trawl fishery. DMP sampling by the service provider was reduced but continued for the hake trawl fishery, and sablefish vessels have continued setting aside samples for subsequent dockside sampling by DFO staff.</w:t>
      </w:r>
    </w:p>
    <w:p w14:paraId="7A809491" w14:textId="205B61ED" w:rsidR="490425B0" w:rsidRDefault="490425B0" w:rsidP="490425B0">
      <w:pPr>
        <w:spacing w:line="257" w:lineRule="auto"/>
        <w:rPr>
          <w:rFonts w:eastAsia="Arial" w:cs="Arial"/>
        </w:rPr>
      </w:pPr>
    </w:p>
    <w:p w14:paraId="24DF21EA" w14:textId="4EE27D90" w:rsidR="5432E895" w:rsidRDefault="5432E895" w:rsidP="490425B0">
      <w:pPr>
        <w:spacing w:line="257" w:lineRule="auto"/>
        <w:rPr>
          <w:rFonts w:eastAsia="Arial" w:cs="Arial"/>
        </w:rPr>
      </w:pPr>
      <w:r w:rsidRPr="490425B0">
        <w:rPr>
          <w:rFonts w:eastAsia="Arial" w:cs="Arial"/>
        </w:rPr>
        <w:t>In 2022, DFO Science &amp; Fisheries Management staff worked with Archipelago Marine Research and the Canadian Groundfish Research and Conservation Society to develop a program to resume collection biological samples from the portion of the groundfish trawl fishery that would have been subject to ASOP. The first pilot of the new sampling program will begin in spring 2023 with the collection of shore</w:t>
      </w:r>
      <w:r w:rsidR="00222343">
        <w:rPr>
          <w:rFonts w:eastAsia="Arial" w:cs="Arial"/>
        </w:rPr>
        <w:t>-</w:t>
      </w:r>
      <w:r w:rsidRPr="490425B0">
        <w:rPr>
          <w:rFonts w:eastAsia="Arial" w:cs="Arial"/>
        </w:rPr>
        <w:t xml:space="preserve">side samples from rockfish “wet boats” landing at the port of Ucluelet on the West Coast of Vancouver Island, with plans to expand to other ports and other components of the fishery. The 2022 DMP hake samples included both typical dockside samples from trips which previously would not have had an at-sea observer, as well as samples from freezer trawlers which were set aside at sea by vessel crew for subsequent sampling at the dockside – these samples would have previously been collected and sampled at sea by an observer. DFO Science continues to work on a review of the numbers and types of biological samples needed to support groundfish stock assessment and research on an ongoing basis. Results are expected soon and will guide the implementation of future </w:t>
      </w:r>
      <w:proofErr w:type="spellStart"/>
      <w:r w:rsidRPr="490425B0">
        <w:rPr>
          <w:rFonts w:eastAsia="Arial" w:cs="Arial"/>
        </w:rPr>
        <w:t>biosampling</w:t>
      </w:r>
      <w:proofErr w:type="spellEnd"/>
      <w:r w:rsidRPr="490425B0">
        <w:rPr>
          <w:rFonts w:eastAsia="Arial" w:cs="Arial"/>
        </w:rPr>
        <w:t xml:space="preserve"> programs.</w:t>
      </w:r>
    </w:p>
    <w:p w14:paraId="4D72B6A5" w14:textId="0D70ECF9" w:rsidR="490425B0" w:rsidRDefault="490425B0" w:rsidP="490425B0">
      <w:pPr>
        <w:spacing w:line="257" w:lineRule="auto"/>
        <w:rPr>
          <w:rFonts w:eastAsia="Arial" w:cs="Arial"/>
        </w:rPr>
      </w:pPr>
    </w:p>
    <w:p w14:paraId="50EF2ACA" w14:textId="1B6ADC33" w:rsidR="5432E895" w:rsidRDefault="5432E895" w:rsidP="490425B0">
      <w:pPr>
        <w:spacing w:line="257" w:lineRule="auto"/>
        <w:rPr>
          <w:rFonts w:eastAsia="Arial" w:cs="Arial"/>
        </w:rPr>
      </w:pPr>
      <w:r w:rsidRPr="490425B0">
        <w:rPr>
          <w:rFonts w:eastAsia="Arial" w:cs="Arial"/>
        </w:rPr>
        <w:t xml:space="preserve">Commercial biological samples are uploaded to </w:t>
      </w:r>
      <w:proofErr w:type="spellStart"/>
      <w:r w:rsidRPr="490425B0">
        <w:rPr>
          <w:rFonts w:eastAsia="Arial" w:cs="Arial"/>
        </w:rPr>
        <w:t>GFBio</w:t>
      </w:r>
      <w:proofErr w:type="spellEnd"/>
      <w:r w:rsidRPr="490425B0">
        <w:rPr>
          <w:rFonts w:eastAsia="Arial" w:cs="Arial"/>
        </w:rPr>
        <w:t xml:space="preserve"> on an annual basis, or more frequently as required.</w:t>
      </w:r>
    </w:p>
    <w:p w14:paraId="25C7B129" w14:textId="1F89951A" w:rsidR="490425B0" w:rsidRDefault="490425B0" w:rsidP="490425B0">
      <w:pPr>
        <w:pStyle w:val="Body"/>
        <w:spacing w:line="257" w:lineRule="auto"/>
        <w:rPr>
          <w:rFonts w:eastAsia="Arial" w:cs="Arial"/>
        </w:rPr>
      </w:pPr>
    </w:p>
    <w:p w14:paraId="0A5C957E" w14:textId="77777777" w:rsidR="00395A20" w:rsidRPr="00F71090" w:rsidRDefault="00395A20" w:rsidP="005C43FF">
      <w:pPr>
        <w:pStyle w:val="Heading2"/>
      </w:pPr>
      <w:bookmarkStart w:id="5" w:name="_Toc131161705"/>
      <w:r>
        <w:t>Research Surveys</w:t>
      </w:r>
      <w:bookmarkEnd w:id="5"/>
    </w:p>
    <w:p w14:paraId="55BEA6EC" w14:textId="02552A02" w:rsidR="00BD0316" w:rsidRDefault="00395A20" w:rsidP="00F71090">
      <w:pPr>
        <w:pStyle w:val="Body"/>
      </w:pPr>
      <w:r>
        <w:t xml:space="preserve">The Fisheries and Oceans, Canada (DFO) Groundfish section of the Stock Assessment and Research Division conducts a suite of fishing surveys using bottom trawl, longline hook, and longline trap gear that, in aggregate, provide comprehensive coverage for all offshore waters of Canada’s Pacific Coast. The </w:t>
      </w:r>
      <w:r w:rsidR="008516E0">
        <w:t>core</w:t>
      </w:r>
      <w:r>
        <w:t xml:space="preserve"> surveys include the Multi</w:t>
      </w:r>
      <w:r w:rsidR="009C7C9D">
        <w:t>s</w:t>
      </w:r>
      <w:r>
        <w:t>pecies Synoptic Bottom Trawl, Hard Bottom Longline Hook, and Sablefish Longline Trap surveys (</w:t>
      </w:r>
      <w:r>
        <w:fldChar w:fldCharType="begin"/>
      </w:r>
      <w:r>
        <w:instrText xml:space="preserve"> REF _Ref45010519 \h </w:instrText>
      </w:r>
      <w:r>
        <w:fldChar w:fldCharType="separate"/>
      </w:r>
      <w:r w:rsidR="001D067D">
        <w:t xml:space="preserve">Figure </w:t>
      </w:r>
      <w:r w:rsidR="001D067D" w:rsidRPr="5ABB0D50">
        <w:rPr>
          <w:noProof/>
        </w:rPr>
        <w:t>1</w:t>
      </w:r>
      <w:r>
        <w:fldChar w:fldCharType="end"/>
      </w:r>
      <w:r>
        <w:t xml:space="preserve">). </w:t>
      </w:r>
    </w:p>
    <w:p w14:paraId="50548F6E" w14:textId="65FA0E28" w:rsidR="00BD0316" w:rsidRDefault="00BD0316" w:rsidP="00F71090">
      <w:pPr>
        <w:pStyle w:val="Body"/>
      </w:pPr>
      <w:r>
        <w:t>Data from the synoptic bottom trawl surveys and hard bottom longline hook surveys are published annually to the Government of Canada Open Government Portal and to OBIS:</w:t>
      </w:r>
    </w:p>
    <w:p w14:paraId="02000534" w14:textId="6FA7CECF" w:rsidR="00BD0316" w:rsidRDefault="00BD0316" w:rsidP="00BD0316">
      <w:pPr>
        <w:pStyle w:val="Body"/>
        <w:numPr>
          <w:ilvl w:val="0"/>
          <w:numId w:val="39"/>
        </w:numPr>
        <w:spacing w:after="0"/>
      </w:pPr>
      <w:r>
        <w:t>Open Government Portal</w:t>
      </w:r>
    </w:p>
    <w:p w14:paraId="13B5D5C9" w14:textId="18394D98" w:rsidR="00BD0316" w:rsidRDefault="0026383A" w:rsidP="00BD0316">
      <w:pPr>
        <w:pStyle w:val="Body"/>
        <w:numPr>
          <w:ilvl w:val="1"/>
          <w:numId w:val="39"/>
        </w:numPr>
        <w:spacing w:after="0"/>
      </w:pPr>
      <w:hyperlink r:id="rId20">
        <w:r w:rsidR="00BD0316" w:rsidRPr="5ABB0D50">
          <w:rPr>
            <w:rStyle w:val="Hyperlink"/>
          </w:rPr>
          <w:t>Synoptic Bottom Trawl Surveys</w:t>
        </w:r>
      </w:hyperlink>
    </w:p>
    <w:p w14:paraId="47887C63" w14:textId="696282E8" w:rsidR="00BD0316" w:rsidRDefault="0026383A" w:rsidP="00BD0316">
      <w:pPr>
        <w:pStyle w:val="Body"/>
        <w:numPr>
          <w:ilvl w:val="1"/>
          <w:numId w:val="39"/>
        </w:numPr>
        <w:spacing w:after="0"/>
      </w:pPr>
      <w:hyperlink r:id="rId21">
        <w:r w:rsidR="00BD0316" w:rsidRPr="5ABB0D50">
          <w:rPr>
            <w:rStyle w:val="Hyperlink"/>
          </w:rPr>
          <w:t>Hard Bottom Longline Surveys</w:t>
        </w:r>
      </w:hyperlink>
    </w:p>
    <w:p w14:paraId="196B7E4B" w14:textId="755D9F7C" w:rsidR="00BD0316" w:rsidRDefault="00BD0316" w:rsidP="00BD0316">
      <w:pPr>
        <w:pStyle w:val="Body"/>
        <w:numPr>
          <w:ilvl w:val="0"/>
          <w:numId w:val="39"/>
        </w:numPr>
        <w:spacing w:after="0"/>
      </w:pPr>
      <w:r>
        <w:t>OBIS</w:t>
      </w:r>
    </w:p>
    <w:p w14:paraId="23BC437F" w14:textId="0344E217" w:rsidR="00BD0316" w:rsidRDefault="0026383A" w:rsidP="00BD0316">
      <w:pPr>
        <w:pStyle w:val="Body"/>
        <w:numPr>
          <w:ilvl w:val="1"/>
          <w:numId w:val="39"/>
        </w:numPr>
        <w:spacing w:after="0"/>
      </w:pPr>
      <w:hyperlink r:id="rId22">
        <w:r w:rsidR="00BD0316" w:rsidRPr="5ABB0D50">
          <w:rPr>
            <w:rStyle w:val="Hyperlink"/>
          </w:rPr>
          <w:t>Queen Charlotte Sound Bottom Synoptic Trawl Survey</w:t>
        </w:r>
      </w:hyperlink>
    </w:p>
    <w:p w14:paraId="52C51241" w14:textId="04A23DBD" w:rsidR="00BD0316" w:rsidRDefault="0026383A" w:rsidP="00BD0316">
      <w:pPr>
        <w:pStyle w:val="Body"/>
        <w:numPr>
          <w:ilvl w:val="1"/>
          <w:numId w:val="39"/>
        </w:numPr>
        <w:spacing w:after="0"/>
      </w:pPr>
      <w:hyperlink r:id="rId23">
        <w:r w:rsidR="00BD0316" w:rsidRPr="5ABB0D50">
          <w:rPr>
            <w:rStyle w:val="Hyperlink"/>
          </w:rPr>
          <w:t>West Coast Vancouver Island Synoptic Trawl Survey</w:t>
        </w:r>
      </w:hyperlink>
    </w:p>
    <w:p w14:paraId="0FECBE8E" w14:textId="5F2723AC" w:rsidR="00BD0316" w:rsidRDefault="0026383A" w:rsidP="00BD0316">
      <w:pPr>
        <w:pStyle w:val="Body"/>
        <w:numPr>
          <w:ilvl w:val="1"/>
          <w:numId w:val="39"/>
        </w:numPr>
        <w:spacing w:after="0"/>
      </w:pPr>
      <w:hyperlink r:id="rId24">
        <w:r w:rsidR="00BD0316" w:rsidRPr="5ABB0D50">
          <w:rPr>
            <w:rStyle w:val="Hyperlink"/>
          </w:rPr>
          <w:t>Hecate Strait Synoptic Trawl Survey</w:t>
        </w:r>
      </w:hyperlink>
    </w:p>
    <w:p w14:paraId="4CF862EE" w14:textId="7B906E2A" w:rsidR="00BD0316" w:rsidRDefault="0026383A" w:rsidP="00BD0316">
      <w:pPr>
        <w:pStyle w:val="Body"/>
        <w:numPr>
          <w:ilvl w:val="1"/>
          <w:numId w:val="39"/>
        </w:numPr>
        <w:spacing w:after="0"/>
      </w:pPr>
      <w:hyperlink r:id="rId25">
        <w:r w:rsidR="00BD0316" w:rsidRPr="5ABB0D50">
          <w:rPr>
            <w:rStyle w:val="Hyperlink"/>
          </w:rPr>
          <w:t xml:space="preserve">West Coast </w:t>
        </w:r>
        <w:proofErr w:type="spellStart"/>
        <w:r w:rsidR="00BD0316" w:rsidRPr="5ABB0D50">
          <w:rPr>
            <w:rStyle w:val="Hyperlink"/>
          </w:rPr>
          <w:t>Haida</w:t>
        </w:r>
        <w:proofErr w:type="spellEnd"/>
        <w:r w:rsidR="00BD0316" w:rsidRPr="5ABB0D50">
          <w:rPr>
            <w:rStyle w:val="Hyperlink"/>
          </w:rPr>
          <w:t xml:space="preserve"> </w:t>
        </w:r>
        <w:proofErr w:type="spellStart"/>
        <w:r w:rsidR="00BD0316" w:rsidRPr="5ABB0D50">
          <w:rPr>
            <w:rStyle w:val="Hyperlink"/>
          </w:rPr>
          <w:t>Gwaii</w:t>
        </w:r>
        <w:proofErr w:type="spellEnd"/>
        <w:r w:rsidR="00BD0316" w:rsidRPr="5ABB0D50">
          <w:rPr>
            <w:rStyle w:val="Hyperlink"/>
          </w:rPr>
          <w:t xml:space="preserve"> Synoptic Trawl Survey</w:t>
        </w:r>
      </w:hyperlink>
    </w:p>
    <w:p w14:paraId="02676B6B" w14:textId="6EDF395E" w:rsidR="00BD0316" w:rsidRDefault="0026383A" w:rsidP="00BD0316">
      <w:pPr>
        <w:pStyle w:val="Body"/>
        <w:numPr>
          <w:ilvl w:val="1"/>
          <w:numId w:val="39"/>
        </w:numPr>
        <w:spacing w:after="0"/>
      </w:pPr>
      <w:hyperlink r:id="rId26">
        <w:r w:rsidR="00BD0316" w:rsidRPr="5ABB0D50">
          <w:rPr>
            <w:rStyle w:val="Hyperlink"/>
          </w:rPr>
          <w:t>Strait of Georgia Synoptic Trawl Survey</w:t>
        </w:r>
      </w:hyperlink>
    </w:p>
    <w:p w14:paraId="4FEB0E1C" w14:textId="04A8AB96" w:rsidR="00BD0316" w:rsidRDefault="0026383A" w:rsidP="00BD0316">
      <w:pPr>
        <w:pStyle w:val="Body"/>
        <w:numPr>
          <w:ilvl w:val="1"/>
          <w:numId w:val="39"/>
        </w:numPr>
        <w:spacing w:after="0"/>
      </w:pPr>
      <w:hyperlink r:id="rId27">
        <w:r w:rsidR="00BD0316" w:rsidRPr="5ABB0D50">
          <w:rPr>
            <w:rStyle w:val="Hyperlink"/>
          </w:rPr>
          <w:t>Inside North Hard Bottom Longline Survey</w:t>
        </w:r>
      </w:hyperlink>
    </w:p>
    <w:p w14:paraId="4C4D4E50" w14:textId="55CB4446" w:rsidR="00BD0316" w:rsidRDefault="0026383A" w:rsidP="00BD0316">
      <w:pPr>
        <w:pStyle w:val="Body"/>
        <w:numPr>
          <w:ilvl w:val="1"/>
          <w:numId w:val="39"/>
        </w:numPr>
        <w:spacing w:after="0"/>
      </w:pPr>
      <w:hyperlink r:id="rId28">
        <w:r w:rsidR="00BD0316" w:rsidRPr="5ABB0D50">
          <w:rPr>
            <w:rStyle w:val="Hyperlink"/>
          </w:rPr>
          <w:t>Inside South Hard Bottom Longline Survey</w:t>
        </w:r>
      </w:hyperlink>
    </w:p>
    <w:p w14:paraId="135829D6" w14:textId="720726C4" w:rsidR="00BD0316" w:rsidRDefault="0026383A" w:rsidP="00BD0316">
      <w:pPr>
        <w:pStyle w:val="Body"/>
        <w:numPr>
          <w:ilvl w:val="1"/>
          <w:numId w:val="39"/>
        </w:numPr>
        <w:spacing w:after="0"/>
      </w:pPr>
      <w:hyperlink r:id="rId29">
        <w:r w:rsidR="00BD0316" w:rsidRPr="5ABB0D50">
          <w:rPr>
            <w:rStyle w:val="Hyperlink"/>
          </w:rPr>
          <w:t>Outside North Hard Bottom Longline Survey</w:t>
        </w:r>
      </w:hyperlink>
    </w:p>
    <w:p w14:paraId="6786CC40" w14:textId="17671847" w:rsidR="00BD0316" w:rsidRDefault="0026383A" w:rsidP="00BD0316">
      <w:pPr>
        <w:pStyle w:val="Body"/>
        <w:numPr>
          <w:ilvl w:val="1"/>
          <w:numId w:val="39"/>
        </w:numPr>
        <w:spacing w:after="0"/>
      </w:pPr>
      <w:hyperlink r:id="rId30">
        <w:r w:rsidR="00BD0316" w:rsidRPr="5ABB0D50">
          <w:rPr>
            <w:rStyle w:val="Hyperlink"/>
          </w:rPr>
          <w:t>Outside South Hard Bottom Longline Survey</w:t>
        </w:r>
      </w:hyperlink>
    </w:p>
    <w:p w14:paraId="03B400C9" w14:textId="77777777" w:rsidR="00BD0316" w:rsidRDefault="00BD0316" w:rsidP="00BD0316">
      <w:pPr>
        <w:pStyle w:val="Body"/>
        <w:spacing w:after="0"/>
      </w:pPr>
    </w:p>
    <w:p w14:paraId="7A5764C0" w14:textId="393F0487" w:rsidR="00E878D1" w:rsidRDefault="00395A20" w:rsidP="00F71090">
      <w:pPr>
        <w:pStyle w:val="Body"/>
      </w:pPr>
      <w:r>
        <w:t xml:space="preserve">All the </w:t>
      </w:r>
      <w:r w:rsidR="00D549D8">
        <w:t xml:space="preserve">core </w:t>
      </w:r>
      <w:r>
        <w:t>surveys follow similar random depth-stratified designs and have in common full enumeration of the catches (all catch sorted to the lowest taxon possible), size composition sampling for most species, and more detailed biological sampling of selected species. Most of the surveys are conducted in collaboration with the commercial fishing industry under the authorities of various Collaborative Agreements. In addition to these randomized surveys, a fixed-station longline hook survey targeting North Pacific Spiny Dogfish in the Strait of Georgia is completed every</w:t>
      </w:r>
      <w:r w:rsidR="00A329C8">
        <w:t xml:space="preserve"> two to</w:t>
      </w:r>
      <w:r>
        <w:t xml:space="preserve"> three years. The Groundfish section also routinely participates in the Canadian portion of the Joint Canada US Hake </w:t>
      </w:r>
      <w:r w:rsidR="00DC26A3">
        <w:t>Acoustic</w:t>
      </w:r>
      <w:r>
        <w:t xml:space="preserve"> Survey</w:t>
      </w:r>
      <w:r w:rsidR="008516E0">
        <w:t xml:space="preserve"> and </w:t>
      </w:r>
      <w:r>
        <w:t xml:space="preserve">collects groundfish information from a DFO Small-Mesh Bottom Trawl Survey </w:t>
      </w:r>
      <w:r w:rsidR="006D04C4">
        <w:t>(</w:t>
      </w:r>
      <w:r>
        <w:fldChar w:fldCharType="begin"/>
      </w:r>
      <w:r>
        <w:instrText xml:space="preserve"> REF _Ref45010577 \h </w:instrText>
      </w:r>
      <w:r>
        <w:fldChar w:fldCharType="separate"/>
      </w:r>
      <w:r w:rsidR="001D067D">
        <w:t xml:space="preserve">Figure </w:t>
      </w:r>
      <w:r w:rsidR="001D067D" w:rsidRPr="5ABB0D50">
        <w:rPr>
          <w:noProof/>
        </w:rPr>
        <w:t>2</w:t>
      </w:r>
      <w:r>
        <w:fldChar w:fldCharType="end"/>
      </w:r>
      <w:r>
        <w:t>)</w:t>
      </w:r>
      <w:r w:rsidR="00E878D1">
        <w:t>.</w:t>
      </w:r>
    </w:p>
    <w:p w14:paraId="70DF9E56" w14:textId="77777777" w:rsidR="00395A20" w:rsidRPr="00F71090" w:rsidRDefault="00A878B6" w:rsidP="00E878D1">
      <w:pPr>
        <w:pStyle w:val="Body"/>
        <w:jc w:val="center"/>
      </w:pPr>
      <w:r>
        <w:rPr>
          <w:noProof/>
          <w:lang w:val="en-US"/>
        </w:rPr>
        <w:drawing>
          <wp:inline distT="0" distB="0" distL="0" distR="0" wp14:anchorId="2041BF72" wp14:editId="4539BBB5">
            <wp:extent cx="5943600" cy="4594860"/>
            <wp:effectExtent l="0" t="0" r="0" b="0"/>
            <wp:docPr id="824527699" name="Picture 82452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192140"/>
                    <pic:cNvPicPr/>
                  </pic:nvPicPr>
                  <pic:blipFill>
                    <a:blip r:embed="rId31">
                      <a:extLst>
                        <a:ext uri="{28A0092B-C50C-407E-A947-70E740481C1C}">
                          <a14:useLocalDpi xmlns:a14="http://schemas.microsoft.com/office/drawing/2010/main" val="0"/>
                        </a:ext>
                      </a:extLst>
                    </a:blip>
                    <a:stretch>
                      <a:fillRect/>
                    </a:stretch>
                  </pic:blipFill>
                  <pic:spPr>
                    <a:xfrm>
                      <a:off x="0" y="0"/>
                      <a:ext cx="5943600" cy="4594860"/>
                    </a:xfrm>
                    <a:prstGeom prst="rect">
                      <a:avLst/>
                    </a:prstGeom>
                  </pic:spPr>
                </pic:pic>
              </a:graphicData>
            </a:graphic>
          </wp:inline>
        </w:drawing>
      </w:r>
    </w:p>
    <w:p w14:paraId="1FB5E1E9" w14:textId="08872A3F" w:rsidR="00395A20" w:rsidRPr="00F71090" w:rsidRDefault="006D04C4" w:rsidP="006D04C4">
      <w:pPr>
        <w:pStyle w:val="Caption"/>
      </w:pPr>
      <w:bookmarkStart w:id="6" w:name="_Ref45010519"/>
      <w:r>
        <w:t xml:space="preserve">Figure </w:t>
      </w:r>
      <w:r>
        <w:fldChar w:fldCharType="begin"/>
      </w:r>
      <w:r>
        <w:instrText>SEQ Figure \* ARABIC</w:instrText>
      </w:r>
      <w:r>
        <w:fldChar w:fldCharType="separate"/>
      </w:r>
      <w:r w:rsidR="001D067D" w:rsidRPr="5ABB0D50">
        <w:rPr>
          <w:noProof/>
        </w:rPr>
        <w:t>1</w:t>
      </w:r>
      <w:r>
        <w:fldChar w:fldCharType="end"/>
      </w:r>
      <w:bookmarkEnd w:id="6"/>
      <w:r>
        <w:t xml:space="preserve">. </w:t>
      </w:r>
      <w:r w:rsidR="00395A20">
        <w:t>Random depth-stratified survey coverage.</w:t>
      </w:r>
    </w:p>
    <w:p w14:paraId="44E871BC" w14:textId="46F977A2" w:rsidR="00395A20" w:rsidRPr="00F71090" w:rsidRDefault="008516E0" w:rsidP="00F71090">
      <w:pPr>
        <w:pStyle w:val="Body"/>
      </w:pPr>
      <w:r>
        <w:rPr>
          <w:noProof/>
          <w:lang w:val="en-US"/>
        </w:rPr>
        <w:lastRenderedPageBreak/>
        <w:drawing>
          <wp:inline distT="0" distB="0" distL="0" distR="0" wp14:anchorId="0E1DB8FD" wp14:editId="78E1D8F4">
            <wp:extent cx="5935978" cy="4587238"/>
            <wp:effectExtent l="0" t="0" r="7620" b="3810"/>
            <wp:docPr id="1" name="Picture 1" descr="non_random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5935978" cy="4587238"/>
                    </a:xfrm>
                    <a:prstGeom prst="rect">
                      <a:avLst/>
                    </a:prstGeom>
                  </pic:spPr>
                </pic:pic>
              </a:graphicData>
            </a:graphic>
          </wp:inline>
        </w:drawing>
      </w:r>
    </w:p>
    <w:p w14:paraId="39E48ED6" w14:textId="15F44AC1" w:rsidR="00395A20" w:rsidRPr="00F71090" w:rsidRDefault="006D04C4" w:rsidP="006D04C4">
      <w:pPr>
        <w:pStyle w:val="Caption"/>
      </w:pPr>
      <w:bookmarkStart w:id="7" w:name="_Ref45010577"/>
      <w:r>
        <w:t xml:space="preserve">Figure </w:t>
      </w:r>
      <w:r>
        <w:fldChar w:fldCharType="begin"/>
      </w:r>
      <w:r>
        <w:instrText>SEQ Figure \* ARABIC</w:instrText>
      </w:r>
      <w:r>
        <w:fldChar w:fldCharType="separate"/>
      </w:r>
      <w:r w:rsidR="001D067D" w:rsidRPr="5ABB0D50">
        <w:rPr>
          <w:noProof/>
        </w:rPr>
        <w:t>2</w:t>
      </w:r>
      <w:r>
        <w:fldChar w:fldCharType="end"/>
      </w:r>
      <w:bookmarkEnd w:id="7"/>
      <w:r>
        <w:t xml:space="preserve">. </w:t>
      </w:r>
      <w:r w:rsidR="00395A20">
        <w:t>Non-random depth-stratified surveys that form part of the Groundfish</w:t>
      </w:r>
      <w:r w:rsidR="008516E0">
        <w:t xml:space="preserve"> fishing</w:t>
      </w:r>
      <w:r w:rsidR="00395A20">
        <w:t xml:space="preserve"> surveys program including the Multispecies Small-mesh Bottom Trawl Survey, the Pacific Hake </w:t>
      </w:r>
      <w:r w:rsidR="00F10E7E">
        <w:t>A</w:t>
      </w:r>
      <w:r w:rsidR="008516E0">
        <w:t xml:space="preserve">coustic Survey, </w:t>
      </w:r>
      <w:r w:rsidR="00395A20">
        <w:t>and the Strait of Georgia Dogfish Longline Hook Survey.</w:t>
      </w:r>
    </w:p>
    <w:p w14:paraId="4087B516" w14:textId="5DBC023D" w:rsidR="00E878D1" w:rsidRDefault="65D65086" w:rsidP="00F71090">
      <w:pPr>
        <w:pStyle w:val="Body"/>
      </w:pPr>
      <w:r>
        <w:t xml:space="preserve">The </w:t>
      </w:r>
      <w:r w:rsidRPr="1155EF1C">
        <w:rPr>
          <w:b/>
          <w:bCs/>
        </w:rPr>
        <w:t>Multispecies Synoptic Bottom Trawl Surveys</w:t>
      </w:r>
      <w:r>
        <w:t xml:space="preserve"> are conducted in four areas of the BC coast with two areas surveyed each year such that the whole coast is </w:t>
      </w:r>
      <w:r w:rsidR="560F5A80">
        <w:t>covered</w:t>
      </w:r>
      <w:r>
        <w:t xml:space="preserve"> over a two-year period. Typically, the West Coast of Vancouver Island (WCVI) and West Coast of </w:t>
      </w:r>
      <w:proofErr w:type="spellStart"/>
      <w:r>
        <w:t>Haida</w:t>
      </w:r>
      <w:proofErr w:type="spellEnd"/>
      <w:r>
        <w:t xml:space="preserve"> </w:t>
      </w:r>
      <w:proofErr w:type="spellStart"/>
      <w:r>
        <w:t>Gwaii</w:t>
      </w:r>
      <w:proofErr w:type="spellEnd"/>
      <w:r>
        <w:t xml:space="preserve"> (WCHG) are surveyed in </w:t>
      </w:r>
      <w:r w:rsidR="0F512A51">
        <w:t>even-numbered years</w:t>
      </w:r>
      <w:r>
        <w:t xml:space="preserve"> while Hecate Strait (HS) and Queen Charlotte Sound (QCS) are surveyed in odd-numbered years (</w:t>
      </w:r>
      <w:r w:rsidR="00395A20">
        <w:fldChar w:fldCharType="begin"/>
      </w:r>
      <w:r w:rsidR="00395A20">
        <w:instrText xml:space="preserve"> REF _Ref45010601 \h </w:instrText>
      </w:r>
      <w:r w:rsidR="00395A20">
        <w:fldChar w:fldCharType="separate"/>
      </w:r>
      <w:r w:rsidR="33659B81">
        <w:t xml:space="preserve">Figure </w:t>
      </w:r>
      <w:r w:rsidR="33659B81" w:rsidRPr="1155EF1C">
        <w:rPr>
          <w:noProof/>
        </w:rPr>
        <w:t>3</w:t>
      </w:r>
      <w:r w:rsidR="00395A20">
        <w:fldChar w:fldCharType="end"/>
      </w:r>
      <w:r>
        <w:t>). An additional synoptic bottom trawl survey has been conducted twice</w:t>
      </w:r>
      <w:r w:rsidR="7C4DA6BE">
        <w:t xml:space="preserve"> in the Strait of Georgia (SOG)</w:t>
      </w:r>
      <w:r w:rsidR="2740F809">
        <w:t>,</w:t>
      </w:r>
      <w:r>
        <w:t xml:space="preserve"> but vessel availability and staffing constraints have precluded establishing a regular schedule</w:t>
      </w:r>
      <w:r w:rsidR="263C6612">
        <w:t>.</w:t>
      </w:r>
    </w:p>
    <w:p w14:paraId="113FAAE2" w14:textId="4BFB350A" w:rsidR="00395A20" w:rsidRPr="00F71090" w:rsidRDefault="00395A20" w:rsidP="00F71090">
      <w:pPr>
        <w:pStyle w:val="Body"/>
      </w:pPr>
      <w:r>
        <w:t xml:space="preserve">These surveys are conducted under a collaborative agreement with the Canadian Groundfish Research and Conservation Society (CGRCS) and, in typical years, one survey occurs on a Canadian Coast Guard Vessel </w:t>
      </w:r>
      <w:r w:rsidR="00D549D8">
        <w:t xml:space="preserve">with DFO staff while </w:t>
      </w:r>
      <w:r>
        <w:t>one survey occurs on a chartered commercial fishing vessel</w:t>
      </w:r>
      <w:r w:rsidR="00BD2D44">
        <w:t xml:space="preserve"> with a mix of DFO staff and contracted </w:t>
      </w:r>
      <w:r w:rsidR="00A85458">
        <w:t>technicians</w:t>
      </w:r>
      <w:r w:rsidR="00E878D1">
        <w:t xml:space="preserve">. </w:t>
      </w:r>
      <w:r>
        <w:t xml:space="preserve">In aggregate, the surveys provide coast-wide coverage of most of the </w:t>
      </w:r>
      <w:proofErr w:type="spellStart"/>
      <w:r>
        <w:t>trawlable</w:t>
      </w:r>
      <w:proofErr w:type="spellEnd"/>
      <w:r>
        <w:t xml:space="preserve"> habitat between 50 and 500 meters depth.</w:t>
      </w:r>
    </w:p>
    <w:p w14:paraId="144A5D23" w14:textId="77777777" w:rsidR="00395A20" w:rsidRPr="00F71090" w:rsidRDefault="00A878B6" w:rsidP="00F71090">
      <w:pPr>
        <w:pStyle w:val="Body"/>
      </w:pPr>
      <w:r>
        <w:rPr>
          <w:noProof/>
          <w:lang w:val="en-US"/>
        </w:rPr>
        <w:lastRenderedPageBreak/>
        <w:drawing>
          <wp:inline distT="0" distB="0" distL="0" distR="0" wp14:anchorId="12850297" wp14:editId="28E31476">
            <wp:extent cx="5943600" cy="4594860"/>
            <wp:effectExtent l="0" t="0" r="0" b="0"/>
            <wp:docPr id="1639414883" name="Picture 163941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40438"/>
                    <pic:cNvPicPr/>
                  </pic:nvPicPr>
                  <pic:blipFill>
                    <a:blip r:embed="rId33">
                      <a:extLst>
                        <a:ext uri="{28A0092B-C50C-407E-A947-70E740481C1C}">
                          <a14:useLocalDpi xmlns:a14="http://schemas.microsoft.com/office/drawing/2010/main" val="0"/>
                        </a:ext>
                      </a:extLst>
                    </a:blip>
                    <a:stretch>
                      <a:fillRect/>
                    </a:stretch>
                  </pic:blipFill>
                  <pic:spPr>
                    <a:xfrm>
                      <a:off x="0" y="0"/>
                      <a:ext cx="5943600" cy="4594860"/>
                    </a:xfrm>
                    <a:prstGeom prst="rect">
                      <a:avLst/>
                    </a:prstGeom>
                  </pic:spPr>
                </pic:pic>
              </a:graphicData>
            </a:graphic>
          </wp:inline>
        </w:drawing>
      </w:r>
    </w:p>
    <w:p w14:paraId="139BCB12" w14:textId="4156474F" w:rsidR="00395A20" w:rsidRPr="00F71090" w:rsidRDefault="006D04C4" w:rsidP="006D04C4">
      <w:pPr>
        <w:pStyle w:val="Caption"/>
      </w:pPr>
      <w:bookmarkStart w:id="8" w:name="_Ref45010601"/>
      <w:r>
        <w:t xml:space="preserve">Figure </w:t>
      </w:r>
      <w:r>
        <w:fldChar w:fldCharType="begin"/>
      </w:r>
      <w:r>
        <w:instrText>SEQ Figure \* ARABIC</w:instrText>
      </w:r>
      <w:r>
        <w:fldChar w:fldCharType="separate"/>
      </w:r>
      <w:r w:rsidR="001D067D" w:rsidRPr="5ABB0D50">
        <w:rPr>
          <w:noProof/>
        </w:rPr>
        <w:t>3</w:t>
      </w:r>
      <w:r>
        <w:fldChar w:fldCharType="end"/>
      </w:r>
      <w:bookmarkEnd w:id="8"/>
      <w:r>
        <w:t xml:space="preserve">. </w:t>
      </w:r>
      <w:r w:rsidR="009C7C9D">
        <w:t>Multispecies</w:t>
      </w:r>
      <w:r w:rsidR="00395A20">
        <w:t xml:space="preserve"> Synoptic Bottom Trawl Survey coverage.</w:t>
      </w:r>
    </w:p>
    <w:p w14:paraId="79254BDB" w14:textId="64906DE0" w:rsidR="00D549D8" w:rsidRDefault="00F60150" w:rsidP="00F71090">
      <w:pPr>
        <w:pStyle w:val="Body"/>
      </w:pPr>
      <w:r>
        <w:t>The</w:t>
      </w:r>
      <w:r w:rsidR="00A329C8">
        <w:t xml:space="preserve"> </w:t>
      </w:r>
      <w:r w:rsidR="008516E0">
        <w:t xml:space="preserve">WCVI and </w:t>
      </w:r>
      <w:r w:rsidR="00A329C8">
        <w:t xml:space="preserve">WCHG </w:t>
      </w:r>
      <w:r w:rsidR="00CA30A6">
        <w:t xml:space="preserve">Synoptic Bottom Trawl </w:t>
      </w:r>
      <w:r w:rsidR="008516E0">
        <w:t xml:space="preserve">surveys were all conducted in </w:t>
      </w:r>
      <w:r w:rsidR="00A329C8">
        <w:t>2022</w:t>
      </w:r>
      <w:r w:rsidR="008516E0">
        <w:t xml:space="preserve">. The </w:t>
      </w:r>
      <w:r w:rsidR="00A329C8">
        <w:t>WCVI</w:t>
      </w:r>
      <w:r w:rsidR="008516E0">
        <w:t xml:space="preserve"> survey was completed on the </w:t>
      </w:r>
      <w:r w:rsidR="00005692">
        <w:t xml:space="preserve">research vessel </w:t>
      </w:r>
      <w:r w:rsidR="008516E0">
        <w:t xml:space="preserve">Sir John Franklin from mid-May to mid-June while the </w:t>
      </w:r>
      <w:r w:rsidR="00A329C8">
        <w:t>WCHG</w:t>
      </w:r>
      <w:r w:rsidR="008516E0">
        <w:t xml:space="preserve"> survey w</w:t>
      </w:r>
      <w:r w:rsidR="00A329C8">
        <w:t xml:space="preserve">as </w:t>
      </w:r>
      <w:r w:rsidR="008516E0">
        <w:t xml:space="preserve">completed on the </w:t>
      </w:r>
      <w:r w:rsidR="00005692">
        <w:t xml:space="preserve">chartered commercial trawl vessel </w:t>
      </w:r>
      <w:r w:rsidR="008516E0">
        <w:t xml:space="preserve">Nordic Pearl from </w:t>
      </w:r>
      <w:r w:rsidR="00A329C8">
        <w:t>mid-August to mid-September</w:t>
      </w:r>
      <w:r w:rsidR="008516E0">
        <w:t xml:space="preserve">. A total of </w:t>
      </w:r>
      <w:r w:rsidR="00A329C8">
        <w:t>233</w:t>
      </w:r>
      <w:r w:rsidR="008516E0">
        <w:t xml:space="preserve"> successful tows were completed over the </w:t>
      </w:r>
      <w:r w:rsidR="00A329C8">
        <w:t>two</w:t>
      </w:r>
      <w:r w:rsidR="008516E0">
        <w:t xml:space="preserve"> surveys with </w:t>
      </w:r>
      <w:r w:rsidR="00A329C8">
        <w:t>126</w:t>
      </w:r>
      <w:r w:rsidR="008516E0">
        <w:t xml:space="preserve"> in </w:t>
      </w:r>
      <w:r w:rsidR="00A329C8">
        <w:t>WCVI and 107 in WCHG</w:t>
      </w:r>
      <w:r w:rsidR="008516E0">
        <w:t xml:space="preserve"> (</w:t>
      </w:r>
      <w:r>
        <w:fldChar w:fldCharType="begin"/>
      </w:r>
      <w:r>
        <w:instrText xml:space="preserve"> REF _Ref45014532 \h </w:instrText>
      </w:r>
      <w:r>
        <w:fldChar w:fldCharType="separate"/>
      </w:r>
      <w:r w:rsidR="001D067D">
        <w:t xml:space="preserve">Figure </w:t>
      </w:r>
      <w:r w:rsidR="001D067D" w:rsidRPr="5ABB0D50">
        <w:rPr>
          <w:noProof/>
        </w:rPr>
        <w:t>4</w:t>
      </w:r>
      <w:r>
        <w:fldChar w:fldCharType="end"/>
      </w:r>
      <w:r w:rsidR="00395A20">
        <w:t xml:space="preserve">). </w:t>
      </w:r>
      <w:r>
        <w:t xml:space="preserve">The </w:t>
      </w:r>
      <w:r w:rsidR="00395A20">
        <w:t xml:space="preserve">dominant species in the </w:t>
      </w:r>
      <w:r w:rsidR="00A329C8">
        <w:t>WCVI</w:t>
      </w:r>
      <w:r w:rsidR="00D549D8">
        <w:t xml:space="preserve"> survey </w:t>
      </w:r>
      <w:r w:rsidR="00395A20">
        <w:t>catch</w:t>
      </w:r>
      <w:r w:rsidR="00D549D8">
        <w:t>es</w:t>
      </w:r>
      <w:r w:rsidR="00395A20">
        <w:t xml:space="preserve"> were</w:t>
      </w:r>
      <w:r w:rsidR="00A329C8">
        <w:t xml:space="preserve"> </w:t>
      </w:r>
      <w:r w:rsidR="00A329C8" w:rsidRPr="00A329C8">
        <w:t>Pacific Ocean Perch (</w:t>
      </w:r>
      <w:r w:rsidR="00A329C8" w:rsidRPr="00A329C8">
        <w:rPr>
          <w:i/>
          <w:iCs/>
        </w:rPr>
        <w:t>Sebastes alutus</w:t>
      </w:r>
      <w:r w:rsidR="00A329C8" w:rsidRPr="00A329C8">
        <w:t>), Sharpchin Rockfish (</w:t>
      </w:r>
      <w:r w:rsidR="00A329C8" w:rsidRPr="00A329C8">
        <w:rPr>
          <w:i/>
          <w:iCs/>
        </w:rPr>
        <w:t>Sebastes zacentrus</w:t>
      </w:r>
      <w:r w:rsidR="00A329C8" w:rsidRPr="00A329C8">
        <w:t>), Arrowtooth Flounder (</w:t>
      </w:r>
      <w:r w:rsidR="00A329C8" w:rsidRPr="00A329C8">
        <w:rPr>
          <w:i/>
          <w:iCs/>
        </w:rPr>
        <w:t>Atheresthes stomias</w:t>
      </w:r>
      <w:r w:rsidR="00A329C8" w:rsidRPr="00A329C8">
        <w:t xml:space="preserve">), </w:t>
      </w:r>
      <w:r w:rsidR="00A333DA">
        <w:t xml:space="preserve">and </w:t>
      </w:r>
      <w:r w:rsidR="00A329C8" w:rsidRPr="00A329C8">
        <w:t>Rex Sole (</w:t>
      </w:r>
      <w:r w:rsidR="00A329C8" w:rsidRPr="00A329C8">
        <w:rPr>
          <w:i/>
          <w:iCs/>
        </w:rPr>
        <w:t>Glyptocephalus zachirus</w:t>
      </w:r>
      <w:r w:rsidR="00A329C8" w:rsidRPr="00A329C8">
        <w:t>)</w:t>
      </w:r>
      <w:r w:rsidR="00D549D8">
        <w:t xml:space="preserve">. The dominant species in the </w:t>
      </w:r>
      <w:r w:rsidR="00A329C8">
        <w:t>WCHG</w:t>
      </w:r>
      <w:r w:rsidR="00D549D8">
        <w:t xml:space="preserve"> survey catches were</w:t>
      </w:r>
      <w:r w:rsidR="00A329C8">
        <w:t xml:space="preserve"> </w:t>
      </w:r>
      <w:r w:rsidR="00A329C8" w:rsidRPr="00A329C8">
        <w:t>Pacific Ocean Perch (</w:t>
      </w:r>
      <w:r w:rsidR="00A329C8" w:rsidRPr="00A329C8">
        <w:rPr>
          <w:i/>
          <w:iCs/>
        </w:rPr>
        <w:t>Sebastes alutus</w:t>
      </w:r>
      <w:r w:rsidR="00A329C8" w:rsidRPr="00A329C8">
        <w:t xml:space="preserve">), </w:t>
      </w:r>
      <w:r w:rsidR="00A329C8" w:rsidRPr="00307465">
        <w:rPr>
          <w:iCs/>
        </w:rPr>
        <w:t>Redstripe</w:t>
      </w:r>
      <w:r w:rsidR="00A329C8" w:rsidRPr="00A329C8">
        <w:rPr>
          <w:i/>
          <w:iCs/>
        </w:rPr>
        <w:t xml:space="preserve"> </w:t>
      </w:r>
      <w:r w:rsidR="00A329C8" w:rsidRPr="00307465">
        <w:t>Rockfish</w:t>
      </w:r>
      <w:r w:rsidR="00A329C8" w:rsidRPr="00A329C8">
        <w:t xml:space="preserve"> (</w:t>
      </w:r>
      <w:r w:rsidR="00A329C8" w:rsidRPr="00307465">
        <w:rPr>
          <w:i/>
          <w:iCs/>
        </w:rPr>
        <w:t>Sebastes</w:t>
      </w:r>
      <w:r w:rsidR="00A329C8" w:rsidRPr="00A329C8">
        <w:t xml:space="preserve"> </w:t>
      </w:r>
      <w:r w:rsidR="00A329C8" w:rsidRPr="00A333DA">
        <w:rPr>
          <w:i/>
          <w:iCs/>
        </w:rPr>
        <w:t>proriger</w:t>
      </w:r>
      <w:r w:rsidR="00A329C8" w:rsidRPr="00A329C8">
        <w:t>), Sharpchin Rockfish (</w:t>
      </w:r>
      <w:r w:rsidR="00A329C8" w:rsidRPr="00A329C8">
        <w:rPr>
          <w:i/>
          <w:iCs/>
        </w:rPr>
        <w:t>Sebastes zacentrus</w:t>
      </w:r>
      <w:r w:rsidR="00A329C8" w:rsidRPr="00A329C8">
        <w:t xml:space="preserve">), </w:t>
      </w:r>
      <w:r w:rsidR="00A333DA">
        <w:t xml:space="preserve">and </w:t>
      </w:r>
      <w:r w:rsidR="00A329C8" w:rsidRPr="00A329C8">
        <w:t>Silvergray Rockfish (</w:t>
      </w:r>
      <w:r w:rsidR="00A329C8" w:rsidRPr="00A329C8">
        <w:rPr>
          <w:i/>
          <w:iCs/>
        </w:rPr>
        <w:t>Sebastes brevispinis</w:t>
      </w:r>
      <w:r w:rsidR="00A329C8" w:rsidRPr="00A329C8">
        <w:t>)</w:t>
      </w:r>
      <w:r w:rsidR="00D549D8">
        <w:t>.</w:t>
      </w:r>
    </w:p>
    <w:p w14:paraId="5C65D5D7" w14:textId="77777777" w:rsidR="00D549D8" w:rsidRPr="00F71090" w:rsidRDefault="00D549D8" w:rsidP="00F71090">
      <w:pPr>
        <w:pStyle w:val="Body"/>
      </w:pPr>
    </w:p>
    <w:p w14:paraId="738610EB" w14:textId="11F6E3B0" w:rsidR="00395A20" w:rsidRPr="00F71090" w:rsidRDefault="00A329C8" w:rsidP="00F71090">
      <w:pPr>
        <w:pStyle w:val="Body"/>
      </w:pPr>
      <w:r>
        <w:rPr>
          <w:noProof/>
          <w:lang w:val="en-US"/>
        </w:rPr>
        <w:lastRenderedPageBreak/>
        <w:drawing>
          <wp:inline distT="0" distB="0" distL="0" distR="0" wp14:anchorId="4789823F" wp14:editId="2695F8D1">
            <wp:extent cx="5943600" cy="4592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50BFD45C" w14:textId="54D5E62B" w:rsidR="00395A20" w:rsidRPr="00F71090" w:rsidRDefault="006D04C4" w:rsidP="006D04C4">
      <w:pPr>
        <w:pStyle w:val="Caption"/>
      </w:pPr>
      <w:bookmarkStart w:id="9" w:name="_Ref45014532"/>
      <w:r>
        <w:t xml:space="preserve">Figure </w:t>
      </w:r>
      <w:r>
        <w:fldChar w:fldCharType="begin"/>
      </w:r>
      <w:r>
        <w:instrText>SEQ Figure \* ARABIC</w:instrText>
      </w:r>
      <w:r>
        <w:fldChar w:fldCharType="separate"/>
      </w:r>
      <w:r w:rsidR="001D067D" w:rsidRPr="5ABB0D50">
        <w:rPr>
          <w:noProof/>
        </w:rPr>
        <w:t>4</w:t>
      </w:r>
      <w:r>
        <w:fldChar w:fldCharType="end"/>
      </w:r>
      <w:bookmarkEnd w:id="9"/>
      <w:r>
        <w:t xml:space="preserve">. </w:t>
      </w:r>
      <w:r w:rsidR="00395A20">
        <w:t xml:space="preserve">Fishing locations of the </w:t>
      </w:r>
      <w:r w:rsidR="00A329C8">
        <w:t>2022</w:t>
      </w:r>
      <w:r w:rsidR="009E2DEF">
        <w:t xml:space="preserve"> Groundfish surveys</w:t>
      </w:r>
      <w:r w:rsidR="00D549D8">
        <w:t>.</w:t>
      </w:r>
    </w:p>
    <w:p w14:paraId="54F2D9F6" w14:textId="4CF59082" w:rsidR="00395A20" w:rsidRPr="00F71090" w:rsidRDefault="00395A20" w:rsidP="00F71090">
      <w:pPr>
        <w:pStyle w:val="Body"/>
      </w:pPr>
      <w:r>
        <w:t xml:space="preserve">The </w:t>
      </w:r>
      <w:r w:rsidRPr="5ABB0D50">
        <w:rPr>
          <w:b/>
          <w:bCs/>
        </w:rPr>
        <w:t>Hard Bottom Longline Hook (HBLL) Surveys</w:t>
      </w:r>
      <w:r>
        <w:t xml:space="preserve"> are conducted annually in “outside” waters (not between Vancouver Island and the mainland) and “inside” waters (between Vancouver Island and the mainland)</w:t>
      </w:r>
      <w:r w:rsidR="00E878D1">
        <w:t xml:space="preserve">. </w:t>
      </w:r>
      <w:r>
        <w:t>Both the “outside” and “inside” areas are divided into northern and southern reg</w:t>
      </w:r>
      <w:r w:rsidR="009B457D">
        <w:t>ions</w:t>
      </w:r>
      <w:r>
        <w:t xml:space="preserve"> and surveys annuall</w:t>
      </w:r>
      <w:r w:rsidR="009B457D">
        <w:t>y alternate between the regions</w:t>
      </w:r>
      <w:r>
        <w:t xml:space="preserve"> such that the whole coast is </w:t>
      </w:r>
      <w:r w:rsidR="00D549D8">
        <w:t>covered</w:t>
      </w:r>
      <w:r>
        <w:t xml:space="preserve"> over a two-year period</w:t>
      </w:r>
      <w:r w:rsidR="00E878D1">
        <w:t xml:space="preserve">. </w:t>
      </w:r>
      <w:r>
        <w:t xml:space="preserve">The outside surveys are conducted under a collaborative agreement with the Pacific Halibut Management Association (PHMA) and occur on chartered commercial </w:t>
      </w:r>
      <w:r w:rsidR="00CA30A6">
        <w:t xml:space="preserve">fishing </w:t>
      </w:r>
      <w:r>
        <w:t>vessels</w:t>
      </w:r>
      <w:r w:rsidR="00BD2D44">
        <w:t xml:space="preserve"> </w:t>
      </w:r>
      <w:r w:rsidR="00D549D8">
        <w:t>with</w:t>
      </w:r>
      <w:r w:rsidR="00BD2D44">
        <w:t xml:space="preserve"> contracted </w:t>
      </w:r>
      <w:r w:rsidR="00A85458">
        <w:t>technicians</w:t>
      </w:r>
      <w:r w:rsidR="00D549D8">
        <w:t>. T</w:t>
      </w:r>
      <w:r>
        <w:t>he inside surveys are conducted by DFO and occur on a Canadian Coast</w:t>
      </w:r>
      <w:r w:rsidR="00652CD6">
        <w:t xml:space="preserve"> G</w:t>
      </w:r>
      <w:r>
        <w:t>uard vessel</w:t>
      </w:r>
      <w:r w:rsidR="00D549D8">
        <w:t xml:space="preserve"> with DFO staff</w:t>
      </w:r>
      <w:r w:rsidR="00E878D1">
        <w:t xml:space="preserve">. </w:t>
      </w:r>
      <w:r>
        <w:t xml:space="preserve">In aggregate, the HBLL surveys provide coast-wide coverage of most of the </w:t>
      </w:r>
      <w:proofErr w:type="spellStart"/>
      <w:r>
        <w:t>untrawlable</w:t>
      </w:r>
      <w:proofErr w:type="spellEnd"/>
      <w:r>
        <w:t xml:space="preserve"> habitat between 20 and 220 meters depth.</w:t>
      </w:r>
    </w:p>
    <w:p w14:paraId="7C1B2168" w14:textId="6932FD92" w:rsidR="006C416D" w:rsidRDefault="00395A20" w:rsidP="00F71090">
      <w:pPr>
        <w:pStyle w:val="Body"/>
      </w:pPr>
      <w:r>
        <w:t xml:space="preserve">In </w:t>
      </w:r>
      <w:r w:rsidR="00A329C8">
        <w:t>2022</w:t>
      </w:r>
      <w:r>
        <w:t xml:space="preserve"> the </w:t>
      </w:r>
      <w:r w:rsidR="00A329C8">
        <w:t>southern</w:t>
      </w:r>
      <w:r>
        <w:t xml:space="preserve"> region</w:t>
      </w:r>
      <w:r w:rsidR="00A329C8">
        <w:t>s</w:t>
      </w:r>
      <w:r>
        <w:t xml:space="preserve"> of </w:t>
      </w:r>
      <w:r w:rsidR="00A329C8">
        <w:t xml:space="preserve">both </w:t>
      </w:r>
      <w:r>
        <w:t xml:space="preserve">the outside </w:t>
      </w:r>
      <w:r w:rsidR="00A329C8">
        <w:t xml:space="preserve">and inside areas </w:t>
      </w:r>
      <w:r w:rsidR="00D549D8">
        <w:t>were surveyed</w:t>
      </w:r>
      <w:r w:rsidR="00081209">
        <w:t xml:space="preserve"> (Figure 4)</w:t>
      </w:r>
      <w:r w:rsidR="00D549D8">
        <w:t>.</w:t>
      </w:r>
      <w:r w:rsidR="00081209">
        <w:t xml:space="preserve"> </w:t>
      </w:r>
      <w:r>
        <w:t>The outside HBLL survey was conducted on the chartered commercial longline vessels Banker II</w:t>
      </w:r>
      <w:r w:rsidR="006C416D">
        <w:t xml:space="preserve"> and </w:t>
      </w:r>
      <w:r>
        <w:t xml:space="preserve">Borealis </w:t>
      </w:r>
      <w:r w:rsidR="006C416D">
        <w:t>mid-</w:t>
      </w:r>
      <w:r w:rsidR="00081209">
        <w:t>July to mid-August</w:t>
      </w:r>
      <w:r>
        <w:t xml:space="preserve">. A total of </w:t>
      </w:r>
      <w:r w:rsidR="006C416D">
        <w:t>173</w:t>
      </w:r>
      <w:r>
        <w:t xml:space="preserve"> sets were completed</w:t>
      </w:r>
      <w:r w:rsidR="006C416D">
        <w:t xml:space="preserve"> and the dominant species were Yelloweye Rockfish (</w:t>
      </w:r>
      <w:r w:rsidR="006C416D" w:rsidRPr="006B78AB">
        <w:rPr>
          <w:i/>
        </w:rPr>
        <w:t>Sebastes ruberrimus</w:t>
      </w:r>
      <w:r w:rsidR="006C416D">
        <w:t>), Quillback Rockfish (</w:t>
      </w:r>
      <w:r w:rsidR="006C416D" w:rsidRPr="00C4385D">
        <w:rPr>
          <w:i/>
        </w:rPr>
        <w:t>Sebastes maliger</w:t>
      </w:r>
      <w:r w:rsidR="006C416D">
        <w:t>), Sablefish (</w:t>
      </w:r>
      <w:r w:rsidR="006C416D" w:rsidRPr="00D20AF7">
        <w:rPr>
          <w:i/>
          <w:iCs/>
        </w:rPr>
        <w:t>A</w:t>
      </w:r>
      <w:r w:rsidR="006C416D" w:rsidRPr="00C4385D">
        <w:rPr>
          <w:i/>
          <w:iCs/>
        </w:rPr>
        <w:t>noplopoma fimbria</w:t>
      </w:r>
      <w:r w:rsidR="006C416D">
        <w:t xml:space="preserve">), </w:t>
      </w:r>
      <w:r w:rsidR="00A333DA">
        <w:t xml:space="preserve">and </w:t>
      </w:r>
      <w:r w:rsidR="006C416D">
        <w:t>Pacific Halibut (</w:t>
      </w:r>
      <w:r w:rsidR="006C416D" w:rsidRPr="00C4385D">
        <w:rPr>
          <w:i/>
          <w:iCs/>
        </w:rPr>
        <w:t>Hippoglossus stenolepis</w:t>
      </w:r>
      <w:r w:rsidR="006C416D">
        <w:t>)</w:t>
      </w:r>
      <w:r w:rsidR="00081209">
        <w:t xml:space="preserve">. The inside surveys were conducted on the </w:t>
      </w:r>
      <w:r w:rsidR="00005692">
        <w:t xml:space="preserve">research vessel </w:t>
      </w:r>
      <w:r w:rsidR="00081209">
        <w:t xml:space="preserve">Neocaligus </w:t>
      </w:r>
      <w:r w:rsidR="006C416D">
        <w:t>during August</w:t>
      </w:r>
      <w:r w:rsidR="00081209">
        <w:t xml:space="preserve">. </w:t>
      </w:r>
      <w:r w:rsidR="00005692">
        <w:t xml:space="preserve">A total of </w:t>
      </w:r>
      <w:r w:rsidR="006C416D">
        <w:t>71 random</w:t>
      </w:r>
      <w:r w:rsidR="00005692">
        <w:t xml:space="preserve"> sets were completed and the dominant species in the catch were</w:t>
      </w:r>
      <w:r w:rsidR="006C416D">
        <w:t xml:space="preserve"> North Pacific Spiny </w:t>
      </w:r>
      <w:r w:rsidR="006C416D">
        <w:lastRenderedPageBreak/>
        <w:t>Dogfish (</w:t>
      </w:r>
      <w:r w:rsidR="006C416D" w:rsidRPr="001D06CA">
        <w:rPr>
          <w:i/>
        </w:rPr>
        <w:t>Squalus suckleyi</w:t>
      </w:r>
      <w:r w:rsidR="006C416D">
        <w:t>), Yelloweye Rockfish (</w:t>
      </w:r>
      <w:r w:rsidR="006C416D" w:rsidRPr="001D06CA">
        <w:rPr>
          <w:i/>
        </w:rPr>
        <w:t>Sebastes ruberrimus</w:t>
      </w:r>
      <w:r w:rsidR="006C416D">
        <w:t>), Quillback Rockfish (</w:t>
      </w:r>
      <w:r w:rsidR="006C416D" w:rsidRPr="001D06CA">
        <w:rPr>
          <w:i/>
        </w:rPr>
        <w:t>Sebastes maliger</w:t>
      </w:r>
      <w:r w:rsidR="006C416D">
        <w:t>), Longnose Skate (</w:t>
      </w:r>
      <w:r w:rsidR="006C416D" w:rsidRPr="00912468">
        <w:rPr>
          <w:i/>
          <w:iCs/>
        </w:rPr>
        <w:t>Raja rhina</w:t>
      </w:r>
      <w:r w:rsidR="006C416D">
        <w:t>), and Copper Rockfish (</w:t>
      </w:r>
      <w:r w:rsidR="006C416D" w:rsidRPr="00912468">
        <w:rPr>
          <w:i/>
          <w:iCs/>
        </w:rPr>
        <w:t>Sebastes caurinus</w:t>
      </w:r>
      <w:r w:rsidR="006C416D">
        <w:t>)</w:t>
      </w:r>
      <w:r w:rsidR="00005692">
        <w:t>.</w:t>
      </w:r>
    </w:p>
    <w:p w14:paraId="328BCAD2" w14:textId="3AC16852" w:rsidR="006C416D" w:rsidRPr="00F71090" w:rsidRDefault="006C416D" w:rsidP="00F71090">
      <w:pPr>
        <w:pStyle w:val="Body"/>
      </w:pPr>
      <w:r>
        <w:t>In addition to the standard randomized sets, the HBLL survey in the inside area included a comparative fishing experiment. This work was a continuation of the pilot work completed in 2019 and is intended to continue into 2023. The goal of this work is to help assess the option of replacing the North Pacific Spiny Dogfish abundance index from the quasi-triennial Strait of Georgia Dogfish (DOG) survey with one from the annual HBLL Inside survey. The ultimate goal is to stop conducting the October DOG survey but the two surveys differ not only in timing, locations and depth range, but also in the hook size, spacing, and bait. The 2022 comparative sets were deployed in the standard DOG sites and depths with both the DOG and HBLL gear and bait configurations. A total of 24 sets were completed.</w:t>
      </w:r>
    </w:p>
    <w:p w14:paraId="7B0D98DA" w14:textId="6BFF8EE7" w:rsidR="00E878D1" w:rsidRDefault="27C6E057" w:rsidP="00F71090">
      <w:pPr>
        <w:pStyle w:val="Body"/>
      </w:pPr>
      <w:r>
        <w:t xml:space="preserve">The </w:t>
      </w:r>
      <w:r w:rsidRPr="387816AB">
        <w:rPr>
          <w:b/>
          <w:bCs/>
        </w:rPr>
        <w:t>Sablefish Research and Assessment Survey</w:t>
      </w:r>
      <w:r>
        <w:t xml:space="preserve"> is an annual longline trap survey targeting </w:t>
      </w:r>
      <w:r w:rsidR="173BA632">
        <w:t>S</w:t>
      </w:r>
      <w:r>
        <w:t>ablefish</w:t>
      </w:r>
      <w:r w:rsidR="7A9A4D8D">
        <w:t xml:space="preserve">. </w:t>
      </w:r>
      <w:r>
        <w:t>This survey releases tagged Sablefish at randomly selected fishi</w:t>
      </w:r>
      <w:r w:rsidR="0055084D">
        <w:t>ng locations in offshore waters</w:t>
      </w:r>
      <w:r>
        <w:t xml:space="preserve"> as well as at fixed stations in four mainland inlets</w:t>
      </w:r>
      <w:r w:rsidR="7A9A4D8D">
        <w:t xml:space="preserve">. </w:t>
      </w:r>
      <w:r>
        <w:t>The survey also provides catch rates and biological data for use in stock assessments</w:t>
      </w:r>
      <w:r w:rsidR="7A9A4D8D">
        <w:t xml:space="preserve">. </w:t>
      </w:r>
      <w:r>
        <w:t xml:space="preserve">The survey is conducted under </w:t>
      </w:r>
      <w:r w:rsidR="0055084D">
        <w:t xml:space="preserve">a </w:t>
      </w:r>
      <w:r>
        <w:t xml:space="preserve">collaborative agreement with </w:t>
      </w:r>
      <w:r w:rsidR="38E3D692">
        <w:t>Wild Canadian Sablefish</w:t>
      </w:r>
      <w:r>
        <w:t xml:space="preserve"> </w:t>
      </w:r>
      <w:r w:rsidR="5650BE14">
        <w:t xml:space="preserve">Ltd. </w:t>
      </w:r>
      <w:r>
        <w:t xml:space="preserve">and occurs on a chartered commercial </w:t>
      </w:r>
      <w:r w:rsidR="29034627">
        <w:t xml:space="preserve">fishing </w:t>
      </w:r>
      <w:r>
        <w:t>vessel</w:t>
      </w:r>
      <w:r w:rsidR="459EFD42">
        <w:t xml:space="preserve"> by a mix of DFO staff and contracted </w:t>
      </w:r>
      <w:r w:rsidR="11646582">
        <w:t>technicians</w:t>
      </w:r>
      <w:r w:rsidR="7A9A4D8D">
        <w:t xml:space="preserve">. </w:t>
      </w:r>
      <w:r>
        <w:t>This survey covers the depth range of 150 m to 1</w:t>
      </w:r>
      <w:r w:rsidR="2EEF97BA">
        <w:t>250</w:t>
      </w:r>
      <w:r>
        <w:t xml:space="preserve"> m for the entire outer BC coast as well as </w:t>
      </w:r>
      <w:r w:rsidR="33A181C6">
        <w:t>several</w:t>
      </w:r>
      <w:r>
        <w:t xml:space="preserve"> central coast inlets</w:t>
      </w:r>
      <w:r w:rsidR="7A9A4D8D">
        <w:t>.</w:t>
      </w:r>
    </w:p>
    <w:p w14:paraId="5C50D753" w14:textId="1F9E7A6A" w:rsidR="00395A20" w:rsidRPr="00F71090" w:rsidRDefault="00395A20" w:rsidP="00F71090">
      <w:pPr>
        <w:pStyle w:val="Body"/>
      </w:pPr>
      <w:r>
        <w:t xml:space="preserve">In </w:t>
      </w:r>
      <w:r w:rsidR="00A333DA">
        <w:t>2022</w:t>
      </w:r>
      <w:r>
        <w:t xml:space="preserve">, the survey was conducted on the </w:t>
      </w:r>
      <w:r w:rsidR="00005692">
        <w:t>commercial fishing vessel</w:t>
      </w:r>
      <w:r>
        <w:t xml:space="preserve"> Pacific Viking from early October to late November. </w:t>
      </w:r>
      <w:r w:rsidR="00A333DA">
        <w:t>For the third year in a row, t</w:t>
      </w:r>
      <w:r w:rsidR="00CA30A6">
        <w:t xml:space="preserve">he survey experienced </w:t>
      </w:r>
      <w:r w:rsidR="26FFB8B7">
        <w:t>many</w:t>
      </w:r>
      <w:r w:rsidR="00CA30A6">
        <w:t xml:space="preserve"> days lost to poor weather. </w:t>
      </w:r>
      <w:r>
        <w:t xml:space="preserve">A total of </w:t>
      </w:r>
      <w:r w:rsidR="00A333DA">
        <w:t>86</w:t>
      </w:r>
      <w:r w:rsidR="00005692">
        <w:t xml:space="preserve"> of the 91 intended</w:t>
      </w:r>
      <w:r>
        <w:t xml:space="preserve"> </w:t>
      </w:r>
      <w:r w:rsidR="00BD2D44">
        <w:t xml:space="preserve">sets </w:t>
      </w:r>
      <w:r>
        <w:t>were completed in the offshore areas</w:t>
      </w:r>
      <w:r w:rsidR="009332B7">
        <w:t xml:space="preserve"> while </w:t>
      </w:r>
      <w:r w:rsidR="00005692">
        <w:t>only 5 of the intended 20 sets in the</w:t>
      </w:r>
      <w:r w:rsidR="009332B7">
        <w:t xml:space="preserve"> inlet portion of the survey </w:t>
      </w:r>
      <w:r w:rsidR="00005692">
        <w:t xml:space="preserve">were completed </w:t>
      </w:r>
      <w:r>
        <w:t xml:space="preserve">(Figure 4). </w:t>
      </w:r>
      <w:r w:rsidR="00005692">
        <w:t xml:space="preserve">In addition to the offshore and inlet sets, the survey included a research program designed to investigate gear interactions with the substrate and </w:t>
      </w:r>
      <w:r w:rsidR="00A333DA">
        <w:t>6</w:t>
      </w:r>
      <w:r w:rsidR="00005692">
        <w:t xml:space="preserve"> sets designed to simulate commercial fishing were conducted. </w:t>
      </w:r>
      <w:r>
        <w:t xml:space="preserve">The most abundant fish species </w:t>
      </w:r>
      <w:r w:rsidR="005A5F44">
        <w:t>in the catch</w:t>
      </w:r>
      <w:r>
        <w:t xml:space="preserve"> were </w:t>
      </w:r>
      <w:r w:rsidR="00B156CB">
        <w:t>Sablefish (</w:t>
      </w:r>
      <w:r w:rsidR="00B156CB" w:rsidRPr="011D8235">
        <w:rPr>
          <w:i/>
          <w:iCs/>
        </w:rPr>
        <w:t>Anoplopoma fimbria</w:t>
      </w:r>
      <w:r w:rsidR="00B156CB">
        <w:t>), Lingcod (</w:t>
      </w:r>
      <w:r w:rsidR="00B156CB" w:rsidRPr="011D8235">
        <w:rPr>
          <w:i/>
          <w:iCs/>
        </w:rPr>
        <w:t>Ophiodon elongatus</w:t>
      </w:r>
      <w:r w:rsidR="00B156CB">
        <w:t>), North Pacific Spiny Dogfish (</w:t>
      </w:r>
      <w:r w:rsidR="00B156CB" w:rsidRPr="011D8235">
        <w:rPr>
          <w:i/>
          <w:iCs/>
        </w:rPr>
        <w:t>Squalus suckleyi</w:t>
      </w:r>
      <w:r w:rsidR="00B156CB">
        <w:t>), and Pacific Halibut (</w:t>
      </w:r>
      <w:r w:rsidR="00B156CB" w:rsidRPr="011D8235">
        <w:rPr>
          <w:i/>
          <w:iCs/>
        </w:rPr>
        <w:t>Hippoglossus stenolepis)</w:t>
      </w:r>
      <w:r w:rsidR="00B156CB">
        <w:t>.</w:t>
      </w:r>
    </w:p>
    <w:p w14:paraId="140653F6" w14:textId="23234819" w:rsidR="00E878D1" w:rsidRDefault="255650B4" w:rsidP="00F71090">
      <w:pPr>
        <w:pStyle w:val="Body"/>
      </w:pPr>
      <w:r>
        <w:t xml:space="preserve">The </w:t>
      </w:r>
      <w:r w:rsidR="4718A191" w:rsidRPr="36F5592C">
        <w:rPr>
          <w:b/>
          <w:bCs/>
        </w:rPr>
        <w:t>Multispecies</w:t>
      </w:r>
      <w:r w:rsidR="4718A191">
        <w:t xml:space="preserve"> </w:t>
      </w:r>
      <w:r w:rsidRPr="36F5592C">
        <w:rPr>
          <w:b/>
          <w:bCs/>
        </w:rPr>
        <w:t>Small-mesh Bottom Trawl Survey</w:t>
      </w:r>
      <w:r>
        <w:t xml:space="preserve"> is an annual fixed-station survey of commercially important shrimp grounds off the West Coast of Vancouver Island that was initiated in 1973</w:t>
      </w:r>
      <w:r w:rsidR="4379B399">
        <w:t>, and occurs on a Canadian Coast Guard Vessel with DFO staff</w:t>
      </w:r>
      <w:r>
        <w:t xml:space="preserve">. Catch rate indices generated by the survey have been used to track the abundances of several groundfish stocks. Groundfish staff </w:t>
      </w:r>
      <w:r w:rsidR="6AC2664D">
        <w:t>assist</w:t>
      </w:r>
      <w:r>
        <w:t xml:space="preserve"> in catch sorting and species identification and also collect biological samples from selected fish species. </w:t>
      </w:r>
      <w:r w:rsidR="6B90BA2D">
        <w:t xml:space="preserve">The </w:t>
      </w:r>
      <w:r w:rsidR="048418A2">
        <w:t>2022</w:t>
      </w:r>
      <w:r w:rsidR="6B90BA2D">
        <w:t xml:space="preserve"> survey was conducted onboard the research vessel Sir John Franklin from </w:t>
      </w:r>
      <w:r w:rsidR="048418A2">
        <w:t xml:space="preserve">late </w:t>
      </w:r>
      <w:r w:rsidR="6B90BA2D">
        <w:t xml:space="preserve">April to </w:t>
      </w:r>
      <w:r w:rsidR="048418A2">
        <w:t>mid-</w:t>
      </w:r>
      <w:r w:rsidR="6B90BA2D">
        <w:t>May</w:t>
      </w:r>
      <w:r w:rsidR="048418A2">
        <w:t xml:space="preserve"> </w:t>
      </w:r>
      <w:r w:rsidR="6B90BA2D">
        <w:t xml:space="preserve">and a total of </w:t>
      </w:r>
      <w:r w:rsidR="048418A2">
        <w:t>126</w:t>
      </w:r>
      <w:r w:rsidR="6B90BA2D">
        <w:t xml:space="preserve"> usable tows were completed (Figure 4). </w:t>
      </w:r>
      <w:r w:rsidR="353D7298">
        <w:t>North Pacific Spiny Dogfish (</w:t>
      </w:r>
      <w:r w:rsidR="353D7298" w:rsidRPr="36F5592C">
        <w:rPr>
          <w:i/>
          <w:iCs/>
        </w:rPr>
        <w:t>Squalus suckleyi</w:t>
      </w:r>
      <w:r w:rsidR="353D7298">
        <w:t>), Rex Sole (</w:t>
      </w:r>
      <w:r w:rsidR="353D7298" w:rsidRPr="36F5592C">
        <w:rPr>
          <w:i/>
          <w:iCs/>
        </w:rPr>
        <w:t>Glyptocephalus zachirus</w:t>
      </w:r>
      <w:r w:rsidR="353D7298">
        <w:t>), Pink Shrimp (</w:t>
      </w:r>
      <w:proofErr w:type="spellStart"/>
      <w:r w:rsidR="353D7298" w:rsidRPr="36F5592C">
        <w:rPr>
          <w:i/>
          <w:iCs/>
        </w:rPr>
        <w:t>Pandalus</w:t>
      </w:r>
      <w:proofErr w:type="spellEnd"/>
      <w:r w:rsidR="353D7298" w:rsidRPr="36F5592C">
        <w:rPr>
          <w:i/>
          <w:iCs/>
        </w:rPr>
        <w:t xml:space="preserve"> jordani</w:t>
      </w:r>
      <w:r w:rsidR="353D7298">
        <w:t>), and Slender Sole (</w:t>
      </w:r>
      <w:r w:rsidR="353D7298" w:rsidRPr="36F5592C">
        <w:rPr>
          <w:i/>
          <w:iCs/>
        </w:rPr>
        <w:t>Lyopsetta exilis</w:t>
      </w:r>
      <w:r w:rsidR="353D7298">
        <w:t>)</w:t>
      </w:r>
      <w:r w:rsidR="6B90BA2D">
        <w:t>.</w:t>
      </w:r>
    </w:p>
    <w:p w14:paraId="0990863C" w14:textId="35493B51" w:rsidR="2C32D398" w:rsidRDefault="2C32D398" w:rsidP="2C32D398">
      <w:pPr>
        <w:pStyle w:val="Body"/>
        <w:rPr>
          <w:rFonts w:eastAsia="Calibri"/>
        </w:rPr>
      </w:pPr>
      <w:r w:rsidRPr="5ABB0D50">
        <w:rPr>
          <w:rFonts w:eastAsia="Calibri"/>
        </w:rPr>
        <w:t xml:space="preserve">The </w:t>
      </w:r>
      <w:r w:rsidRPr="5ABB0D50">
        <w:rPr>
          <w:rFonts w:eastAsia="Calibri"/>
          <w:b/>
          <w:bCs/>
        </w:rPr>
        <w:t xml:space="preserve">International Pacific Halibut Commission </w:t>
      </w:r>
      <w:r w:rsidRPr="5ABB0D50">
        <w:rPr>
          <w:rFonts w:eastAsia="Calibri"/>
        </w:rPr>
        <w:t>(IPHC) conducts an annual stock assessment longline survey in waters from California to Alaska, including British Columbia (BC) waters. The survey's main goal is to provide data on Pacific Halibut (</w:t>
      </w:r>
      <w:proofErr w:type="spellStart"/>
      <w:r w:rsidRPr="5ABB0D50">
        <w:rPr>
          <w:rFonts w:eastAsia="Calibri"/>
          <w:i/>
          <w:iCs/>
        </w:rPr>
        <w:t>Hippoglosus</w:t>
      </w:r>
      <w:proofErr w:type="spellEnd"/>
      <w:r w:rsidRPr="5ABB0D50">
        <w:rPr>
          <w:rFonts w:eastAsia="Calibri"/>
          <w:i/>
          <w:iCs/>
        </w:rPr>
        <w:t xml:space="preserve"> stenolepis</w:t>
      </w:r>
      <w:r w:rsidRPr="5ABB0D50">
        <w:rPr>
          <w:rFonts w:eastAsia="Calibri"/>
        </w:rPr>
        <w:t xml:space="preserve">) for stock assessment purposes. However, data are also recorded on other species caught, making it the longest ongoing groundfish survey in BC waters and hence a valuable source of data for many </w:t>
      </w:r>
      <w:r w:rsidRPr="5ABB0D50">
        <w:rPr>
          <w:rFonts w:eastAsia="Calibri"/>
        </w:rPr>
        <w:lastRenderedPageBreak/>
        <w:t xml:space="preserve">species. The </w:t>
      </w:r>
      <w:proofErr w:type="spellStart"/>
      <w:r w:rsidRPr="5ABB0D50">
        <w:rPr>
          <w:rFonts w:eastAsia="Calibri"/>
        </w:rPr>
        <w:t>gfiphc</w:t>
      </w:r>
      <w:proofErr w:type="spellEnd"/>
      <w:r w:rsidRPr="5ABB0D50">
        <w:rPr>
          <w:rFonts w:eastAsia="Calibri"/>
        </w:rPr>
        <w:t xml:space="preserve"> R package (</w:t>
      </w:r>
      <w:hyperlink r:id="rId35">
        <w:r w:rsidRPr="5ABB0D50">
          <w:rPr>
            <w:rStyle w:val="Hyperlink"/>
            <w:rFonts w:eastAsia="Calibri"/>
          </w:rPr>
          <w:t>https://github.com/pbs-assess/gfiphc</w:t>
        </w:r>
      </w:hyperlink>
      <w:r w:rsidRPr="5ABB0D50">
        <w:rPr>
          <w:rFonts w:eastAsia="Calibri"/>
        </w:rPr>
        <w:t xml:space="preserve">), developed at PBS and updated annually, contains much of the relevant data (and enables extraction from </w:t>
      </w:r>
      <w:proofErr w:type="spellStart"/>
      <w:r w:rsidRPr="5ABB0D50">
        <w:rPr>
          <w:rFonts w:eastAsia="Calibri"/>
          <w:b/>
          <w:bCs/>
        </w:rPr>
        <w:t>GFBio</w:t>
      </w:r>
      <w:proofErr w:type="spellEnd"/>
      <w:r w:rsidRPr="5ABB0D50">
        <w:rPr>
          <w:rFonts w:eastAsia="Calibri"/>
          <w:b/>
          <w:bCs/>
        </w:rPr>
        <w:t xml:space="preserve"> </w:t>
      </w:r>
      <w:r w:rsidRPr="5ABB0D50">
        <w:rPr>
          <w:rFonts w:eastAsia="Calibri"/>
        </w:rPr>
        <w:t xml:space="preserve">for the rest) It also includes code for deriving relative biomass index trends for non-halibut groundfish species within BC, based on methods that take into account the changing survey methodologies (see Anderson et al., 2019). Results for 113 species are directly viewable at </w:t>
      </w:r>
      <w:hyperlink r:id="rId36">
        <w:r w:rsidRPr="5ABB0D50">
          <w:rPr>
            <w:rStyle w:val="Hyperlink"/>
            <w:rFonts w:eastAsia="Calibri"/>
          </w:rPr>
          <w:t>http://htmlpreview.github.io/?https://github.com/pbs-assess/gfiphc/blob/master/vignettes/data_for_all_species.html</w:t>
        </w:r>
      </w:hyperlink>
      <w:r w:rsidR="4A74132C" w:rsidRPr="5ABB0D50">
        <w:rPr>
          <w:rFonts w:eastAsia="Calibri"/>
        </w:rPr>
        <w:t>, and are inco</w:t>
      </w:r>
      <w:r w:rsidR="007F3D0C">
        <w:rPr>
          <w:rFonts w:eastAsia="Calibri"/>
        </w:rPr>
        <w:t>r</w:t>
      </w:r>
      <w:r w:rsidR="4A74132C" w:rsidRPr="5ABB0D50">
        <w:rPr>
          <w:rFonts w:eastAsia="Calibri"/>
        </w:rPr>
        <w:t>porated into the grou</w:t>
      </w:r>
      <w:r w:rsidR="007F3D0C">
        <w:rPr>
          <w:rFonts w:eastAsia="Calibri"/>
        </w:rPr>
        <w:t>n</w:t>
      </w:r>
      <w:r w:rsidR="4A74132C" w:rsidRPr="5ABB0D50">
        <w:rPr>
          <w:rFonts w:eastAsia="Calibri"/>
        </w:rPr>
        <w:t>dfish synopsis</w:t>
      </w:r>
      <w:r w:rsidR="00145D7F">
        <w:rPr>
          <w:rFonts w:eastAsia="Calibri"/>
        </w:rPr>
        <w:t xml:space="preserve"> report (DFO 2022)</w:t>
      </w:r>
      <w:r w:rsidR="4A74132C" w:rsidRPr="5ABB0D50">
        <w:rPr>
          <w:rFonts w:eastAsia="Calibri"/>
        </w:rPr>
        <w:t>.</w:t>
      </w:r>
    </w:p>
    <w:p w14:paraId="3BA33D47" w14:textId="77777777" w:rsidR="00145D7F" w:rsidRPr="00063AB2" w:rsidRDefault="00145D7F" w:rsidP="00145D7F">
      <w:pPr>
        <w:pStyle w:val="Body"/>
      </w:pPr>
      <w:r>
        <w:t>Literature Cited:</w:t>
      </w:r>
    </w:p>
    <w:p w14:paraId="447ABA9B" w14:textId="19A39FF0" w:rsidR="00145D7F" w:rsidRDefault="00145D7F" w:rsidP="00145D7F">
      <w:pPr>
        <w:pStyle w:val="Citation"/>
        <w:rPr>
          <w:rStyle w:val="Hyperlink"/>
        </w:rPr>
      </w:pPr>
      <w:r>
        <w:t xml:space="preserve">DFO. 2022. A data synopsis for British Columbia groundfish: 2021 data update. DFO Can. Sci. </w:t>
      </w:r>
      <w:proofErr w:type="spellStart"/>
      <w:r>
        <w:t>Advis</w:t>
      </w:r>
      <w:proofErr w:type="spellEnd"/>
      <w:r>
        <w:t xml:space="preserve">. Sec. Sci. Resp. 2022/020. </w:t>
      </w:r>
      <w:hyperlink r:id="rId37">
        <w:r w:rsidRPr="1155EF1C">
          <w:rPr>
            <w:rStyle w:val="Hyperlink"/>
          </w:rPr>
          <w:t>https://www.dfo-mpo.gc.ca/csas-sccs/Publications/ScR-RS/2022/2022_020-eng.html</w:t>
        </w:r>
      </w:hyperlink>
    </w:p>
    <w:p w14:paraId="1606D594" w14:textId="77777777" w:rsidR="00A878B6" w:rsidRPr="000B623C" w:rsidRDefault="00A878B6" w:rsidP="002C0DF4">
      <w:pPr>
        <w:pStyle w:val="Heading1"/>
      </w:pPr>
      <w:bookmarkStart w:id="10" w:name="_Toc131161706"/>
      <w:r>
        <w:t>Reserves</w:t>
      </w:r>
      <w:bookmarkEnd w:id="10"/>
    </w:p>
    <w:p w14:paraId="461DDF08" w14:textId="3C031DB2" w:rsidR="2B94F184" w:rsidRDefault="4942CA72" w:rsidP="0BC890D1">
      <w:pPr>
        <w:spacing w:after="240"/>
      </w:pPr>
      <w:r w:rsidRPr="1155EF1C">
        <w:rPr>
          <w:rFonts w:eastAsia="Arial" w:cs="Arial"/>
        </w:rPr>
        <w:t>Canada has surpassed its marine conservation target commitment of protecting 10 percent of coastal and marine areas through effectively managed networks of protected areas and other effective area-based conservation measures by 2020, a commitment made under the United Nations Convention on Biological Diversity (UN CBD) Aichi Target 11. Approximately 14% of Canada’s EEZ are now protected.  Marine Conservation initiatives in British Columbia are illustrated in Figure 5. The Government of Canada is working with First Nations, the Provinces and partners to conserve 25 per cent of Canada’s oceans by 2025 and 30 per cent by 2030.</w:t>
      </w:r>
    </w:p>
    <w:p w14:paraId="7B5BDE72" w14:textId="7192465C" w:rsidR="2B94F184" w:rsidRDefault="6C4A3A00" w:rsidP="0BC890D1">
      <w:pPr>
        <w:spacing w:after="240"/>
        <w:rPr>
          <w:rFonts w:eastAsia="Arial" w:cs="Arial"/>
        </w:rPr>
      </w:pPr>
      <w:r w:rsidRPr="36F5592C">
        <w:rPr>
          <w:rFonts w:eastAsia="Arial" w:cs="Arial"/>
        </w:rPr>
        <w:t xml:space="preserve">In the Pacific Region, an initiative is underway to develop a network of Marine Protected Areas (MPAs) in BC’s Northern Shelf Bioregion (NSB). The </w:t>
      </w:r>
      <w:hyperlink r:id="rId38">
        <w:r w:rsidRPr="36F5592C">
          <w:rPr>
            <w:rStyle w:val="Hyperlink"/>
            <w:rFonts w:eastAsia="Arial" w:cs="Arial"/>
          </w:rPr>
          <w:t>Network Action Plan</w:t>
        </w:r>
      </w:hyperlink>
      <w:r w:rsidRPr="36F5592C">
        <w:rPr>
          <w:rFonts w:eastAsia="Arial" w:cs="Arial"/>
        </w:rPr>
        <w:t xml:space="preserve"> resulting from many years of planning to design a network of marine protected areas (MPAs) in the NSB was endorsed and made public during the IMPAC5 conference in Vancouver in February 2023. The Action Plan will guide the establishment and ongoing management of the Network to protect this unique marine area for present and future generations. The first new Marine Refuge in the NSB was also announced. In consultation with the </w:t>
      </w:r>
      <w:proofErr w:type="spellStart"/>
      <w:r w:rsidRPr="36F5592C">
        <w:rPr>
          <w:rFonts w:eastAsia="Arial" w:cs="Arial"/>
        </w:rPr>
        <w:t>Mamalilikulla</w:t>
      </w:r>
      <w:proofErr w:type="spellEnd"/>
      <w:r w:rsidRPr="36F5592C">
        <w:rPr>
          <w:rFonts w:eastAsia="Arial" w:cs="Arial"/>
        </w:rPr>
        <w:t xml:space="preserve"> First Nation and the Province of British Columbia, </w:t>
      </w:r>
      <w:hyperlink r:id="rId39">
        <w:proofErr w:type="spellStart"/>
        <w:r w:rsidRPr="36F5592C">
          <w:rPr>
            <w:rStyle w:val="Hyperlink"/>
            <w:rFonts w:eastAsia="Arial" w:cs="Arial"/>
          </w:rPr>
          <w:t>Gwaxdlala</w:t>
        </w:r>
        <w:proofErr w:type="spellEnd"/>
        <w:r w:rsidRPr="36F5592C">
          <w:rPr>
            <w:rStyle w:val="Hyperlink"/>
            <w:rFonts w:eastAsia="Arial" w:cs="Arial"/>
          </w:rPr>
          <w:t>/</w:t>
        </w:r>
        <w:proofErr w:type="spellStart"/>
        <w:r w:rsidRPr="36F5592C">
          <w:rPr>
            <w:rStyle w:val="Hyperlink"/>
            <w:rFonts w:eastAsia="Arial" w:cs="Arial"/>
          </w:rPr>
          <w:t>Nalaxdlala</w:t>
        </w:r>
        <w:proofErr w:type="spellEnd"/>
      </w:hyperlink>
      <w:r w:rsidRPr="36F5592C">
        <w:rPr>
          <w:rFonts w:eastAsia="Arial" w:cs="Arial"/>
        </w:rPr>
        <w:t xml:space="preserve"> – also known as Lull Bay and </w:t>
      </w:r>
      <w:proofErr w:type="spellStart"/>
      <w:r w:rsidRPr="36F5592C">
        <w:rPr>
          <w:rFonts w:eastAsia="Arial" w:cs="Arial"/>
        </w:rPr>
        <w:t>Hoeya</w:t>
      </w:r>
      <w:proofErr w:type="spellEnd"/>
      <w:r w:rsidRPr="36F5592C">
        <w:rPr>
          <w:rFonts w:eastAsia="Arial" w:cs="Arial"/>
        </w:rPr>
        <w:t xml:space="preserve"> Sound – was identified as an important area that includes a globally unique ecosystem of fragile and slow-growing corals and sponges that provide habitat for more than 240 marine species. This marine refuge is found in Knight Inlet. </w:t>
      </w:r>
    </w:p>
    <w:p w14:paraId="30F1D765" w14:textId="52713E2D" w:rsidR="2B94F184" w:rsidRDefault="6C4A3A00" w:rsidP="0BC890D1">
      <w:pPr>
        <w:spacing w:after="240"/>
        <w:rPr>
          <w:rFonts w:eastAsia="Arial" w:cs="Arial"/>
        </w:rPr>
      </w:pPr>
      <w:r w:rsidRPr="36F5592C">
        <w:rPr>
          <w:rFonts w:eastAsia="Arial" w:cs="Arial"/>
        </w:rPr>
        <w:t xml:space="preserve">Also announced at IMPAC5, the Honourable Joyce Murray, Minister of Fisheries, Oceans and the Canadian Coast Guard together with the Council of the </w:t>
      </w:r>
      <w:proofErr w:type="spellStart"/>
      <w:r w:rsidRPr="36F5592C">
        <w:rPr>
          <w:rFonts w:eastAsia="Arial" w:cs="Arial"/>
        </w:rPr>
        <w:t>Haida</w:t>
      </w:r>
      <w:proofErr w:type="spellEnd"/>
      <w:r w:rsidRPr="36F5592C">
        <w:rPr>
          <w:rFonts w:eastAsia="Arial" w:cs="Arial"/>
        </w:rPr>
        <w:t xml:space="preserve"> Nation, Nuu-chah-nulth Tribal Council, </w:t>
      </w:r>
      <w:proofErr w:type="spellStart"/>
      <w:r w:rsidRPr="36F5592C">
        <w:rPr>
          <w:rFonts w:eastAsia="Arial" w:cs="Arial"/>
        </w:rPr>
        <w:t>Pacheedaht</w:t>
      </w:r>
      <w:proofErr w:type="spellEnd"/>
      <w:r w:rsidRPr="36F5592C">
        <w:rPr>
          <w:rFonts w:eastAsia="Arial" w:cs="Arial"/>
        </w:rPr>
        <w:t xml:space="preserve"> First Nation and Quatsino First Nation announced progress on the proposed </w:t>
      </w:r>
      <w:hyperlink r:id="rId40">
        <w:proofErr w:type="spellStart"/>
        <w:r w:rsidRPr="36F5592C">
          <w:rPr>
            <w:rStyle w:val="Hyperlink"/>
            <w:rFonts w:eastAsia="Arial" w:cs="Arial"/>
          </w:rPr>
          <w:t>Tang.ɢwan</w:t>
        </w:r>
        <w:proofErr w:type="spellEnd"/>
        <w:r w:rsidRPr="36F5592C">
          <w:rPr>
            <w:rStyle w:val="Hyperlink"/>
            <w:rFonts w:eastAsia="Arial" w:cs="Arial"/>
          </w:rPr>
          <w:t xml:space="preserve"> — </w:t>
        </w:r>
        <w:proofErr w:type="spellStart"/>
        <w:r w:rsidRPr="36F5592C">
          <w:rPr>
            <w:rStyle w:val="Hyperlink"/>
            <w:rFonts w:eastAsia="Arial" w:cs="Arial"/>
          </w:rPr>
          <w:t>ḥačxwiqak</w:t>
        </w:r>
        <w:proofErr w:type="spellEnd"/>
        <w:r w:rsidRPr="36F5592C">
          <w:rPr>
            <w:rStyle w:val="Hyperlink"/>
            <w:rFonts w:eastAsia="Arial" w:cs="Arial"/>
          </w:rPr>
          <w:t xml:space="preserve"> — </w:t>
        </w:r>
        <w:proofErr w:type="spellStart"/>
        <w:r w:rsidRPr="36F5592C">
          <w:rPr>
            <w:rStyle w:val="Hyperlink"/>
            <w:rFonts w:eastAsia="Arial" w:cs="Arial"/>
          </w:rPr>
          <w:t>Tsig̱is</w:t>
        </w:r>
        <w:proofErr w:type="spellEnd"/>
        <w:r w:rsidRPr="36F5592C">
          <w:rPr>
            <w:rStyle w:val="Hyperlink"/>
            <w:rFonts w:eastAsia="Arial" w:cs="Arial"/>
          </w:rPr>
          <w:t xml:space="preserve"> Marine Protected Area (MPA)</w:t>
        </w:r>
      </w:hyperlink>
      <w:r w:rsidRPr="36F5592C">
        <w:rPr>
          <w:rFonts w:eastAsia="Arial" w:cs="Arial"/>
        </w:rPr>
        <w:t>, a large ecologically unique ocean area located on average 150 kilometres off the west coast of Vancouver Island</w:t>
      </w:r>
      <w:r w:rsidR="4C641FF3" w:rsidRPr="36F5592C">
        <w:rPr>
          <w:rFonts w:eastAsia="Arial" w:cs="Arial"/>
        </w:rPr>
        <w:t xml:space="preserve"> (Figure 6)</w:t>
      </w:r>
      <w:r w:rsidRPr="36F5592C">
        <w:rPr>
          <w:rFonts w:eastAsia="Arial" w:cs="Arial"/>
        </w:rPr>
        <w:t xml:space="preserve">. Covering 133,019 square kilometres, the </w:t>
      </w:r>
      <w:hyperlink r:id="rId41">
        <w:r w:rsidRPr="36F5592C">
          <w:rPr>
            <w:rStyle w:val="Hyperlink"/>
            <w:rFonts w:eastAsia="Arial" w:cs="Arial"/>
          </w:rPr>
          <w:t>proposed MPA</w:t>
        </w:r>
      </w:hyperlink>
      <w:r w:rsidRPr="36F5592C">
        <w:rPr>
          <w:rFonts w:eastAsia="Arial" w:cs="Arial"/>
        </w:rPr>
        <w:t xml:space="preserve"> is home to extraordinary seafloor features, including more than 46 underwater mountains, known as seamounts, and all known hydrothermal vents in Canada. These deep-sea biological “hotspots” are globally rare and support deep-water species unique to this area. The MPA regulations were published in the Canada Gazette Part 1 on February 18, 2023.</w:t>
      </w:r>
    </w:p>
    <w:p w14:paraId="1F8EAEBA" w14:textId="1109C92F" w:rsidR="2B94F184" w:rsidRDefault="2B94F184" w:rsidP="0BC890D1">
      <w:pPr>
        <w:spacing w:after="240"/>
        <w:rPr>
          <w:rFonts w:eastAsia="Arial" w:cs="Arial"/>
        </w:rPr>
      </w:pPr>
      <w:r w:rsidRPr="0BC890D1">
        <w:rPr>
          <w:rFonts w:eastAsia="Arial" w:cs="Arial"/>
        </w:rPr>
        <w:lastRenderedPageBreak/>
        <w:t xml:space="preserve">The Hecate Strait/Queen Charlotte Sound Glass Sponge Reefs MPA that was designated under Canada’s Oceans Act in February 2017 to protect glass sponge reefs in Hecate Strait and Queen Charlotte Sound will be part of the NSB MPA network, as will the </w:t>
      </w:r>
      <w:proofErr w:type="spellStart"/>
      <w:r w:rsidRPr="0BC890D1">
        <w:rPr>
          <w:rFonts w:eastAsia="Arial" w:cs="Arial"/>
        </w:rPr>
        <w:t>Gwaii</w:t>
      </w:r>
      <w:proofErr w:type="spellEnd"/>
      <w:r w:rsidRPr="0BC890D1">
        <w:rPr>
          <w:rFonts w:eastAsia="Arial" w:cs="Arial"/>
        </w:rPr>
        <w:t xml:space="preserve"> </w:t>
      </w:r>
      <w:proofErr w:type="spellStart"/>
      <w:r w:rsidRPr="0BC890D1">
        <w:rPr>
          <w:rFonts w:eastAsia="Arial" w:cs="Arial"/>
        </w:rPr>
        <w:t>Haanas</w:t>
      </w:r>
      <w:proofErr w:type="spellEnd"/>
      <w:r w:rsidRPr="0BC890D1">
        <w:rPr>
          <w:rFonts w:eastAsia="Arial" w:cs="Arial"/>
        </w:rPr>
        <w:t xml:space="preserve"> National Marine Conservation Area Reserve (NMCAR) and </w:t>
      </w:r>
      <w:proofErr w:type="spellStart"/>
      <w:r w:rsidRPr="0BC890D1">
        <w:rPr>
          <w:rFonts w:eastAsia="Arial" w:cs="Arial"/>
        </w:rPr>
        <w:t>Haida</w:t>
      </w:r>
      <w:proofErr w:type="spellEnd"/>
      <w:r w:rsidRPr="0BC890D1">
        <w:rPr>
          <w:rFonts w:eastAsia="Arial" w:cs="Arial"/>
        </w:rPr>
        <w:t xml:space="preserve"> Heritage Site. The Scott Islands marine National Wildlife Area (NWA), an area that conserves a vital marine area for millions of seabirds on the Pacific coast, will also be part of the NSB MPA. Fishing activity is currently not prohibited in the NWA.</w:t>
      </w:r>
    </w:p>
    <w:p w14:paraId="08406966" w14:textId="6BD9EAB3" w:rsidR="2B94F184" w:rsidRDefault="6C4A3A00" w:rsidP="0BC890D1">
      <w:pPr>
        <w:spacing w:after="240"/>
        <w:rPr>
          <w:rFonts w:eastAsia="Arial" w:cs="Arial"/>
        </w:rPr>
      </w:pPr>
      <w:r w:rsidRPr="36F5592C">
        <w:rPr>
          <w:rFonts w:eastAsia="Arial" w:cs="Arial"/>
        </w:rPr>
        <w:t xml:space="preserve">Parks Canada and the Archipelago Management Board have introduced new zoning to the NMCAR which includes multiple use zones (IUCN protection level IV-VI) as well as high protection zones (IUCN </w:t>
      </w:r>
      <w:proofErr w:type="spellStart"/>
      <w:r w:rsidRPr="36F5592C">
        <w:rPr>
          <w:rFonts w:eastAsia="Arial" w:cs="Arial"/>
        </w:rPr>
        <w:t>Ib</w:t>
      </w:r>
      <w:proofErr w:type="spellEnd"/>
      <w:r w:rsidRPr="36F5592C">
        <w:rPr>
          <w:rFonts w:eastAsia="Arial" w:cs="Arial"/>
        </w:rPr>
        <w:t>-III) and two small</w:t>
      </w:r>
      <w:r w:rsidR="59ADC7D7" w:rsidRPr="36F5592C">
        <w:rPr>
          <w:rFonts w:eastAsia="Arial" w:cs="Arial"/>
        </w:rPr>
        <w:t>,</w:t>
      </w:r>
      <w:r w:rsidRPr="36F5592C">
        <w:rPr>
          <w:rFonts w:eastAsia="Arial" w:cs="Arial"/>
        </w:rPr>
        <w:t xml:space="preserve"> restricted access zones that are intertidal/terrestrial. These zones came into effect on May 1, 2019</w:t>
      </w:r>
      <w:r w:rsidRPr="36F5592C">
        <w:rPr>
          <w:rFonts w:eastAsia="Arial" w:cs="Arial"/>
          <w:color w:val="7030A0"/>
        </w:rPr>
        <w:t xml:space="preserve">. </w:t>
      </w:r>
      <w:r w:rsidRPr="36F5592C">
        <w:rPr>
          <w:rFonts w:eastAsia="Arial" w:cs="Arial"/>
        </w:rPr>
        <w:t>The two Rockfish Conservation Areas that were formerly within the NMCAR boundaries have been rescinded and replaced with the new zoning. Parks Canada is also still working to establish an NMCAR in the Salish Sea.</w:t>
      </w:r>
    </w:p>
    <w:p w14:paraId="61576505" w14:textId="3100E955" w:rsidR="2B94F184" w:rsidRDefault="6C4A3A00" w:rsidP="0BC890D1">
      <w:pPr>
        <w:spacing w:after="240"/>
        <w:rPr>
          <w:rFonts w:eastAsia="Arial" w:cs="Arial"/>
        </w:rPr>
      </w:pPr>
      <w:r w:rsidRPr="36F5592C">
        <w:rPr>
          <w:rFonts w:eastAsia="Arial" w:cs="Arial"/>
        </w:rPr>
        <w:t xml:space="preserve">The </w:t>
      </w:r>
      <w:proofErr w:type="spellStart"/>
      <w:r w:rsidRPr="36F5592C">
        <w:rPr>
          <w:rFonts w:eastAsia="Arial" w:cs="Arial"/>
        </w:rPr>
        <w:t>SGaan</w:t>
      </w:r>
      <w:proofErr w:type="spellEnd"/>
      <w:r w:rsidRPr="36F5592C">
        <w:rPr>
          <w:rFonts w:eastAsia="Arial" w:cs="Arial"/>
        </w:rPr>
        <w:t xml:space="preserve"> </w:t>
      </w:r>
      <w:proofErr w:type="spellStart"/>
      <w:r w:rsidRPr="36F5592C">
        <w:rPr>
          <w:rFonts w:eastAsia="Arial" w:cs="Arial"/>
        </w:rPr>
        <w:t>Kinghlass</w:t>
      </w:r>
      <w:proofErr w:type="spellEnd"/>
      <w:r w:rsidRPr="36F5592C">
        <w:rPr>
          <w:rFonts w:eastAsia="Arial" w:cs="Arial"/>
        </w:rPr>
        <w:t>-Bowie Seamount MPA, which was designated in 2008, protects communities living on Bowie Seamount which rises from depths to 3000 m to within 24 m of the surface, as well as two other seamounts and adjacent areas (</w:t>
      </w:r>
      <w:hyperlink r:id="rId42">
        <w:r w:rsidRPr="36F5592C">
          <w:rPr>
            <w:rStyle w:val="Hyperlink"/>
            <w:rFonts w:eastAsia="Arial" w:cs="Arial"/>
          </w:rPr>
          <w:t>https://dfo-mpo.gc.ca/oceans/mpa-zpm/bowie-eng.html</w:t>
        </w:r>
      </w:hyperlink>
      <w:r w:rsidRPr="36F5592C">
        <w:rPr>
          <w:rFonts w:eastAsia="Arial" w:cs="Arial"/>
          <w:color w:val="0563C1"/>
        </w:rPr>
        <w:t xml:space="preserve">). </w:t>
      </w:r>
      <w:r w:rsidRPr="36F5592C">
        <w:rPr>
          <w:rFonts w:eastAsia="Arial" w:cs="Arial"/>
        </w:rPr>
        <w:t>A monitoring framework for the SKB MPA was recently reviewed at CSAS</w:t>
      </w:r>
      <w:r w:rsidR="00B20258">
        <w:rPr>
          <w:rFonts w:eastAsia="Arial" w:cs="Arial"/>
        </w:rPr>
        <w:t xml:space="preserve"> and a science advisory report is available (DFO 2023a)</w:t>
      </w:r>
      <w:r w:rsidRPr="36F5592C">
        <w:rPr>
          <w:rFonts w:eastAsia="Arial" w:cs="Arial"/>
        </w:rPr>
        <w:t xml:space="preserve">. </w:t>
      </w:r>
    </w:p>
    <w:p w14:paraId="7ECE818C" w14:textId="5AF47BFA" w:rsidR="2B94F184" w:rsidRDefault="2B94F184" w:rsidP="0BC890D1">
      <w:pPr>
        <w:spacing w:after="240"/>
        <w:rPr>
          <w:rFonts w:eastAsia="Arial" w:cs="Arial"/>
        </w:rPr>
      </w:pPr>
      <w:r w:rsidRPr="0BC890D1">
        <w:rPr>
          <w:rFonts w:eastAsia="Arial" w:cs="Arial"/>
        </w:rPr>
        <w:t>The other 162 Rockfish Conservation Areas (RCAs) designated as fishery closures between 2004-2007 (Yamanaka and Logan, 2010), remain in place. The Glass Sponge Reef Conservation Areas are closed to all commercial and recreational bottom contact fishing activities for prawn, shrimp, crab and groundfish (including halibut) in order to protect the Strait of Georgia and Howe Sound Glass Sponge Reefs (</w:t>
      </w:r>
      <w:hyperlink r:id="rId43">
        <w:r w:rsidRPr="0BC890D1">
          <w:rPr>
            <w:rStyle w:val="Hyperlink"/>
            <w:rFonts w:eastAsia="Arial" w:cs="Arial"/>
          </w:rPr>
          <w:t>http://www.dfo-mpo.gc.ca/oceans/ceccsr-cerceef/closures-fermetures-eng.html</w:t>
        </w:r>
      </w:hyperlink>
      <w:r w:rsidRPr="0BC890D1">
        <w:rPr>
          <w:rFonts w:eastAsia="Arial" w:cs="Arial"/>
        </w:rPr>
        <w:t>).</w:t>
      </w:r>
    </w:p>
    <w:p w14:paraId="1B1719B6" w14:textId="77777777" w:rsidR="00145D7F" w:rsidRPr="00063AB2" w:rsidRDefault="00145D7F" w:rsidP="00145D7F">
      <w:pPr>
        <w:pStyle w:val="Body"/>
      </w:pPr>
      <w:r>
        <w:t>Literature Cited:</w:t>
      </w:r>
    </w:p>
    <w:p w14:paraId="573792DD" w14:textId="479C4141" w:rsidR="00145D7F" w:rsidRDefault="00145D7F" w:rsidP="00145D7F">
      <w:pPr>
        <w:pStyle w:val="Citation"/>
      </w:pPr>
      <w:r>
        <w:t xml:space="preserve">DFO. 2023a. Monitoring Framework for </w:t>
      </w:r>
      <w:proofErr w:type="spellStart"/>
      <w:r>
        <w:t>SG̲aan</w:t>
      </w:r>
      <w:proofErr w:type="spellEnd"/>
      <w:r>
        <w:t xml:space="preserve"> </w:t>
      </w:r>
      <w:proofErr w:type="spellStart"/>
      <w:r>
        <w:t>K̲inghlas-Bowie</w:t>
      </w:r>
      <w:proofErr w:type="spellEnd"/>
      <w:r>
        <w:t xml:space="preserve"> Seamount Marine Protected Area, British Columbia, Canada. </w:t>
      </w:r>
      <w:hyperlink r:id="rId44" w:history="1">
        <w:r w:rsidRPr="00B20258">
          <w:rPr>
            <w:rStyle w:val="Hyperlink"/>
          </w:rPr>
          <w:t xml:space="preserve">DFO Can. Sci. </w:t>
        </w:r>
        <w:proofErr w:type="spellStart"/>
        <w:r w:rsidRPr="00B20258">
          <w:rPr>
            <w:rStyle w:val="Hyperlink"/>
          </w:rPr>
          <w:t>Advis</w:t>
        </w:r>
        <w:proofErr w:type="spellEnd"/>
        <w:r w:rsidRPr="00B20258">
          <w:rPr>
            <w:rStyle w:val="Hyperlink"/>
          </w:rPr>
          <w:t xml:space="preserve">. Sec. Sci. </w:t>
        </w:r>
        <w:proofErr w:type="spellStart"/>
        <w:r w:rsidRPr="00B20258">
          <w:rPr>
            <w:rStyle w:val="Hyperlink"/>
          </w:rPr>
          <w:t>Advis</w:t>
        </w:r>
        <w:proofErr w:type="spellEnd"/>
        <w:r w:rsidRPr="00B20258">
          <w:rPr>
            <w:rStyle w:val="Hyperlink"/>
          </w:rPr>
          <w:t>. Rep. 2023/011</w:t>
        </w:r>
      </w:hyperlink>
      <w:r>
        <w:t>.</w:t>
      </w:r>
    </w:p>
    <w:p w14:paraId="05DB1FD4" w14:textId="77777777" w:rsidR="00145D7F" w:rsidRDefault="00145D7F" w:rsidP="00145D7F">
      <w:pPr>
        <w:pStyle w:val="Citation"/>
      </w:pPr>
      <w:r w:rsidRPr="1155EF1C">
        <w:rPr>
          <w:rFonts w:eastAsiaTheme="minorEastAsia"/>
        </w:rPr>
        <w:t>Yamanaka, K.L., and Logan, G. 2010. Developing British Columbia's inshore rockfish conservation strategy. Marine and Coastal Fisheries: Dynamics, Management, and Ecosystem Science. 2:28–46. DOI: 10.1577/C08-036.1</w:t>
      </w:r>
    </w:p>
    <w:p w14:paraId="70451ED4" w14:textId="77777777" w:rsidR="00145D7F" w:rsidRDefault="00145D7F" w:rsidP="0BC890D1">
      <w:pPr>
        <w:spacing w:after="240"/>
        <w:rPr>
          <w:rFonts w:eastAsia="Arial" w:cs="Arial"/>
        </w:rPr>
      </w:pPr>
    </w:p>
    <w:p w14:paraId="42F12301" w14:textId="1753EA6B" w:rsidR="07ACFC5E" w:rsidRDefault="07ACFC5E" w:rsidP="0BC890D1">
      <w:pPr>
        <w:spacing w:before="120" w:after="120"/>
        <w:jc w:val="center"/>
        <w:rPr>
          <w:rFonts w:eastAsia="Arial" w:cs="Arial"/>
          <w:i/>
          <w:iCs/>
          <w:sz w:val="18"/>
          <w:szCs w:val="18"/>
        </w:rPr>
      </w:pPr>
      <w:r>
        <w:rPr>
          <w:noProof/>
          <w:lang w:val="en-US"/>
        </w:rPr>
        <w:lastRenderedPageBreak/>
        <w:drawing>
          <wp:inline distT="0" distB="0" distL="0" distR="0" wp14:anchorId="111BDFD3" wp14:editId="1B801665">
            <wp:extent cx="3495675" cy="4572000"/>
            <wp:effectExtent l="0" t="0" r="0" b="0"/>
            <wp:docPr id="713561239" name="Picture 71356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495675" cy="4572000"/>
                    </a:xfrm>
                    <a:prstGeom prst="rect">
                      <a:avLst/>
                    </a:prstGeom>
                  </pic:spPr>
                </pic:pic>
              </a:graphicData>
            </a:graphic>
          </wp:inline>
        </w:drawing>
      </w:r>
    </w:p>
    <w:p w14:paraId="3F948CA2" w14:textId="339FBF52" w:rsidR="2B94F184" w:rsidRDefault="2B94F184" w:rsidP="0BC890D1">
      <w:pPr>
        <w:spacing w:before="120" w:after="120"/>
        <w:rPr>
          <w:rFonts w:eastAsia="Arial" w:cs="Arial"/>
          <w:i/>
          <w:iCs/>
          <w:sz w:val="18"/>
          <w:szCs w:val="18"/>
        </w:rPr>
      </w:pPr>
      <w:r w:rsidRPr="0BC890D1">
        <w:rPr>
          <w:rFonts w:eastAsia="Arial" w:cs="Arial"/>
          <w:i/>
          <w:iCs/>
          <w:sz w:val="18"/>
          <w:szCs w:val="18"/>
        </w:rPr>
        <w:t xml:space="preserve">Figure 5. Proposed Northern Shelf Bioregion MPA Network (Network Action Plan). </w:t>
      </w:r>
    </w:p>
    <w:p w14:paraId="4FE13F92" w14:textId="12383728" w:rsidR="2B94F184" w:rsidRDefault="2B94F184" w:rsidP="0BC890D1">
      <w:pPr>
        <w:spacing w:line="257" w:lineRule="auto"/>
      </w:pPr>
      <w:r w:rsidRPr="0BC890D1">
        <w:rPr>
          <w:rFonts w:eastAsia="Arial" w:cs="Arial"/>
        </w:rPr>
        <w:t xml:space="preserve"> </w:t>
      </w:r>
    </w:p>
    <w:p w14:paraId="664D5B61" w14:textId="1326E8B2" w:rsidR="393FAFA0" w:rsidRDefault="393FAFA0" w:rsidP="0BC890D1">
      <w:pPr>
        <w:spacing w:line="257" w:lineRule="auto"/>
        <w:jc w:val="center"/>
        <w:rPr>
          <w:rFonts w:eastAsia="Arial" w:cs="Arial"/>
        </w:rPr>
      </w:pPr>
      <w:r>
        <w:rPr>
          <w:noProof/>
          <w:lang w:val="en-US"/>
        </w:rPr>
        <w:lastRenderedPageBreak/>
        <w:drawing>
          <wp:inline distT="0" distB="0" distL="0" distR="0" wp14:anchorId="6D94434E" wp14:editId="0CD52BC6">
            <wp:extent cx="4572000" cy="3524250"/>
            <wp:effectExtent l="0" t="0" r="0" b="0"/>
            <wp:docPr id="898486347" name="Picture 89848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0" cy="3524250"/>
                    </a:xfrm>
                    <a:prstGeom prst="rect">
                      <a:avLst/>
                    </a:prstGeom>
                  </pic:spPr>
                </pic:pic>
              </a:graphicData>
            </a:graphic>
          </wp:inline>
        </w:drawing>
      </w:r>
    </w:p>
    <w:p w14:paraId="6F7143A6" w14:textId="7AA53893" w:rsidR="2B94F184" w:rsidRDefault="2B94F184" w:rsidP="0BC890D1">
      <w:pPr>
        <w:spacing w:line="257" w:lineRule="auto"/>
      </w:pPr>
      <w:r w:rsidRPr="0BC890D1">
        <w:rPr>
          <w:rFonts w:eastAsia="Arial" w:cs="Arial"/>
          <w:i/>
          <w:iCs/>
          <w:sz w:val="18"/>
          <w:szCs w:val="18"/>
        </w:rPr>
        <w:t xml:space="preserve">Figure 6. </w:t>
      </w:r>
      <w:proofErr w:type="spellStart"/>
      <w:r w:rsidRPr="0BC890D1">
        <w:rPr>
          <w:rFonts w:eastAsia="Arial" w:cs="Arial"/>
          <w:i/>
          <w:iCs/>
          <w:sz w:val="18"/>
          <w:szCs w:val="18"/>
        </w:rPr>
        <w:t>Gwaxdlala</w:t>
      </w:r>
      <w:proofErr w:type="spellEnd"/>
      <w:r w:rsidRPr="0BC890D1">
        <w:rPr>
          <w:rFonts w:eastAsia="Arial" w:cs="Arial"/>
          <w:i/>
          <w:iCs/>
          <w:sz w:val="18"/>
          <w:szCs w:val="18"/>
        </w:rPr>
        <w:t>/</w:t>
      </w:r>
      <w:proofErr w:type="spellStart"/>
      <w:r w:rsidRPr="0BC890D1">
        <w:rPr>
          <w:rFonts w:eastAsia="Arial" w:cs="Arial"/>
          <w:i/>
          <w:iCs/>
          <w:sz w:val="18"/>
          <w:szCs w:val="18"/>
        </w:rPr>
        <w:t>Nalaxdlala</w:t>
      </w:r>
      <w:proofErr w:type="spellEnd"/>
      <w:r w:rsidRPr="0BC890D1">
        <w:rPr>
          <w:rFonts w:eastAsia="Arial" w:cs="Arial"/>
          <w:i/>
          <w:iCs/>
          <w:sz w:val="18"/>
          <w:szCs w:val="18"/>
        </w:rPr>
        <w:t xml:space="preserve"> – also known as Lull Bay and </w:t>
      </w:r>
      <w:proofErr w:type="spellStart"/>
      <w:r w:rsidRPr="0BC890D1">
        <w:rPr>
          <w:rFonts w:eastAsia="Arial" w:cs="Arial"/>
          <w:i/>
          <w:iCs/>
          <w:sz w:val="18"/>
          <w:szCs w:val="18"/>
        </w:rPr>
        <w:t>Hoeya</w:t>
      </w:r>
      <w:proofErr w:type="spellEnd"/>
      <w:r w:rsidRPr="0BC890D1">
        <w:rPr>
          <w:rFonts w:eastAsia="Arial" w:cs="Arial"/>
          <w:i/>
          <w:iCs/>
          <w:sz w:val="18"/>
          <w:szCs w:val="18"/>
        </w:rPr>
        <w:t xml:space="preserve"> Sound Marine Refuge. </w:t>
      </w:r>
    </w:p>
    <w:p w14:paraId="41840001" w14:textId="2377D18E" w:rsidR="2B94F184" w:rsidRDefault="2B94F184" w:rsidP="0BC890D1">
      <w:pPr>
        <w:spacing w:line="257" w:lineRule="auto"/>
      </w:pPr>
      <w:r w:rsidRPr="0BC890D1">
        <w:rPr>
          <w:rFonts w:eastAsia="Arial" w:cs="Arial"/>
        </w:rPr>
        <w:t xml:space="preserve"> </w:t>
      </w:r>
    </w:p>
    <w:p w14:paraId="18A426E2" w14:textId="3DED771A" w:rsidR="4C16EFEC" w:rsidRDefault="4C16EFEC" w:rsidP="0BC890D1">
      <w:pPr>
        <w:spacing w:line="257" w:lineRule="auto"/>
        <w:jc w:val="center"/>
        <w:rPr>
          <w:rFonts w:eastAsia="Arial" w:cs="Arial"/>
        </w:rPr>
      </w:pPr>
      <w:r>
        <w:rPr>
          <w:noProof/>
          <w:lang w:val="en-US"/>
        </w:rPr>
        <w:lastRenderedPageBreak/>
        <w:drawing>
          <wp:inline distT="0" distB="0" distL="0" distR="0" wp14:anchorId="59EC5B05" wp14:editId="0952A9DC">
            <wp:extent cx="3533775" cy="4572000"/>
            <wp:effectExtent l="0" t="0" r="0" b="0"/>
            <wp:docPr id="1730829056" name="Picture 173082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7F572007" w14:textId="3BC7F304" w:rsidR="2B94F184" w:rsidRDefault="2B94F184" w:rsidP="0BC890D1">
      <w:pPr>
        <w:spacing w:line="257" w:lineRule="auto"/>
      </w:pPr>
      <w:r w:rsidRPr="0BC890D1">
        <w:rPr>
          <w:rFonts w:eastAsia="Arial" w:cs="Arial"/>
          <w:i/>
          <w:iCs/>
          <w:sz w:val="18"/>
          <w:szCs w:val="18"/>
        </w:rPr>
        <w:t xml:space="preserve">Figure 7. The proposed </w:t>
      </w:r>
      <w:proofErr w:type="spellStart"/>
      <w:r w:rsidRPr="0BC890D1">
        <w:rPr>
          <w:rFonts w:eastAsia="Arial" w:cs="Arial"/>
          <w:i/>
          <w:iCs/>
          <w:sz w:val="18"/>
          <w:szCs w:val="18"/>
        </w:rPr>
        <w:t>Tang.ɢwan</w:t>
      </w:r>
      <w:proofErr w:type="spellEnd"/>
      <w:r w:rsidRPr="0BC890D1">
        <w:rPr>
          <w:rFonts w:eastAsia="Arial" w:cs="Arial"/>
          <w:i/>
          <w:iCs/>
          <w:sz w:val="18"/>
          <w:szCs w:val="18"/>
        </w:rPr>
        <w:t xml:space="preserve"> – </w:t>
      </w:r>
      <w:proofErr w:type="spellStart"/>
      <w:r w:rsidRPr="0BC890D1">
        <w:rPr>
          <w:rFonts w:eastAsia="Arial" w:cs="Arial"/>
          <w:i/>
          <w:iCs/>
          <w:sz w:val="18"/>
          <w:szCs w:val="18"/>
        </w:rPr>
        <w:t>ḥačxwiqak</w:t>
      </w:r>
      <w:proofErr w:type="spellEnd"/>
      <w:r w:rsidRPr="0BC890D1">
        <w:rPr>
          <w:rFonts w:eastAsia="Arial" w:cs="Arial"/>
          <w:i/>
          <w:iCs/>
          <w:sz w:val="18"/>
          <w:szCs w:val="18"/>
        </w:rPr>
        <w:t xml:space="preserve"> – </w:t>
      </w:r>
      <w:proofErr w:type="spellStart"/>
      <w:r w:rsidRPr="0BC890D1">
        <w:rPr>
          <w:rFonts w:eastAsia="Arial" w:cs="Arial"/>
          <w:i/>
          <w:iCs/>
          <w:sz w:val="18"/>
          <w:szCs w:val="18"/>
        </w:rPr>
        <w:t>Tsig̱is</w:t>
      </w:r>
      <w:proofErr w:type="spellEnd"/>
      <w:r w:rsidRPr="0BC890D1">
        <w:rPr>
          <w:rFonts w:eastAsia="Arial" w:cs="Arial"/>
          <w:i/>
          <w:iCs/>
          <w:sz w:val="18"/>
          <w:szCs w:val="18"/>
        </w:rPr>
        <w:t xml:space="preserve"> Marine Protected Area </w:t>
      </w:r>
    </w:p>
    <w:p w14:paraId="24421E02" w14:textId="5DA946CE" w:rsidR="0BC890D1" w:rsidRDefault="0BC890D1" w:rsidP="0BC890D1">
      <w:pPr>
        <w:spacing w:line="257" w:lineRule="auto"/>
        <w:rPr>
          <w:rFonts w:eastAsia="Arial" w:cs="Arial"/>
        </w:rPr>
      </w:pPr>
    </w:p>
    <w:p w14:paraId="7D8D8D9D" w14:textId="302CEB77" w:rsidR="0BC890D1" w:rsidRDefault="0BC890D1" w:rsidP="0BC890D1">
      <w:pPr>
        <w:pStyle w:val="Body"/>
      </w:pPr>
    </w:p>
    <w:p w14:paraId="6C9890BB" w14:textId="74518F74" w:rsidR="00A878B6" w:rsidRDefault="00A878B6" w:rsidP="008303A9">
      <w:pPr>
        <w:pStyle w:val="Caption"/>
      </w:pPr>
    </w:p>
    <w:p w14:paraId="24622C58" w14:textId="77777777" w:rsidR="00A878B6" w:rsidRDefault="00A878B6" w:rsidP="002C0DF4">
      <w:pPr>
        <w:pStyle w:val="Heading1"/>
      </w:pPr>
      <w:bookmarkStart w:id="11" w:name="_Toc131161707"/>
      <w:r>
        <w:t>Review of Agency Groundfish Research, Assessment and Management</w:t>
      </w:r>
      <w:bookmarkEnd w:id="11"/>
    </w:p>
    <w:p w14:paraId="7C164580" w14:textId="77777777" w:rsidR="00A878B6" w:rsidRDefault="00A878B6" w:rsidP="003454C2">
      <w:pPr>
        <w:pStyle w:val="Heading2"/>
        <w:numPr>
          <w:ilvl w:val="0"/>
          <w:numId w:val="29"/>
        </w:numPr>
      </w:pPr>
      <w:bookmarkStart w:id="12" w:name="_Toc131161708"/>
      <w:r>
        <w:t>Hagfish</w:t>
      </w:r>
      <w:bookmarkEnd w:id="12"/>
    </w:p>
    <w:p w14:paraId="7C3C1F36" w14:textId="77777777" w:rsidR="00A878B6" w:rsidRDefault="00A878B6" w:rsidP="002C0DF4">
      <w:pPr>
        <w:pStyle w:val="Heading3"/>
      </w:pPr>
      <w:r>
        <w:t>Research</w:t>
      </w:r>
    </w:p>
    <w:p w14:paraId="16416E1E" w14:textId="0D10BBC3" w:rsidR="00A878B6" w:rsidRPr="00063AB2" w:rsidRDefault="00A878B6" w:rsidP="00F71090">
      <w:pPr>
        <w:pStyle w:val="Body"/>
      </w:pPr>
      <w:r>
        <w:t>No new research in 20</w:t>
      </w:r>
      <w:r w:rsidR="00BD2D44">
        <w:t>2</w:t>
      </w:r>
      <w:r w:rsidR="29F93C9D">
        <w:t>2</w:t>
      </w:r>
      <w:r>
        <w:t>.</w:t>
      </w:r>
    </w:p>
    <w:p w14:paraId="5AEEA579" w14:textId="77777777" w:rsidR="00A878B6" w:rsidRDefault="00A878B6" w:rsidP="002C0DF4">
      <w:pPr>
        <w:pStyle w:val="Heading3"/>
      </w:pPr>
      <w:r>
        <w:t>Assessment</w:t>
      </w:r>
    </w:p>
    <w:p w14:paraId="41EC82EB" w14:textId="77777777" w:rsidR="00A878B6" w:rsidRDefault="00A878B6" w:rsidP="002C0DF4">
      <w:pPr>
        <w:pStyle w:val="Body"/>
      </w:pPr>
      <w:r>
        <w:t>Nothing to report.</w:t>
      </w:r>
    </w:p>
    <w:p w14:paraId="32264BB9" w14:textId="77777777" w:rsidR="00A878B6" w:rsidRDefault="00A878B6" w:rsidP="002C0DF4">
      <w:pPr>
        <w:pStyle w:val="Heading3"/>
      </w:pPr>
      <w:r>
        <w:t>Management</w:t>
      </w:r>
    </w:p>
    <w:p w14:paraId="2F1C1BF0" w14:textId="5BA8BA0E" w:rsidR="00A878B6" w:rsidRDefault="00A878B6" w:rsidP="00A878B6">
      <w:pPr>
        <w:pStyle w:val="Body"/>
      </w:pPr>
      <w:r>
        <w:t>There is currently no fishery for Hagfish in BC</w:t>
      </w:r>
      <w:r w:rsidR="002C0DF4">
        <w:t>.</w:t>
      </w:r>
    </w:p>
    <w:p w14:paraId="6F5C5C74" w14:textId="77777777" w:rsidR="002C0DF4" w:rsidRPr="00063AB2" w:rsidRDefault="64F5EEA2" w:rsidP="007E5B97">
      <w:pPr>
        <w:pStyle w:val="Heading2"/>
        <w:rPr>
          <w:color w:val="auto"/>
        </w:rPr>
      </w:pPr>
      <w:bookmarkStart w:id="13" w:name="_Toc131161709"/>
      <w:r w:rsidRPr="387816AB">
        <w:rPr>
          <w:color w:val="auto"/>
        </w:rPr>
        <w:lastRenderedPageBreak/>
        <w:t>Dogfish and other sharks</w:t>
      </w:r>
      <w:bookmarkEnd w:id="13"/>
    </w:p>
    <w:p w14:paraId="559FB0AB" w14:textId="77777777" w:rsidR="002C0DF4" w:rsidRPr="00063AB2" w:rsidRDefault="002C0DF4" w:rsidP="002C0DF4">
      <w:pPr>
        <w:pStyle w:val="Heading3"/>
        <w:numPr>
          <w:ilvl w:val="0"/>
          <w:numId w:val="9"/>
        </w:numPr>
        <w:rPr>
          <w:color w:val="auto"/>
        </w:rPr>
      </w:pPr>
      <w:r w:rsidRPr="5ABB0D50">
        <w:rPr>
          <w:color w:val="auto"/>
        </w:rPr>
        <w:t>Research</w:t>
      </w:r>
    </w:p>
    <w:p w14:paraId="65F955B9" w14:textId="77777777" w:rsidR="003629F7" w:rsidRPr="00063AB2" w:rsidRDefault="003629F7" w:rsidP="003629F7">
      <w:pPr>
        <w:pStyle w:val="Heading4"/>
      </w:pPr>
      <w:r>
        <w:t>North Pacific Spiny Dogfish</w:t>
      </w:r>
    </w:p>
    <w:p w14:paraId="36D9A808" w14:textId="3BDD01D6" w:rsidR="00290689" w:rsidRPr="00063AB2" w:rsidRDefault="606795F5" w:rsidP="00290689">
      <w:pPr>
        <w:pStyle w:val="Body"/>
      </w:pPr>
      <w:r>
        <w:t>Data collection continued in 20</w:t>
      </w:r>
      <w:r w:rsidR="26E23D80">
        <w:t>2</w:t>
      </w:r>
      <w:r w:rsidR="6C4DE1AB">
        <w:t>2</w:t>
      </w:r>
      <w:r>
        <w:t xml:space="preserve"> through the annual groundfish </w:t>
      </w:r>
      <w:r w:rsidR="39402ACF">
        <w:t>multispecies</w:t>
      </w:r>
      <w:r>
        <w:t xml:space="preserve"> trawl and longline surveys</w:t>
      </w:r>
      <w:r w:rsidR="26E23D80">
        <w:t xml:space="preserve">. </w:t>
      </w:r>
      <w:r w:rsidR="46D340B2">
        <w:t>Due the suspension of the At Sea Observer Program no biological samples were collected from the commercial fishery in 202</w:t>
      </w:r>
      <w:r w:rsidR="14BEC3DA">
        <w:t>2</w:t>
      </w:r>
      <w:r w:rsidR="46D340B2">
        <w:t xml:space="preserve">. </w:t>
      </w:r>
      <w:r w:rsidR="4DD94E75">
        <w:t>Several indices of relative abundance for North Pacific Spiny Dogfish in BC waters have declined over the last decade despite relatively little catch compared to historical levels and no directed fishery in recent years. Dr. Lindsay Davidson is a postdoc leading a research project (with Drs. Sean Anderson, Philina English, Jackie King, and Paul Grant, and NOAA collaborators Drs. Cindy Tribuzio, Vladlena Gertseva, and Ian Taylor) examining these declines and evaluating the evidence for possible explanations including climate, predator-prey interactions, seasonal distribution shifts, population declines from historical harvesting, or changes to survey timing.</w:t>
      </w:r>
    </w:p>
    <w:p w14:paraId="653C4043" w14:textId="570FFC18" w:rsidR="003629F7" w:rsidRPr="00063AB2" w:rsidRDefault="00290689" w:rsidP="00607061">
      <w:pPr>
        <w:pStyle w:val="Heading4"/>
      </w:pPr>
      <w:r>
        <w:t xml:space="preserve"> </w:t>
      </w:r>
      <w:r w:rsidR="003629F7">
        <w:t>Other Shark Species</w:t>
      </w:r>
    </w:p>
    <w:p w14:paraId="49BE9F22" w14:textId="7BC21BE6" w:rsidR="00084BAE" w:rsidRPr="00063AB2" w:rsidRDefault="606795F5" w:rsidP="006F46E5">
      <w:pPr>
        <w:pStyle w:val="Body"/>
        <w:spacing w:before="240"/>
      </w:pPr>
      <w:r>
        <w:t>Other species</w:t>
      </w:r>
      <w:r w:rsidR="730D6FFF">
        <w:t xml:space="preserve"> of shark</w:t>
      </w:r>
      <w:r>
        <w:t xml:space="preserve"> are sampled opportunistically</w:t>
      </w:r>
      <w:r w:rsidR="730D6FFF">
        <w:t xml:space="preserve"> during annual groundfish </w:t>
      </w:r>
      <w:r w:rsidR="39402ACF">
        <w:t>multispecies</w:t>
      </w:r>
      <w:r w:rsidR="730D6FFF">
        <w:t xml:space="preserve"> trawl and longline surveys</w:t>
      </w:r>
      <w:r w:rsidR="2C0719F7">
        <w:t>.</w:t>
      </w:r>
      <w:r w:rsidR="730D6FFF">
        <w:t xml:space="preserve"> </w:t>
      </w:r>
      <w:r w:rsidR="018E5BDC">
        <w:t>In 202</w:t>
      </w:r>
      <w:r w:rsidR="3D187CEB">
        <w:t>2</w:t>
      </w:r>
      <w:r w:rsidR="018E5BDC">
        <w:t>,</w:t>
      </w:r>
      <w:r w:rsidR="20E822F1">
        <w:t xml:space="preserve"> </w:t>
      </w:r>
      <w:r w:rsidR="3D187CEB">
        <w:t xml:space="preserve">one </w:t>
      </w:r>
      <w:r w:rsidR="018E5BDC">
        <w:t>Tope Shark</w:t>
      </w:r>
      <w:r w:rsidR="66251FF4">
        <w:t xml:space="preserve">, </w:t>
      </w:r>
      <w:r w:rsidR="242EC0FD">
        <w:t>five</w:t>
      </w:r>
      <w:r w:rsidR="33C5D8D9">
        <w:t xml:space="preserve"> Blue Sharks, </w:t>
      </w:r>
      <w:r w:rsidR="362103F6">
        <w:t xml:space="preserve">and </w:t>
      </w:r>
      <w:r w:rsidR="33C5D8D9">
        <w:t xml:space="preserve">25 Brown Cat Sharks </w:t>
      </w:r>
      <w:r w:rsidR="018E5BDC">
        <w:t>were sampled. Due</w:t>
      </w:r>
      <w:r w:rsidR="5703D991">
        <w:t xml:space="preserve"> to</w:t>
      </w:r>
      <w:r w:rsidR="018E5BDC">
        <w:t xml:space="preserve"> the suspension of the At Sea Observer Program no biological samples were collected from the commercial fishery.</w:t>
      </w:r>
      <w:r w:rsidR="761BDC8E">
        <w:t xml:space="preserve"> A</w:t>
      </w:r>
      <w:r w:rsidR="12DBA758">
        <w:t>necdotal information on encounters with other shark species is also collected through the Shark Sightings Network (</w:t>
      </w:r>
      <w:hyperlink r:id="rId48">
        <w:r w:rsidR="12DBA758" w:rsidRPr="36F5592C">
          <w:rPr>
            <w:rStyle w:val="Hyperlink"/>
            <w:color w:val="auto"/>
          </w:rPr>
          <w:t>https://www.dfo-mpo.gc.ca/species-especes/sharks/info/sightings-eng.html</w:t>
        </w:r>
      </w:hyperlink>
      <w:r w:rsidR="12DBA758">
        <w:t>).</w:t>
      </w:r>
    </w:p>
    <w:p w14:paraId="30C2E13B" w14:textId="77777777" w:rsidR="002C0DF4" w:rsidRPr="00063AB2" w:rsidRDefault="002C0DF4" w:rsidP="002C0DF4">
      <w:pPr>
        <w:pStyle w:val="Heading3"/>
        <w:rPr>
          <w:color w:val="auto"/>
        </w:rPr>
      </w:pPr>
      <w:r w:rsidRPr="5ABB0D50">
        <w:rPr>
          <w:color w:val="auto"/>
        </w:rPr>
        <w:t>Assessment</w:t>
      </w:r>
    </w:p>
    <w:p w14:paraId="4801924F" w14:textId="77777777" w:rsidR="003629F7" w:rsidRPr="00063AB2" w:rsidRDefault="003629F7" w:rsidP="00D560CF">
      <w:pPr>
        <w:pStyle w:val="Heading4"/>
        <w:numPr>
          <w:ilvl w:val="0"/>
          <w:numId w:val="24"/>
        </w:numPr>
      </w:pPr>
      <w:r>
        <w:t>North Pacific Spiny Dogfish</w:t>
      </w:r>
    </w:p>
    <w:p w14:paraId="399C2031" w14:textId="0CA4E3DA" w:rsidR="00D60A3C" w:rsidRPr="00063AB2" w:rsidRDefault="606795F5" w:rsidP="009567C5">
      <w:pPr>
        <w:pStyle w:val="Body"/>
      </w:pPr>
      <w:r>
        <w:t>North Pacific Spiny Dogfish</w:t>
      </w:r>
      <w:r w:rsidR="04599564">
        <w:t>, hereafter ‘Spiny Dogfish’</w:t>
      </w:r>
      <w:r w:rsidR="3A5EB058">
        <w:t xml:space="preserve"> </w:t>
      </w:r>
      <w:r>
        <w:t xml:space="preserve">were last assessed </w:t>
      </w:r>
      <w:r w:rsidR="1739019F">
        <w:t>by</w:t>
      </w:r>
      <w:r w:rsidR="625A7CE8">
        <w:t xml:space="preserve"> the</w:t>
      </w:r>
      <w:r w:rsidR="1739019F">
        <w:t xml:space="preserve"> </w:t>
      </w:r>
      <w:r w:rsidR="2C5D3F22">
        <w:t>Committee on the Status of Wildlife in Canada (</w:t>
      </w:r>
      <w:r w:rsidR="1739019F">
        <w:t>COSEWIC</w:t>
      </w:r>
      <w:r w:rsidR="2C5D3F22">
        <w:t>)</w:t>
      </w:r>
      <w:r w:rsidR="1739019F">
        <w:t xml:space="preserve"> </w:t>
      </w:r>
      <w:r>
        <w:t>in 201</w:t>
      </w:r>
      <w:r w:rsidR="23F318D7">
        <w:t>1</w:t>
      </w:r>
      <w:r w:rsidR="1739019F">
        <w:t xml:space="preserve"> and the last </w:t>
      </w:r>
      <w:r w:rsidR="2C5D3F22">
        <w:t xml:space="preserve">scientific advisory report was </w:t>
      </w:r>
      <w:r w:rsidR="1739019F">
        <w:t>completed in</w:t>
      </w:r>
      <w:r w:rsidR="23F318D7">
        <w:t xml:space="preserve"> </w:t>
      </w:r>
      <w:r w:rsidR="330E482F">
        <w:t>2011</w:t>
      </w:r>
      <w:r w:rsidR="7A7EB3E1">
        <w:t xml:space="preserve"> (</w:t>
      </w:r>
      <w:proofErr w:type="spellStart"/>
      <w:r w:rsidR="7A7EB3E1">
        <w:t>Galluci</w:t>
      </w:r>
      <w:proofErr w:type="spellEnd"/>
      <w:r w:rsidR="7A7EB3E1">
        <w:t xml:space="preserve"> et al 2011)</w:t>
      </w:r>
      <w:r w:rsidR="2C0719F7">
        <w:t xml:space="preserve">. </w:t>
      </w:r>
      <w:r w:rsidR="4DD94E75">
        <w:t xml:space="preserve">Dogfish are scheduled to be “batched in” as a Major Stock under the Fish Stocks provisions of the </w:t>
      </w:r>
      <w:r w:rsidR="4DD94E75" w:rsidRPr="36F5592C">
        <w:rPr>
          <w:i/>
          <w:iCs/>
        </w:rPr>
        <w:t>Fisheries Act</w:t>
      </w:r>
      <w:r w:rsidR="68A95188">
        <w:t>. An assessment is currently underway for the outside stock with pla</w:t>
      </w:r>
      <w:r w:rsidR="10B46183">
        <w:t>ns to complete the inside assessment the following year.</w:t>
      </w:r>
    </w:p>
    <w:p w14:paraId="6FB522AA" w14:textId="65AF12E4" w:rsidR="00D60A3C" w:rsidRPr="00063AB2" w:rsidRDefault="4053AC3D" w:rsidP="00D147F4">
      <w:r>
        <w:t>In 2011, the Committee on the Status of Wildlife in Canada (COSEW</w:t>
      </w:r>
      <w:r w:rsidR="08D8DD7A">
        <w:t>I</w:t>
      </w:r>
      <w:r>
        <w:t>C) assessed the conservation status of Spiny Dogfish as Special Concern, citing low fecundity, long generation time (51 years), uncertainty regarding trends in abundance of mature individuals, reduction in size composition, and demonstrated vulnerability to overfishing as the causes for concern. Nevertheless, COSEWIC acknowledged that the population remains relatively abundant and</w:t>
      </w:r>
      <w:r w:rsidR="2E01BC9C">
        <w:t xml:space="preserve"> that</w:t>
      </w:r>
      <w:r>
        <w:t xml:space="preserve"> overfishing </w:t>
      </w:r>
      <w:r w:rsidR="1192ADAF">
        <w:t>was</w:t>
      </w:r>
      <w:r>
        <w:t xml:space="preserve"> unlikely.</w:t>
      </w:r>
      <w:r w:rsidR="1192ADAF">
        <w:t xml:space="preserve"> Spiny Dogfish have been pending a</w:t>
      </w:r>
      <w:r w:rsidR="0105A8C6">
        <w:t xml:space="preserve"> Species </w:t>
      </w:r>
      <w:r w:rsidR="04BE1A52">
        <w:t>a</w:t>
      </w:r>
      <w:r w:rsidR="0105A8C6">
        <w:t xml:space="preserve">t Risk Act listing decision by the Governor in Council since 2011 and recently public consultations </w:t>
      </w:r>
      <w:r w:rsidR="293E0C8D">
        <w:t xml:space="preserve">have </w:t>
      </w:r>
      <w:r w:rsidR="05E9FC64">
        <w:t xml:space="preserve">been </w:t>
      </w:r>
      <w:r w:rsidR="293E0C8D">
        <w:t>opened to get feedback on listing Spiny Dogfish (</w:t>
      </w:r>
      <w:hyperlink r:id="rId49">
        <w:r w:rsidR="293E0C8D" w:rsidRPr="387816AB">
          <w:rPr>
            <w:rStyle w:val="Hyperlink"/>
          </w:rPr>
          <w:t>Consultation check-in on 14 aquatic species under consideration for addition or reclassification to Schedule 1 of the Species at Risk Act - Canada.ca</w:t>
        </w:r>
      </w:hyperlink>
      <w:r w:rsidR="293E0C8D">
        <w:t xml:space="preserve">). </w:t>
      </w:r>
    </w:p>
    <w:p w14:paraId="15EBBC32" w14:textId="225BE803" w:rsidR="36F5592C" w:rsidRDefault="36F5592C" w:rsidP="36F5592C">
      <w:pPr>
        <w:pStyle w:val="Body"/>
      </w:pPr>
    </w:p>
    <w:p w14:paraId="6283BC9E" w14:textId="5F4FF23D" w:rsidR="00D60A3C" w:rsidRPr="00063AB2" w:rsidRDefault="0AB1F2AE" w:rsidP="00D60A3C">
      <w:pPr>
        <w:pStyle w:val="Body"/>
      </w:pPr>
      <w:r>
        <w:lastRenderedPageBreak/>
        <w:t xml:space="preserve">The </w:t>
      </w:r>
      <w:r w:rsidR="00837ECA">
        <w:t xml:space="preserve">Spiny Dogfish </w:t>
      </w:r>
      <w:r w:rsidR="098AB1B1">
        <w:t>COSEW</w:t>
      </w:r>
      <w:r w:rsidR="00837ECA">
        <w:t>I</w:t>
      </w:r>
      <w:r w:rsidR="098AB1B1">
        <w:t xml:space="preserve">C status report </w:t>
      </w:r>
      <w:r w:rsidR="00837ECA">
        <w:t xml:space="preserve">is </w:t>
      </w:r>
      <w:r w:rsidR="098AB1B1">
        <w:t>available at</w:t>
      </w:r>
      <w:r w:rsidR="00837ECA">
        <w:t xml:space="preserve"> </w:t>
      </w:r>
      <w:hyperlink r:id="rId50" w:anchor="/species/1168-846">
        <w:r w:rsidR="00837ECA" w:rsidRPr="36F5592C">
          <w:rPr>
            <w:rStyle w:val="Hyperlink"/>
          </w:rPr>
          <w:t>North Pacific Spiny Dogfish (Squalus suckleyi) - Species search - Species at risk registry (canada.ca)</w:t>
        </w:r>
      </w:hyperlink>
      <w:r w:rsidR="098AB1B1">
        <w:t>.</w:t>
      </w:r>
    </w:p>
    <w:p w14:paraId="2C2AC4E6" w14:textId="77777777" w:rsidR="003629F7" w:rsidRPr="00063AB2" w:rsidRDefault="003629F7" w:rsidP="003629F7">
      <w:pPr>
        <w:pStyle w:val="Heading4"/>
      </w:pPr>
      <w:r>
        <w:t>Other Shark Species</w:t>
      </w:r>
    </w:p>
    <w:p w14:paraId="148C48E3" w14:textId="77777777" w:rsidR="00CF68F3" w:rsidRPr="00063AB2" w:rsidRDefault="58A90EBF" w:rsidP="009567C5">
      <w:pPr>
        <w:pStyle w:val="Body"/>
      </w:pPr>
      <w:r>
        <w:t xml:space="preserve">As no directed commercial fisheries for sharks other than North Pacific Spiny Dogfish exist in British Columbia, there have been no requests for any stock assessments.  </w:t>
      </w:r>
    </w:p>
    <w:p w14:paraId="3CA42860" w14:textId="4446A414" w:rsidR="006F46E5" w:rsidRPr="00063AB2" w:rsidRDefault="64220104" w:rsidP="009567C5">
      <w:pPr>
        <w:pStyle w:val="Body"/>
      </w:pPr>
      <w:r>
        <w:t>T</w:t>
      </w:r>
      <w:r w:rsidR="12DBA758">
        <w:t>he Committee on the Status of Wildlife in Canada (COSEW</w:t>
      </w:r>
      <w:r w:rsidR="186CA50D">
        <w:t>I</w:t>
      </w:r>
      <w:r w:rsidR="12DBA758">
        <w:t xml:space="preserve">C) has assessed the conservation status of </w:t>
      </w:r>
      <w:r w:rsidR="44DCE83D">
        <w:t>several</w:t>
      </w:r>
      <w:r w:rsidR="12DBA758">
        <w:t xml:space="preserve"> British Colu</w:t>
      </w:r>
      <w:r w:rsidR="00673B40">
        <w:t>mbia shark species, and three species are listed under the Canadian Species at Risk Act (SARA)</w:t>
      </w:r>
      <w:r w:rsidR="730D6FFF">
        <w:t>:</w:t>
      </w:r>
    </w:p>
    <w:p w14:paraId="3230C539" w14:textId="77777777" w:rsidR="006F46E5" w:rsidRPr="00063AB2" w:rsidRDefault="006F46E5" w:rsidP="00D560CF">
      <w:pPr>
        <w:pStyle w:val="Body"/>
        <w:numPr>
          <w:ilvl w:val="0"/>
          <w:numId w:val="23"/>
        </w:numPr>
        <w:spacing w:after="0"/>
      </w:pPr>
      <w:r>
        <w:t>Basking Shark: Desig</w:t>
      </w:r>
      <w:r w:rsidR="00CF68F3">
        <w:t>nated Endangered in 2007. S</w:t>
      </w:r>
      <w:r>
        <w:t>tatus re-examined and confirmed in 2018.</w:t>
      </w:r>
      <w:r w:rsidR="003B4BA8">
        <w:t xml:space="preserve">  Listed under SARA.</w:t>
      </w:r>
    </w:p>
    <w:p w14:paraId="6F4C6FC6" w14:textId="73D21FB5" w:rsidR="003629F7" w:rsidRPr="00063AB2" w:rsidRDefault="2DEC0CE5" w:rsidP="00D560CF">
      <w:pPr>
        <w:pStyle w:val="Body"/>
        <w:numPr>
          <w:ilvl w:val="0"/>
          <w:numId w:val="23"/>
        </w:numPr>
        <w:spacing w:after="0"/>
      </w:pPr>
      <w:r>
        <w:t>Bluntnose Sixgill Shark: Designated Special Concern in 2007. Currently being re-examined. Listed under SARA.</w:t>
      </w:r>
    </w:p>
    <w:p w14:paraId="1F364696" w14:textId="3182EEA8" w:rsidR="003629F7" w:rsidRPr="00063AB2" w:rsidRDefault="730D6FFF" w:rsidP="00D560CF">
      <w:pPr>
        <w:pStyle w:val="Body"/>
        <w:numPr>
          <w:ilvl w:val="0"/>
          <w:numId w:val="23"/>
        </w:numPr>
        <w:spacing w:after="0"/>
      </w:pPr>
      <w:r>
        <w:t>Tope Shark: Designated Special Concern in 2007. Currently being re-examined. Listed under SARA.</w:t>
      </w:r>
    </w:p>
    <w:p w14:paraId="463F29E8" w14:textId="77777777" w:rsidR="003629F7" w:rsidRPr="00063AB2" w:rsidRDefault="003629F7" w:rsidP="003629F7">
      <w:pPr>
        <w:pStyle w:val="Body"/>
        <w:spacing w:after="0"/>
        <w:ind w:left="720"/>
      </w:pPr>
    </w:p>
    <w:p w14:paraId="48AE2F42" w14:textId="443304AB" w:rsidR="005266B3" w:rsidRDefault="10F47595" w:rsidP="003629F7">
      <w:pPr>
        <w:pStyle w:val="Body"/>
        <w:spacing w:after="0"/>
      </w:pPr>
      <w:r>
        <w:t xml:space="preserve">Blue Shark (North Pacific population) was examined by COSEWIC in 2016 and designated Not at Risk. White Shark </w:t>
      </w:r>
      <w:r w:rsidR="4053AC3D">
        <w:t xml:space="preserve">and Brown Cat Shark </w:t>
      </w:r>
      <w:r>
        <w:t>were considered</w:t>
      </w:r>
      <w:r w:rsidR="4053AC3D">
        <w:t xml:space="preserve"> in 2006 and 2007</w:t>
      </w:r>
      <w:r>
        <w:t xml:space="preserve"> and placed in the Data Deficient category</w:t>
      </w:r>
      <w:r w:rsidR="17E2A0EE">
        <w:t xml:space="preserve">. </w:t>
      </w:r>
      <w:r w:rsidR="4B0B2E64">
        <w:t>Shark s</w:t>
      </w:r>
      <w:r w:rsidR="78B82951">
        <w:t>pecies yet to be assessed include</w:t>
      </w:r>
      <w:r w:rsidR="232C3AED">
        <w:t xml:space="preserve"> the</w:t>
      </w:r>
      <w:r w:rsidR="78B82951">
        <w:t xml:space="preserve"> Salmon shark</w:t>
      </w:r>
      <w:r w:rsidR="486777F7">
        <w:t xml:space="preserve"> and </w:t>
      </w:r>
      <w:r w:rsidR="78B82951">
        <w:t xml:space="preserve">Pacific </w:t>
      </w:r>
      <w:r w:rsidR="694393D8">
        <w:t>S</w:t>
      </w:r>
      <w:r w:rsidR="78B82951">
        <w:t xml:space="preserve">leeper </w:t>
      </w:r>
      <w:r w:rsidR="694393D8">
        <w:t>S</w:t>
      </w:r>
      <w:r w:rsidR="78B82951">
        <w:t>hark</w:t>
      </w:r>
      <w:r w:rsidR="486777F7">
        <w:t xml:space="preserve">. </w:t>
      </w:r>
    </w:p>
    <w:p w14:paraId="0890DDD0" w14:textId="77777777" w:rsidR="005266B3" w:rsidRDefault="005266B3" w:rsidP="003629F7">
      <w:pPr>
        <w:pStyle w:val="Body"/>
        <w:spacing w:after="0"/>
      </w:pPr>
    </w:p>
    <w:p w14:paraId="114E12BD" w14:textId="2A30854A" w:rsidR="00CF68F3" w:rsidRPr="00063AB2" w:rsidRDefault="64220104" w:rsidP="36F5592C">
      <w:pPr>
        <w:pStyle w:val="Body"/>
        <w:spacing w:after="0"/>
      </w:pPr>
      <w:r>
        <w:t xml:space="preserve">COSEWC status reports are available at </w:t>
      </w:r>
      <w:hyperlink r:id="rId51">
        <w:r w:rsidRPr="36F5592C">
          <w:rPr>
            <w:rStyle w:val="Hyperlink"/>
            <w:color w:val="auto"/>
          </w:rPr>
          <w:t>https://www.canada.ca/en/environment-climate-change/services/species-risk-public-registry/cosewic-assessments-status-reports.html</w:t>
        </w:r>
      </w:hyperlink>
      <w:r>
        <w:t>.</w:t>
      </w:r>
    </w:p>
    <w:p w14:paraId="2481CB58" w14:textId="77777777" w:rsidR="002C0DF4" w:rsidRPr="00063AB2" w:rsidRDefault="002C0DF4" w:rsidP="002C0DF4">
      <w:pPr>
        <w:pStyle w:val="Heading3"/>
        <w:rPr>
          <w:color w:val="auto"/>
        </w:rPr>
      </w:pPr>
      <w:r w:rsidRPr="5ABB0D50">
        <w:rPr>
          <w:color w:val="auto"/>
        </w:rPr>
        <w:t>Management</w:t>
      </w:r>
    </w:p>
    <w:p w14:paraId="71192B46" w14:textId="77777777" w:rsidR="00D60A3C" w:rsidRPr="00063AB2" w:rsidRDefault="00D60A3C" w:rsidP="00D560CF">
      <w:pPr>
        <w:pStyle w:val="Heading4"/>
        <w:numPr>
          <w:ilvl w:val="0"/>
          <w:numId w:val="25"/>
        </w:numPr>
      </w:pPr>
      <w:r>
        <w:t>North Pacific Spiny Dogfish</w:t>
      </w:r>
    </w:p>
    <w:p w14:paraId="3E5C33F1" w14:textId="299B7EC6" w:rsidR="00ED16FB" w:rsidRPr="00063AB2" w:rsidRDefault="098AB1B1" w:rsidP="00ED16FB">
      <w:pPr>
        <w:pStyle w:val="Body"/>
      </w:pPr>
      <w:r w:rsidRPr="00063AB2">
        <w:rPr>
          <w:rFonts w:ascii="Helvetica" w:hAnsi="Helvetica" w:cs="Helvetica"/>
          <w:shd w:val="clear" w:color="auto" w:fill="FFFFFF"/>
        </w:rPr>
        <w:t>Spiny Dogfish</w:t>
      </w:r>
      <w:r w:rsidR="606795F5" w:rsidRPr="00063AB2">
        <w:t xml:space="preserve"> are managed as part of the integrated mixed species multi-gear groundfish fishery under the Integrated Fisheries Management Plan (IFMP)</w:t>
      </w:r>
      <w:r w:rsidRPr="00063AB2">
        <w:t xml:space="preserve"> and are permitted to be retained in the recreational fishery</w:t>
      </w:r>
      <w:r w:rsidR="2C0719F7" w:rsidRPr="00063AB2">
        <w:t xml:space="preserve">. </w:t>
      </w:r>
      <w:r w:rsidR="606795F5" w:rsidRPr="00063AB2">
        <w:t xml:space="preserve">There is currently no targeted fishing for </w:t>
      </w:r>
      <w:r w:rsidR="32B91145">
        <w:t xml:space="preserve">Spiny </w:t>
      </w:r>
      <w:r w:rsidR="606795F5" w:rsidRPr="00063AB2">
        <w:t>Dogfish</w:t>
      </w:r>
      <w:r w:rsidR="2C0719F7" w:rsidRPr="00063AB2">
        <w:t xml:space="preserve">. </w:t>
      </w:r>
      <w:r w:rsidR="35E9848C" w:rsidRPr="00063AB2">
        <w:t>Commercial TACs and landings for 20</w:t>
      </w:r>
      <w:r w:rsidR="15A33360" w:rsidRPr="00063AB2">
        <w:t>2</w:t>
      </w:r>
      <w:r w:rsidR="6E274CB0">
        <w:t>2</w:t>
      </w:r>
      <w:r w:rsidR="35E9848C" w:rsidRPr="00063AB2">
        <w:t xml:space="preserve"> are provided in </w:t>
      </w:r>
      <w:r w:rsidR="7DDE5EF8">
        <w:t>Appendix 1</w:t>
      </w:r>
      <w:r w:rsidR="35E9848C" w:rsidRPr="00063AB2">
        <w:t xml:space="preserve">. To support groundfish research and account for unavoidable mortality incurred during the </w:t>
      </w:r>
      <w:r w:rsidR="53DFF782" w:rsidRPr="00063AB2">
        <w:t>202</w:t>
      </w:r>
      <w:r w:rsidR="53DFF782">
        <w:t>2</w:t>
      </w:r>
      <w:r w:rsidR="53DFF782" w:rsidRPr="00063AB2">
        <w:t xml:space="preserve"> </w:t>
      </w:r>
      <w:r w:rsidR="35E9848C" w:rsidRPr="00063AB2">
        <w:t xml:space="preserve">Groundfish surveys, research catches are allocated before defining the TAC. See </w:t>
      </w:r>
      <w:r w:rsidR="7DDE5EF8">
        <w:t>Appendix 1</w:t>
      </w:r>
      <w:r w:rsidR="35E9848C" w:rsidRPr="00063AB2">
        <w:t xml:space="preserve"> for details.</w:t>
      </w:r>
    </w:p>
    <w:p w14:paraId="7AA9E842" w14:textId="77777777" w:rsidR="00D60A3C" w:rsidRPr="00063AB2" w:rsidRDefault="00D60A3C" w:rsidP="00D60A3C">
      <w:pPr>
        <w:pStyle w:val="Heading4"/>
      </w:pPr>
      <w:r>
        <w:t>Other Shark Species</w:t>
      </w:r>
    </w:p>
    <w:p w14:paraId="2978973C" w14:textId="3CA4C938" w:rsidR="003B4BA8" w:rsidRPr="00063AB2" w:rsidRDefault="00673B40" w:rsidP="009567C5">
      <w:pPr>
        <w:pStyle w:val="Body"/>
      </w:pPr>
      <w:r w:rsidRPr="00063AB2">
        <w:rPr>
          <w:rFonts w:ascii="Helvetica" w:hAnsi="Helvetica" w:cs="Helvetica"/>
          <w:shd w:val="clear" w:color="auto" w:fill="FFFFFF"/>
        </w:rPr>
        <w:t xml:space="preserve">Currently, there is no directed commercial fishery for </w:t>
      </w:r>
      <w:r w:rsidR="098AB1B1" w:rsidRPr="00063AB2">
        <w:rPr>
          <w:rFonts w:ascii="Helvetica" w:hAnsi="Helvetica" w:cs="Helvetica"/>
          <w:shd w:val="clear" w:color="auto" w:fill="FFFFFF"/>
        </w:rPr>
        <w:t xml:space="preserve">other </w:t>
      </w:r>
      <w:r w:rsidRPr="00063AB2">
        <w:rPr>
          <w:rFonts w:ascii="Helvetica" w:hAnsi="Helvetica" w:cs="Helvetica"/>
          <w:shd w:val="clear" w:color="auto" w:fill="FFFFFF"/>
        </w:rPr>
        <w:t>shark</w:t>
      </w:r>
      <w:r w:rsidR="3B58DB82">
        <w:rPr>
          <w:rFonts w:ascii="Helvetica" w:hAnsi="Helvetica" w:cs="Helvetica"/>
          <w:shd w:val="clear" w:color="auto" w:fill="FFFFFF"/>
        </w:rPr>
        <w:t>s</w:t>
      </w:r>
      <w:r w:rsidRPr="00063AB2">
        <w:rPr>
          <w:rFonts w:ascii="Helvetica" w:hAnsi="Helvetica" w:cs="Helvetica"/>
          <w:shd w:val="clear" w:color="auto" w:fill="FFFFFF"/>
        </w:rPr>
        <w:t xml:space="preserve"> in Canadian Pacific waters</w:t>
      </w:r>
      <w:r w:rsidR="098AB1B1" w:rsidRPr="00063AB2">
        <w:rPr>
          <w:rFonts w:ascii="Helvetica" w:hAnsi="Helvetica" w:cs="Helvetica"/>
          <w:shd w:val="clear" w:color="auto" w:fill="FFFFFF"/>
        </w:rPr>
        <w:t xml:space="preserve">; only </w:t>
      </w:r>
      <w:r w:rsidRPr="00063AB2">
        <w:rPr>
          <w:rFonts w:ascii="Helvetica" w:hAnsi="Helvetica" w:cs="Helvetica"/>
          <w:shd w:val="clear" w:color="auto" w:fill="FFFFFF"/>
        </w:rPr>
        <w:t xml:space="preserve">Salmon Shark are permitted to be retained in the recreational fishery. Species at Risk Act prohibitions only apply to species listed as </w:t>
      </w:r>
      <w:r w:rsidR="489D9669">
        <w:rPr>
          <w:rFonts w:ascii="Helvetica" w:hAnsi="Helvetica" w:cs="Helvetica"/>
          <w:shd w:val="clear" w:color="auto" w:fill="FFFFFF"/>
        </w:rPr>
        <w:t>E</w:t>
      </w:r>
      <w:r w:rsidRPr="00063AB2">
        <w:rPr>
          <w:rFonts w:ascii="Helvetica" w:hAnsi="Helvetica" w:cs="Helvetica"/>
          <w:shd w:val="clear" w:color="auto" w:fill="FFFFFF"/>
        </w:rPr>
        <w:t xml:space="preserve">xtirpated, </w:t>
      </w:r>
      <w:r w:rsidR="489D9669">
        <w:rPr>
          <w:rFonts w:ascii="Helvetica" w:hAnsi="Helvetica" w:cs="Helvetica"/>
          <w:shd w:val="clear" w:color="auto" w:fill="FFFFFF"/>
        </w:rPr>
        <w:t>E</w:t>
      </w:r>
      <w:r w:rsidRPr="00063AB2">
        <w:rPr>
          <w:rFonts w:ascii="Helvetica" w:hAnsi="Helvetica" w:cs="Helvetica"/>
          <w:shd w:val="clear" w:color="auto" w:fill="FFFFFF"/>
        </w:rPr>
        <w:t>ndangered</w:t>
      </w:r>
      <w:r w:rsidR="1A5AEF18" w:rsidRPr="00063AB2">
        <w:rPr>
          <w:rFonts w:ascii="Helvetica" w:hAnsi="Helvetica" w:cs="Helvetica"/>
          <w:shd w:val="clear" w:color="auto" w:fill="FFFFFF"/>
        </w:rPr>
        <w:t>,</w:t>
      </w:r>
      <w:r w:rsidRPr="00063AB2">
        <w:rPr>
          <w:rFonts w:ascii="Helvetica" w:hAnsi="Helvetica" w:cs="Helvetica"/>
          <w:shd w:val="clear" w:color="auto" w:fill="FFFFFF"/>
        </w:rPr>
        <w:t xml:space="preserve"> or </w:t>
      </w:r>
      <w:r w:rsidR="489D9669">
        <w:rPr>
          <w:rFonts w:ascii="Helvetica" w:hAnsi="Helvetica" w:cs="Helvetica"/>
          <w:shd w:val="clear" w:color="auto" w:fill="FFFFFF"/>
        </w:rPr>
        <w:t>T</w:t>
      </w:r>
      <w:r w:rsidRPr="00063AB2">
        <w:rPr>
          <w:rFonts w:ascii="Helvetica" w:hAnsi="Helvetica" w:cs="Helvetica"/>
          <w:shd w:val="clear" w:color="auto" w:fill="FFFFFF"/>
        </w:rPr>
        <w:t xml:space="preserve">hreatened; thus, they do not apply to species of </w:t>
      </w:r>
      <w:r w:rsidR="489D9669">
        <w:rPr>
          <w:rFonts w:ascii="Helvetica" w:hAnsi="Helvetica" w:cs="Helvetica"/>
          <w:shd w:val="clear" w:color="auto" w:fill="FFFFFF"/>
        </w:rPr>
        <w:t>S</w:t>
      </w:r>
      <w:r w:rsidRPr="00063AB2">
        <w:rPr>
          <w:rFonts w:ascii="Helvetica" w:hAnsi="Helvetica" w:cs="Helvetica"/>
          <w:shd w:val="clear" w:color="auto" w:fill="FFFFFF"/>
        </w:rPr>
        <w:t xml:space="preserve">pecial </w:t>
      </w:r>
      <w:r w:rsidR="489D9669">
        <w:rPr>
          <w:rFonts w:ascii="Helvetica" w:hAnsi="Helvetica" w:cs="Helvetica"/>
          <w:shd w:val="clear" w:color="auto" w:fill="FFFFFF"/>
        </w:rPr>
        <w:t>C</w:t>
      </w:r>
      <w:r w:rsidRPr="00063AB2">
        <w:rPr>
          <w:rFonts w:ascii="Helvetica" w:hAnsi="Helvetica" w:cs="Helvetica"/>
          <w:shd w:val="clear" w:color="auto" w:fill="FFFFFF"/>
        </w:rPr>
        <w:t>oncern.</w:t>
      </w:r>
      <w:r w:rsidR="6D5E88EC">
        <w:rPr>
          <w:rFonts w:ascii="Helvetica" w:hAnsi="Helvetica" w:cs="Helvetica"/>
          <w:shd w:val="clear" w:color="auto" w:fill="FFFFFF"/>
        </w:rPr>
        <w:t xml:space="preserve"> </w:t>
      </w:r>
      <w:r w:rsidRPr="00063AB2">
        <w:rPr>
          <w:rFonts w:ascii="Helvetica" w:hAnsi="Helvetica" w:cs="Helvetica"/>
          <w:shd w:val="clear" w:color="auto" w:fill="FFFFFF"/>
        </w:rPr>
        <w:t>Nevertheless, commercial fisheries are no longer permitted to retain Species at Risk Act listed shark species</w:t>
      </w:r>
      <w:r w:rsidR="086A85BB" w:rsidRPr="00063AB2">
        <w:rPr>
          <w:rFonts w:ascii="Helvetica" w:hAnsi="Helvetica" w:cs="Helvetica"/>
          <w:shd w:val="clear" w:color="auto" w:fill="FFFFFF"/>
        </w:rPr>
        <w:t>--</w:t>
      </w:r>
      <w:r w:rsidRPr="00063AB2">
        <w:rPr>
          <w:rFonts w:ascii="Helvetica" w:hAnsi="Helvetica" w:cs="Helvetica"/>
          <w:shd w:val="clear" w:color="auto" w:fill="FFFFFF"/>
        </w:rPr>
        <w:t>all bycatch for these species is to be released at sea with the least possible harm. Catch limits for the recreational fishery have been reduced to “no fishing” for all species listed under the Species at Risk Act, and “zero retention” (catch and release) for all other shark species except Salmon</w:t>
      </w:r>
      <w:r w:rsidR="098AB1B1" w:rsidRPr="00063AB2">
        <w:rPr>
          <w:rFonts w:ascii="Helvetica" w:hAnsi="Helvetica" w:cs="Helvetica"/>
          <w:shd w:val="clear" w:color="auto" w:fill="FFFFFF"/>
        </w:rPr>
        <w:t xml:space="preserve"> Shark</w:t>
      </w:r>
      <w:r w:rsidRPr="00063AB2">
        <w:rPr>
          <w:rFonts w:ascii="Helvetica" w:hAnsi="Helvetica" w:cs="Helvetica"/>
          <w:shd w:val="clear" w:color="auto" w:fill="FFFFFF"/>
        </w:rPr>
        <w:t xml:space="preserve">. Codes of </w:t>
      </w:r>
      <w:r w:rsidRPr="00063AB2">
        <w:rPr>
          <w:rFonts w:ascii="Helvetica" w:hAnsi="Helvetica" w:cs="Helvetica"/>
          <w:shd w:val="clear" w:color="auto" w:fill="FFFFFF"/>
        </w:rPr>
        <w:lastRenderedPageBreak/>
        <w:t>conduct have been developed for encounters with Basking Sharks (</w:t>
      </w:r>
      <w:hyperlink r:id="rId52" w:history="1">
        <w:r w:rsidRPr="00063AB2">
          <w:rPr>
            <w:rStyle w:val="Hyperlink"/>
            <w:color w:val="auto"/>
          </w:rPr>
          <w:t>https://www.dfo-mpo.gc.ca/species-especes/publications/sharks/coc/coc-basking/index-eng.html</w:t>
        </w:r>
      </w:hyperlink>
      <w:r w:rsidRPr="00063AB2">
        <w:rPr>
          <w:rFonts w:ascii="Helvetica" w:hAnsi="Helvetica" w:cs="Helvetica"/>
          <w:shd w:val="clear" w:color="auto" w:fill="FFFFFF"/>
        </w:rPr>
        <w:t>) and other sharks (</w:t>
      </w:r>
      <w:hyperlink r:id="rId53" w:history="1">
        <w:r w:rsidRPr="00063AB2">
          <w:rPr>
            <w:rStyle w:val="Hyperlink"/>
            <w:color w:val="auto"/>
          </w:rPr>
          <w:t>https://www.dfo-mpo.gc.ca/species-especes/publications/sharks/coc/coc-sharks/index-eng.html</w:t>
        </w:r>
      </w:hyperlink>
      <w:r w:rsidRPr="00063AB2">
        <w:t>).</w:t>
      </w:r>
    </w:p>
    <w:p w14:paraId="475CD7E3" w14:textId="145ADF78" w:rsidR="002C0DF4" w:rsidRPr="00063AB2" w:rsidRDefault="5DBB6AA0" w:rsidP="007E5B97">
      <w:pPr>
        <w:pStyle w:val="Heading2"/>
        <w:rPr>
          <w:color w:val="auto"/>
        </w:rPr>
      </w:pPr>
      <w:bookmarkStart w:id="14" w:name="_Toc131161710"/>
      <w:r w:rsidRPr="36F5592C">
        <w:rPr>
          <w:color w:val="auto"/>
        </w:rPr>
        <w:t>Skates</w:t>
      </w:r>
      <w:r w:rsidR="381E73C3" w:rsidRPr="36F5592C">
        <w:rPr>
          <w:color w:val="auto"/>
        </w:rPr>
        <w:t xml:space="preserve"> and Chimeras</w:t>
      </w:r>
      <w:bookmarkEnd w:id="14"/>
    </w:p>
    <w:p w14:paraId="6CA7938D" w14:textId="77777777" w:rsidR="002C0DF4" w:rsidRPr="00063AB2" w:rsidRDefault="002C0DF4" w:rsidP="007E5B97">
      <w:pPr>
        <w:pStyle w:val="Heading3"/>
        <w:numPr>
          <w:ilvl w:val="0"/>
          <w:numId w:val="10"/>
        </w:numPr>
        <w:rPr>
          <w:color w:val="auto"/>
        </w:rPr>
      </w:pPr>
      <w:r w:rsidRPr="5ABB0D50">
        <w:rPr>
          <w:color w:val="auto"/>
        </w:rPr>
        <w:t>Research</w:t>
      </w:r>
    </w:p>
    <w:p w14:paraId="13335D3B" w14:textId="70915460" w:rsidR="00D65A3F" w:rsidRPr="00063AB2" w:rsidRDefault="5246F805" w:rsidP="009671DD">
      <w:pPr>
        <w:pStyle w:val="Body"/>
      </w:pPr>
      <w:r>
        <w:t>Data collection continued in 20</w:t>
      </w:r>
      <w:r w:rsidR="0B2B0F06">
        <w:t>2</w:t>
      </w:r>
      <w:r w:rsidR="14201F7D">
        <w:t>2</w:t>
      </w:r>
      <w:r>
        <w:t xml:space="preserve"> through trawl and longline surveys. Most individual skates encountered on groundfish research surveys are sampled (length, weight if feasible, sex) and released alive</w:t>
      </w:r>
      <w:r w:rsidR="44ED2128">
        <w:t>,</w:t>
      </w:r>
      <w:r>
        <w:t xml:space="preserve"> if possible</w:t>
      </w:r>
      <w:r w:rsidR="018E5BDC">
        <w:t>.</w:t>
      </w:r>
      <w:r w:rsidR="56F8CCEB">
        <w:t xml:space="preserve"> In 2022, </w:t>
      </w:r>
      <w:r w:rsidR="6149A644">
        <w:t xml:space="preserve">nine </w:t>
      </w:r>
      <w:r w:rsidR="0E7B51CA">
        <w:t>Aleutian Skate</w:t>
      </w:r>
      <w:r w:rsidR="6149A644">
        <w:t>s</w:t>
      </w:r>
      <w:r w:rsidR="0E7B51CA">
        <w:t xml:space="preserve">, </w:t>
      </w:r>
      <w:r w:rsidR="6149A644">
        <w:t xml:space="preserve">11 </w:t>
      </w:r>
      <w:r w:rsidR="0E7B51CA">
        <w:t>Rou</w:t>
      </w:r>
      <w:r w:rsidR="23B9E102">
        <w:t>g</w:t>
      </w:r>
      <w:r w:rsidR="0E7B51CA">
        <w:t>htail Skate</w:t>
      </w:r>
      <w:r w:rsidR="6149A644">
        <w:t>s</w:t>
      </w:r>
      <w:r w:rsidR="0E7B51CA">
        <w:t xml:space="preserve">, </w:t>
      </w:r>
      <w:r w:rsidR="6149A644">
        <w:t xml:space="preserve">43 </w:t>
      </w:r>
      <w:r w:rsidR="0E7B51CA">
        <w:t>Big Skate</w:t>
      </w:r>
      <w:r w:rsidR="6149A644">
        <w:t>s</w:t>
      </w:r>
      <w:r w:rsidR="0E7B51CA">
        <w:t xml:space="preserve">, </w:t>
      </w:r>
      <w:r w:rsidR="6149A644">
        <w:t xml:space="preserve">55 </w:t>
      </w:r>
      <w:r w:rsidR="0E7B51CA">
        <w:t>Sandpaper skate</w:t>
      </w:r>
      <w:r w:rsidR="6149A644">
        <w:t>s</w:t>
      </w:r>
      <w:r w:rsidR="0E7B51CA">
        <w:t xml:space="preserve">, and </w:t>
      </w:r>
      <w:r w:rsidR="242EC0FD">
        <w:t xml:space="preserve">546 </w:t>
      </w:r>
      <w:r w:rsidR="0E7B51CA">
        <w:t>Spotted Ratfish were sampled</w:t>
      </w:r>
      <w:r w:rsidR="6149A644">
        <w:t>.</w:t>
      </w:r>
      <w:r w:rsidR="018E5BDC">
        <w:t xml:space="preserve"> </w:t>
      </w:r>
      <w:r w:rsidR="0A91630B">
        <w:t xml:space="preserve">Due </w:t>
      </w:r>
      <w:r w:rsidR="6A5F70AD">
        <w:t xml:space="preserve">to </w:t>
      </w:r>
      <w:r w:rsidR="0A91630B">
        <w:t>the suspension of the At Sea Observer Program no biological samples were collected from the commercial fishery in 202</w:t>
      </w:r>
      <w:r w:rsidR="0216E8B4">
        <w:t>2</w:t>
      </w:r>
      <w:r w:rsidR="0A91630B">
        <w:t xml:space="preserve">. </w:t>
      </w:r>
    </w:p>
    <w:p w14:paraId="61869AF0" w14:textId="77777777" w:rsidR="002C0DF4" w:rsidRPr="00063AB2" w:rsidRDefault="002C0DF4" w:rsidP="002C0DF4">
      <w:pPr>
        <w:pStyle w:val="Heading3"/>
        <w:rPr>
          <w:color w:val="auto"/>
        </w:rPr>
      </w:pPr>
      <w:r w:rsidRPr="5ABB0D50">
        <w:rPr>
          <w:color w:val="auto"/>
        </w:rPr>
        <w:t>Assessment</w:t>
      </w:r>
    </w:p>
    <w:p w14:paraId="2AC9ED56" w14:textId="77777777" w:rsidR="00D65A3F" w:rsidRDefault="5246F805" w:rsidP="00D65A3F">
      <w:pPr>
        <w:pStyle w:val="Body"/>
      </w:pPr>
      <w:r>
        <w:t>Big Skates and Longnose Skate were assessed in 2013 (King et al 2015)</w:t>
      </w:r>
      <w:r w:rsidR="2C0719F7">
        <w:t xml:space="preserve">. </w:t>
      </w:r>
      <w:r>
        <w:t>No new assessment is currently planned</w:t>
      </w:r>
      <w:r w:rsidR="2C0719F7">
        <w:t xml:space="preserve">. </w:t>
      </w:r>
      <w:r>
        <w:t>No other skate species in British Columbia are assessed.</w:t>
      </w:r>
    </w:p>
    <w:p w14:paraId="19528466" w14:textId="79B3D710" w:rsidR="002B4B81" w:rsidRPr="00063AB2" w:rsidRDefault="7692D302">
      <w:pPr>
        <w:pStyle w:val="Body"/>
        <w:spacing w:after="0"/>
      </w:pPr>
      <w:r>
        <w:t xml:space="preserve">The Big Skate, Longnose Skate, and Sandpaper Skate have all been assessed at Not at Risk by COSEWIC in 2007. </w:t>
      </w:r>
      <w:r w:rsidR="0CFA2372">
        <w:t>S</w:t>
      </w:r>
      <w:r w:rsidR="5FEB4C59">
        <w:t xml:space="preserve">kate </w:t>
      </w:r>
      <w:r>
        <w:t>species</w:t>
      </w:r>
      <w:r w:rsidR="0AEFE731">
        <w:t xml:space="preserve"> still to be assessed are those</w:t>
      </w:r>
      <w:r>
        <w:t xml:space="preserve"> that are less common in British Columbia includ</w:t>
      </w:r>
      <w:r w:rsidR="206C53AB">
        <w:t>ing</w:t>
      </w:r>
      <w:r>
        <w:t xml:space="preserve"> the Aleutian skate, Abyssal Skate, Alaska Skate, Roughtail Skate, and Broad Skate. Finally, the Spotted ratfish is not assessed. </w:t>
      </w:r>
      <w:r w:rsidR="06C09569">
        <w:t xml:space="preserve">A coastwide assessment of Spotted Ratfish </w:t>
      </w:r>
      <w:r w:rsidR="39FE7143">
        <w:t xml:space="preserve">has been requested to contribute </w:t>
      </w:r>
      <w:r w:rsidR="39FE7143" w:rsidRPr="011D8235">
        <w:rPr>
          <w:rFonts w:ascii="Roboto" w:eastAsia="Roboto" w:hAnsi="Roboto" w:cs="Roboto"/>
          <w:color w:val="212529"/>
        </w:rPr>
        <w:t>to the implementation of the bycatch policy</w:t>
      </w:r>
      <w:r w:rsidR="143DD6E1" w:rsidRPr="011D8235">
        <w:rPr>
          <w:rFonts w:ascii="Roboto" w:eastAsia="Roboto" w:hAnsi="Roboto" w:cs="Roboto"/>
          <w:color w:val="212529"/>
        </w:rPr>
        <w:t xml:space="preserve"> within the sustainable Fisheries Framework, but this work has been deferred indefinitely. </w:t>
      </w:r>
    </w:p>
    <w:p w14:paraId="0D8A3217" w14:textId="77777777" w:rsidR="002B4B81" w:rsidRPr="00063AB2" w:rsidRDefault="002B4B81" w:rsidP="00D65A3F">
      <w:pPr>
        <w:pStyle w:val="Body"/>
      </w:pPr>
    </w:p>
    <w:p w14:paraId="324DA9E6" w14:textId="77777777" w:rsidR="002C0DF4" w:rsidRPr="00063AB2" w:rsidRDefault="002C0DF4" w:rsidP="002C0DF4">
      <w:pPr>
        <w:pStyle w:val="Heading3"/>
        <w:rPr>
          <w:color w:val="auto"/>
        </w:rPr>
      </w:pPr>
      <w:r w:rsidRPr="5ABB0D50">
        <w:rPr>
          <w:color w:val="auto"/>
        </w:rPr>
        <w:t>Management</w:t>
      </w:r>
    </w:p>
    <w:p w14:paraId="3763BD5B" w14:textId="0FD97D90" w:rsidR="00ED16FB" w:rsidRDefault="168B3CDF" w:rsidP="00ED16FB">
      <w:pPr>
        <w:pStyle w:val="Body"/>
      </w:pPr>
      <w:r>
        <w:t xml:space="preserve">Big Skate, Longnose Skate, and Spotted Ratfish comprise </w:t>
      </w:r>
      <w:r w:rsidR="04D83578">
        <w:t>most of</w:t>
      </w:r>
      <w:r>
        <w:t xml:space="preserve"> the non-shark catch (landings + discards from the commercial fisheries). </w:t>
      </w:r>
      <w:r w:rsidR="5246F805">
        <w:t xml:space="preserve">Big and Longnose </w:t>
      </w:r>
      <w:r w:rsidR="6D5E88EC">
        <w:t>S</w:t>
      </w:r>
      <w:r w:rsidR="5246F805">
        <w:t xml:space="preserve">kates are currently managed </w:t>
      </w:r>
      <w:r w:rsidR="05B5029C">
        <w:t xml:space="preserve">as part of the Integrated Fisheries Management Plan (IFMP) </w:t>
      </w:r>
      <w:r w:rsidR="515D8031">
        <w:t xml:space="preserve">with </w:t>
      </w:r>
      <w:r w:rsidR="5246F805">
        <w:t>sector and area TACs</w:t>
      </w:r>
      <w:r w:rsidR="2C0719F7">
        <w:t xml:space="preserve">. </w:t>
      </w:r>
      <w:r w:rsidR="5246F805">
        <w:t xml:space="preserve">Big and Longnose </w:t>
      </w:r>
      <w:r w:rsidR="6D5E88EC">
        <w:t>S</w:t>
      </w:r>
      <w:r w:rsidR="5246F805">
        <w:t>kates are IVQ (individual vessel quota) species</w:t>
      </w:r>
      <w:r w:rsidR="2C0719F7">
        <w:t xml:space="preserve">. </w:t>
      </w:r>
      <w:r w:rsidR="35E9848C">
        <w:t>Commercial TACs and landings for 20</w:t>
      </w:r>
      <w:r w:rsidR="60D393B8">
        <w:t>2</w:t>
      </w:r>
      <w:r w:rsidR="42C7C3D6">
        <w:t>2</w:t>
      </w:r>
      <w:r w:rsidR="35E9848C">
        <w:t xml:space="preserve"> are provided in </w:t>
      </w:r>
      <w:r w:rsidR="7DDE5EF8">
        <w:t>Appendix 1</w:t>
      </w:r>
      <w:r w:rsidR="35E9848C">
        <w:t>. To support groundfish research and account for unavoidable mortality incurred during the 20</w:t>
      </w:r>
      <w:r w:rsidR="60D393B8">
        <w:t>2</w:t>
      </w:r>
      <w:r w:rsidR="23F898E0">
        <w:t>2</w:t>
      </w:r>
      <w:r w:rsidR="35E9848C">
        <w:t xml:space="preserve"> Groundfish surveys, research catches are allocated before defining the TAC. See </w:t>
      </w:r>
      <w:r w:rsidR="7DDE5EF8">
        <w:t>Appendix 1</w:t>
      </w:r>
      <w:r w:rsidR="35E9848C">
        <w:t xml:space="preserve"> for details.</w:t>
      </w:r>
      <w:r w:rsidR="47A69164">
        <w:t xml:space="preserve"> There are no management measures in place for all other species of skate.</w:t>
      </w:r>
    </w:p>
    <w:p w14:paraId="088772AF" w14:textId="6AF870B3" w:rsidR="0047527F" w:rsidRPr="00063AB2" w:rsidRDefault="5288258D" w:rsidP="00ED16FB">
      <w:pPr>
        <w:pStyle w:val="Body"/>
      </w:pPr>
      <w:r>
        <w:t xml:space="preserve">Spotted Ratfish </w:t>
      </w:r>
      <w:r w:rsidR="559ADB16">
        <w:t xml:space="preserve">have no management measures in place nor are they part of a direct fishery. They </w:t>
      </w:r>
      <w:r w:rsidR="243C3674">
        <w:t>are discarded bycatch mostly in the 5CDE management areas</w:t>
      </w:r>
      <w:r w:rsidR="336F01C1">
        <w:t>.</w:t>
      </w:r>
    </w:p>
    <w:p w14:paraId="3A1313F4" w14:textId="77777777" w:rsidR="00D65A3F" w:rsidRPr="00063AB2" w:rsidRDefault="00D65A3F" w:rsidP="00D65A3F">
      <w:pPr>
        <w:pStyle w:val="Body"/>
      </w:pPr>
      <w:r>
        <w:t>Literature Cited:</w:t>
      </w:r>
    </w:p>
    <w:p w14:paraId="1D16F571" w14:textId="264AD7EB" w:rsidR="00C66765" w:rsidRPr="00C66765" w:rsidRDefault="181DBC0E" w:rsidP="36F5592C">
      <w:pPr>
        <w:spacing w:line="240" w:lineRule="auto"/>
        <w:ind w:left="720" w:right="720" w:hanging="720"/>
        <w:rPr>
          <w:rFonts w:cs="Arial"/>
        </w:rPr>
      </w:pPr>
      <w:proofErr w:type="spellStart"/>
      <w:r w:rsidRPr="36F5592C">
        <w:rPr>
          <w:rFonts w:eastAsia="NimbusSanL-Regu" w:cs="Arial"/>
          <w:lang w:val="en-US"/>
        </w:rPr>
        <w:t>Galluci</w:t>
      </w:r>
      <w:proofErr w:type="spellEnd"/>
      <w:r w:rsidRPr="36F5592C">
        <w:rPr>
          <w:rFonts w:eastAsia="NimbusSanL-Regu" w:cs="Arial"/>
          <w:lang w:val="en-US"/>
        </w:rPr>
        <w:t xml:space="preserve">, V., Taylor, I., King, J., McFarlane, G.A., and </w:t>
      </w:r>
      <w:proofErr w:type="spellStart"/>
      <w:r w:rsidRPr="36F5592C">
        <w:rPr>
          <w:rFonts w:eastAsia="NimbusSanL-Regu" w:cs="Arial"/>
          <w:lang w:val="en-US"/>
        </w:rPr>
        <w:t>McPhie</w:t>
      </w:r>
      <w:proofErr w:type="spellEnd"/>
      <w:r w:rsidRPr="36F5592C">
        <w:rPr>
          <w:rFonts w:eastAsia="NimbusSanL-Regu" w:cs="Arial"/>
          <w:lang w:val="en-US"/>
        </w:rPr>
        <w:t>, R. 2011. Spiny Dogfish (</w:t>
      </w:r>
      <w:r w:rsidRPr="36F5592C">
        <w:rPr>
          <w:rFonts w:eastAsia="NimbusSanL-ReguItal" w:cs="Arial"/>
          <w:i/>
          <w:iCs/>
          <w:lang w:val="en-US"/>
        </w:rPr>
        <w:t>Squalus</w:t>
      </w:r>
      <w:r w:rsidR="6D451598" w:rsidRPr="36F5592C">
        <w:rPr>
          <w:rFonts w:eastAsia="NimbusSanL-ReguItal" w:cs="Arial"/>
          <w:i/>
          <w:iCs/>
          <w:lang w:val="en-US"/>
        </w:rPr>
        <w:t xml:space="preserve"> </w:t>
      </w:r>
      <w:r w:rsidRPr="36F5592C">
        <w:rPr>
          <w:rFonts w:eastAsia="NimbusSanL-ReguItal" w:cs="Arial"/>
          <w:i/>
          <w:iCs/>
          <w:lang w:val="en-US"/>
        </w:rPr>
        <w:t>acanthias</w:t>
      </w:r>
      <w:r w:rsidRPr="36F5592C">
        <w:rPr>
          <w:rFonts w:eastAsia="NimbusSanL-Regu" w:cs="Arial"/>
          <w:lang w:val="en-US"/>
        </w:rPr>
        <w:t xml:space="preserve">) assessment and catch recommendations for 2010. DFO Can. Sci. </w:t>
      </w:r>
      <w:proofErr w:type="spellStart"/>
      <w:r w:rsidRPr="36F5592C">
        <w:rPr>
          <w:rFonts w:eastAsia="NimbusSanL-Regu" w:cs="Arial"/>
          <w:lang w:val="en-US"/>
        </w:rPr>
        <w:t>Advis</w:t>
      </w:r>
      <w:proofErr w:type="spellEnd"/>
      <w:r w:rsidRPr="36F5592C">
        <w:rPr>
          <w:rFonts w:eastAsia="NimbusSanL-Regu" w:cs="Arial"/>
          <w:lang w:val="en-US"/>
        </w:rPr>
        <w:t>. Sec.</w:t>
      </w:r>
      <w:r w:rsidR="58E082D7" w:rsidRPr="36F5592C">
        <w:rPr>
          <w:rFonts w:eastAsia="NimbusSanL-Regu" w:cs="Arial"/>
          <w:lang w:val="en-US"/>
        </w:rPr>
        <w:t xml:space="preserve"> </w:t>
      </w:r>
      <w:r w:rsidRPr="36F5592C">
        <w:rPr>
          <w:rFonts w:eastAsia="NimbusSanL-Regu" w:cs="Arial"/>
          <w:lang w:val="en-US"/>
        </w:rPr>
        <w:t>Res. Doc. 2011/034. xii + 69 p.</w:t>
      </w:r>
    </w:p>
    <w:p w14:paraId="2E84750D" w14:textId="17BF9F60" w:rsidR="36F5592C" w:rsidRDefault="36F5592C" w:rsidP="36F5592C">
      <w:pPr>
        <w:spacing w:line="240" w:lineRule="auto"/>
        <w:ind w:left="720" w:right="720" w:hanging="720"/>
        <w:rPr>
          <w:rFonts w:eastAsia="NimbusSanL-Regu" w:cs="Arial"/>
          <w:lang w:val="en-US"/>
        </w:rPr>
      </w:pPr>
    </w:p>
    <w:p w14:paraId="4EEA5426" w14:textId="5BC6616B" w:rsidR="00084BAE" w:rsidRPr="00063AB2" w:rsidRDefault="5246F805" w:rsidP="009F7C9B">
      <w:pPr>
        <w:pStyle w:val="Citation"/>
      </w:pPr>
      <w:r>
        <w:lastRenderedPageBreak/>
        <w:t>King, J.R., Surry, A.M., Garcia, S., and Starr, P.J. 2015. Big Skate (</w:t>
      </w:r>
      <w:r w:rsidRPr="36F5592C">
        <w:rPr>
          <w:i/>
          <w:iCs/>
        </w:rPr>
        <w:t>Raja binoculata</w:t>
      </w:r>
      <w:r>
        <w:t>) and Longnose Skate (</w:t>
      </w:r>
      <w:r w:rsidRPr="36F5592C">
        <w:rPr>
          <w:i/>
          <w:iCs/>
        </w:rPr>
        <w:t>R. rhina</w:t>
      </w:r>
      <w:r>
        <w:t xml:space="preserve">) stock assessments for British Columbia. DFO Can. Sci. </w:t>
      </w:r>
      <w:proofErr w:type="spellStart"/>
      <w:r>
        <w:t>Advis</w:t>
      </w:r>
      <w:proofErr w:type="spellEnd"/>
      <w:r>
        <w:t xml:space="preserve">. Sec. Res. Doc. 2015/070. ix + 329 p. </w:t>
      </w:r>
      <w:hyperlink r:id="rId54">
        <w:r w:rsidRPr="36F5592C">
          <w:rPr>
            <w:rStyle w:val="Hyperlink"/>
            <w:color w:val="auto"/>
          </w:rPr>
          <w:t>https://waves-vagues.dfo-mpo.gc.ca/Library/362171.pdf</w:t>
        </w:r>
      </w:hyperlink>
      <w:r>
        <w:t xml:space="preserve"> </w:t>
      </w:r>
    </w:p>
    <w:p w14:paraId="29DD069C" w14:textId="77777777" w:rsidR="002C0DF4" w:rsidRPr="00063AB2" w:rsidRDefault="64F5EEA2" w:rsidP="007E5B97">
      <w:pPr>
        <w:pStyle w:val="Heading2"/>
        <w:rPr>
          <w:color w:val="auto"/>
        </w:rPr>
      </w:pPr>
      <w:bookmarkStart w:id="15" w:name="_Toc131161711"/>
      <w:r w:rsidRPr="387816AB">
        <w:rPr>
          <w:color w:val="auto"/>
        </w:rPr>
        <w:t>Pacific Cod</w:t>
      </w:r>
      <w:bookmarkEnd w:id="15"/>
    </w:p>
    <w:p w14:paraId="70CBAB72" w14:textId="77777777" w:rsidR="002C0DF4" w:rsidRPr="00063AB2" w:rsidRDefault="002C0DF4" w:rsidP="007E5B97">
      <w:pPr>
        <w:pStyle w:val="Heading3"/>
        <w:numPr>
          <w:ilvl w:val="0"/>
          <w:numId w:val="11"/>
        </w:numPr>
        <w:rPr>
          <w:color w:val="auto"/>
        </w:rPr>
      </w:pPr>
      <w:r w:rsidRPr="5ABB0D50">
        <w:rPr>
          <w:color w:val="auto"/>
        </w:rPr>
        <w:t>Research</w:t>
      </w:r>
    </w:p>
    <w:p w14:paraId="2FB73323" w14:textId="5D816C66" w:rsidR="00E878D1" w:rsidRPr="00063AB2" w:rsidRDefault="0BB96F27" w:rsidP="009567C5">
      <w:pPr>
        <w:pStyle w:val="Body"/>
      </w:pPr>
      <w:r>
        <w:t>Data collection continued in 20</w:t>
      </w:r>
      <w:r w:rsidR="7C91C9C0">
        <w:t>2</w:t>
      </w:r>
      <w:r w:rsidR="6E9CF7C3">
        <w:t>2</w:t>
      </w:r>
      <w:r>
        <w:t xml:space="preserve"> through trawl and longline surveys</w:t>
      </w:r>
      <w:r w:rsidR="634B47C0">
        <w:t xml:space="preserve">. </w:t>
      </w:r>
      <w:r w:rsidR="3FEE37E8">
        <w:t>Due the suspension of the At Sea Observer Program no biological samples were collected from the commercial fishery</w:t>
      </w:r>
      <w:r w:rsidR="0A91630B">
        <w:t xml:space="preserve"> in 2021</w:t>
      </w:r>
      <w:r w:rsidR="2C0719F7">
        <w:t>.</w:t>
      </w:r>
      <w:r w:rsidR="7C91C9C0">
        <w:t xml:space="preserve"> </w:t>
      </w:r>
    </w:p>
    <w:p w14:paraId="75746D92" w14:textId="77777777" w:rsidR="002C0DF4" w:rsidRPr="00063AB2" w:rsidRDefault="002C0DF4" w:rsidP="002C0DF4">
      <w:pPr>
        <w:pStyle w:val="Heading3"/>
        <w:rPr>
          <w:color w:val="auto"/>
        </w:rPr>
      </w:pPr>
      <w:r w:rsidRPr="5ABB0D50">
        <w:rPr>
          <w:color w:val="auto"/>
        </w:rPr>
        <w:t>Assessment</w:t>
      </w:r>
    </w:p>
    <w:p w14:paraId="7BF80546" w14:textId="57CD5085" w:rsidR="2BF5AB7A" w:rsidRPr="00B41DB6" w:rsidRDefault="294D30BC" w:rsidP="47EB7344">
      <w:pPr>
        <w:pStyle w:val="Body"/>
      </w:pPr>
      <w:r>
        <w:t>The last assessments of Pacific Cod stocks</w:t>
      </w:r>
      <w:r w:rsidR="65EA4BD1">
        <w:t xml:space="preserve"> in Areas 3CD and 5ABCD</w:t>
      </w:r>
      <w:r>
        <w:t xml:space="preserve"> were done in 20</w:t>
      </w:r>
      <w:r w:rsidR="20D8F83D">
        <w:t>20</w:t>
      </w:r>
      <w:r>
        <w:t xml:space="preserve"> using the same delay-difference model that was used in 20</w:t>
      </w:r>
      <w:r w:rsidR="309AFDA9">
        <w:t>18</w:t>
      </w:r>
      <w:r>
        <w:t>. The</w:t>
      </w:r>
      <w:r w:rsidR="331D70D6">
        <w:t xml:space="preserve"> Science Response</w:t>
      </w:r>
      <w:r w:rsidR="51EC54A6">
        <w:t xml:space="preserve"> (SR</w:t>
      </w:r>
      <w:r w:rsidR="6D146528">
        <w:t xml:space="preserve"> 2021/002</w:t>
      </w:r>
      <w:r w:rsidR="51EC54A6">
        <w:t>) is available at</w:t>
      </w:r>
      <w:r>
        <w:t xml:space="preserve"> </w:t>
      </w:r>
      <w:hyperlink r:id="rId55" w:history="1">
        <w:r w:rsidR="03C6162C" w:rsidRPr="36F5592C">
          <w:rPr>
            <w:rStyle w:val="Hyperlink"/>
          </w:rPr>
          <w:t>https://www.dfo-mpo.gc.ca/csas-sccs/Publications/ScR-RS/2021/2021_002-eng.html</w:t>
        </w:r>
      </w:hyperlink>
      <w:r w:rsidR="03C6162C">
        <w:t>. Full documentation</w:t>
      </w:r>
      <w:r w:rsidR="72051FE8">
        <w:t xml:space="preserve"> of the stock assessment models is available in the </w:t>
      </w:r>
      <w:r>
        <w:t>Research Document</w:t>
      </w:r>
      <w:r w:rsidR="72776010">
        <w:t xml:space="preserve"> for the 2018 assessment</w:t>
      </w:r>
      <w:r>
        <w:t xml:space="preserve"> (Res Doc 2020/70)</w:t>
      </w:r>
      <w:r w:rsidR="3DEC1416">
        <w:t xml:space="preserve">, </w:t>
      </w:r>
      <w:r>
        <w:t xml:space="preserve">available at </w:t>
      </w:r>
      <w:hyperlink r:id="rId56">
        <w:r w:rsidR="7B983CDD" w:rsidRPr="36F5592C">
          <w:rPr>
            <w:rStyle w:val="Hyperlink"/>
          </w:rPr>
          <w:t>https://www.dfo-mpo.gc.ca/csas-sccs/Publications/ResDocs-DocRech/2020/2020_070-eng.html</w:t>
        </w:r>
      </w:hyperlink>
      <w:r>
        <w:t xml:space="preserve">. </w:t>
      </w:r>
      <w:r w:rsidR="10D0A4E8">
        <w:t xml:space="preserve">Four stocks are defined for management purposes in BC: Strait of Georgia (4B); West Coast Vancouver Island (3CD); Queen Charlotte Sound (5AB); and Hecate Strait (5CD). </w:t>
      </w:r>
      <w:r w:rsidR="6E965730">
        <w:t>Since</w:t>
      </w:r>
      <w:r w:rsidR="10D0A4E8">
        <w:t xml:space="preserve"> the 2018 assessment, data from Areas 5AB and 5CD </w:t>
      </w:r>
      <w:r w:rsidR="46554085">
        <w:t xml:space="preserve">have been </w:t>
      </w:r>
      <w:r w:rsidR="10D0A4E8">
        <w:t>combined into a single stock assessment</w:t>
      </w:r>
      <w:r w:rsidR="3FC5DF51">
        <w:t xml:space="preserve">. </w:t>
      </w:r>
      <w:r w:rsidR="586AC01D">
        <w:t>T</w:t>
      </w:r>
      <w:r w:rsidR="3FC5DF51">
        <w:t>h</w:t>
      </w:r>
      <w:r w:rsidR="6361DF26">
        <w:t>is is</w:t>
      </w:r>
      <w:r w:rsidR="586AC01D">
        <w:t xml:space="preserve"> </w:t>
      </w:r>
      <w:r w:rsidR="10D0A4E8">
        <w:t xml:space="preserve">due to improved fits to the combined data compared to data from area 5AB alone. Area 3CD was assessed separately. Area 4B was not assessed as there is no directed commercial fishery there. </w:t>
      </w:r>
    </w:p>
    <w:p w14:paraId="13CA7327" w14:textId="3A61DAD9" w:rsidR="36E1C5B9" w:rsidRPr="00417F12" w:rsidRDefault="7C6C1226" w:rsidP="47EB7344">
      <w:pPr>
        <w:pStyle w:val="Body"/>
      </w:pPr>
      <w:r>
        <w:t>The 2020 assessment updates for Areas</w:t>
      </w:r>
      <w:r w:rsidR="06AECFE5">
        <w:t xml:space="preserve"> </w:t>
      </w:r>
      <w:r w:rsidR="711443F2">
        <w:t xml:space="preserve">3CD and 5ABCD stock </w:t>
      </w:r>
      <w:r w:rsidR="06AECFE5">
        <w:t>assessment</w:t>
      </w:r>
      <w:r w:rsidR="76418627">
        <w:t xml:space="preserve">s were </w:t>
      </w:r>
      <w:r w:rsidR="58D04F03">
        <w:t xml:space="preserve">done </w:t>
      </w:r>
      <w:r w:rsidR="76418627">
        <w:t>following a</w:t>
      </w:r>
      <w:r w:rsidR="77901CD7">
        <w:t>n approximate 75% drop in the synoptic survey index in 2018 in 3CD, accompanied by three years of commercial catches well be</w:t>
      </w:r>
      <w:r w:rsidR="49E16D9F">
        <w:t xml:space="preserve">low average. </w:t>
      </w:r>
      <w:r w:rsidR="52333BBF">
        <w:t>The</w:t>
      </w:r>
      <w:r w:rsidR="479DAB87">
        <w:t>re was an estimated 2-10% probability that the 3CD stock would fall into the Critical Zone in 2022</w:t>
      </w:r>
      <w:r w:rsidR="5EB357D3">
        <w:t xml:space="preserve"> </w:t>
      </w:r>
      <w:r w:rsidR="234C1B2B">
        <w:t>under a range of 2021 catch levels. There was an estimated</w:t>
      </w:r>
      <w:r w:rsidR="7065EABD">
        <w:t xml:space="preserve"> </w:t>
      </w:r>
      <w:r w:rsidR="234C1B2B">
        <w:t>&lt;</w:t>
      </w:r>
      <w:r w:rsidR="7065EABD">
        <w:t xml:space="preserve"> 0.0</w:t>
      </w:r>
      <w:r w:rsidR="234C1B2B">
        <w:t>1% probability that the 5ABCD stock will fall into the Critical Zone in 2022.</w:t>
      </w:r>
      <w:r w:rsidR="3BB358F8">
        <w:t xml:space="preserve"> </w:t>
      </w:r>
    </w:p>
    <w:p w14:paraId="4A828325" w14:textId="417C3AC8" w:rsidR="36E1C5B9" w:rsidRPr="00417F12" w:rsidRDefault="7091E02A" w:rsidP="5C92B3F9">
      <w:pPr>
        <w:pStyle w:val="Body"/>
      </w:pPr>
      <w:r>
        <w:t>Groundfish bottom trawl surveys resumed in the West C</w:t>
      </w:r>
      <w:r w:rsidR="6D5E88EC">
        <w:t>o</w:t>
      </w:r>
      <w:r>
        <w:t xml:space="preserve">ast Vancouver Island, Queen Charlotte Sound and Hecate Strait areas in 2021. Compared to the 2019 index, the median swept area survey index increased by 25% in Hecate Strait and by 15% in Queen Charlotte Sound, representing the third year of increases in Hecate Strait and the second year of increases in Queen Charlotte Sound. Although not included in the stock assessment, the West Coast </w:t>
      </w:r>
      <w:proofErr w:type="spellStart"/>
      <w:r>
        <w:t>Haida</w:t>
      </w:r>
      <w:proofErr w:type="spellEnd"/>
      <w:r>
        <w:t xml:space="preserve"> </w:t>
      </w:r>
      <w:proofErr w:type="spellStart"/>
      <w:r>
        <w:t>Gwaii</w:t>
      </w:r>
      <w:proofErr w:type="spellEnd"/>
      <w:r>
        <w:t xml:space="preserve"> index also increased, with a 132% increase in the median swept area index, compared to 2018. However, the stock continued to decline in the West Coast Vancouver Island Survey, with a 22% decrease in the median swept area index compared to 2018.</w:t>
      </w:r>
      <w:r w:rsidR="7DA41F9D">
        <w:t xml:space="preserve"> </w:t>
      </w:r>
      <w:r w:rsidR="5D2CA828">
        <w:t>A West Coast Vancouver Island survey was conducted in 2022, with indices continuing to be at a similar level to 2018 and 2021.</w:t>
      </w:r>
    </w:p>
    <w:p w14:paraId="67E1C23F" w14:textId="4D25625F" w:rsidR="36E1C5B9" w:rsidRPr="00417F12" w:rsidRDefault="0A044814" w:rsidP="47EB7344">
      <w:pPr>
        <w:pStyle w:val="Body"/>
      </w:pPr>
      <w:r>
        <w:t>Given the decreases in the 2018</w:t>
      </w:r>
      <w:r w:rsidR="0224B3C1">
        <w:t>, 2021</w:t>
      </w:r>
      <w:r w:rsidR="35AAE578">
        <w:t>,</w:t>
      </w:r>
      <w:r>
        <w:t xml:space="preserve"> and 202</w:t>
      </w:r>
      <w:r w:rsidR="59C0E837">
        <w:t>2</w:t>
      </w:r>
      <w:r>
        <w:t xml:space="preserve"> West Coast Vancouver Island survey ind</w:t>
      </w:r>
      <w:r w:rsidR="42B6EB1C">
        <w:t>ices</w:t>
      </w:r>
      <w:r>
        <w:t>, a</w:t>
      </w:r>
      <w:r w:rsidR="50C5A7D7">
        <w:t xml:space="preserve">n update to the 3CD stock assessment is scheduled to occur </w:t>
      </w:r>
      <w:r w:rsidR="2FCA5279">
        <w:t>in 2023</w:t>
      </w:r>
      <w:r w:rsidR="50C5A7D7">
        <w:t>.</w:t>
      </w:r>
      <w:r w:rsidR="70E57201">
        <w:t xml:space="preserve"> This will be a stock </w:t>
      </w:r>
      <w:r w:rsidR="70E57201">
        <w:lastRenderedPageBreak/>
        <w:t xml:space="preserve">status update only, without management advice, </w:t>
      </w:r>
      <w:r w:rsidR="5F5B6D4E">
        <w:t xml:space="preserve">because management advice was </w:t>
      </w:r>
      <w:r w:rsidR="70E57201">
        <w:t xml:space="preserve">not </w:t>
      </w:r>
      <w:r w:rsidR="76642589">
        <w:t xml:space="preserve">requested in </w:t>
      </w:r>
      <w:r w:rsidR="70E57201">
        <w:t>2023.</w:t>
      </w:r>
      <w:r w:rsidR="557858DC">
        <w:t xml:space="preserve"> One concern with the 2023 status update is the absence of commercial length samples since 2019, which are needed to calculate the commercial </w:t>
      </w:r>
      <w:r w:rsidR="0166D761">
        <w:t xml:space="preserve">mean </w:t>
      </w:r>
      <w:r w:rsidR="557858DC">
        <w:t>weight index, one of the indices to which the</w:t>
      </w:r>
      <w:r w:rsidR="20E81118">
        <w:t xml:space="preserve"> delay-difference model is fit. For 2023, the best available approach will be to use a generalised linear model to predict the commercial</w:t>
      </w:r>
      <w:r w:rsidR="1491A3E1">
        <w:t xml:space="preserve"> mean</w:t>
      </w:r>
      <w:r w:rsidR="20E81118">
        <w:t xml:space="preserve"> weight</w:t>
      </w:r>
      <w:r w:rsidR="59D1ABB3">
        <w:t xml:space="preserve"> from the survey mean weight, based on historical observations of both indices.</w:t>
      </w:r>
    </w:p>
    <w:p w14:paraId="309DDB85" w14:textId="77777777" w:rsidR="002C0DF4" w:rsidRDefault="002C0DF4" w:rsidP="002C0DF4">
      <w:pPr>
        <w:pStyle w:val="Heading3"/>
      </w:pPr>
      <w:r>
        <w:t>Management</w:t>
      </w:r>
    </w:p>
    <w:p w14:paraId="6F66CC3A" w14:textId="5D9BC92F" w:rsidR="00ED16FB" w:rsidRPr="00417F12" w:rsidRDefault="009567C5" w:rsidP="00ED16FB">
      <w:pPr>
        <w:pStyle w:val="Body"/>
      </w:pPr>
      <w:r>
        <w:t xml:space="preserve">Pacific Cod is </w:t>
      </w:r>
      <w:r w:rsidR="004C7A5D">
        <w:t xml:space="preserve">an IVQ (individual vessel quota) species, managed as </w:t>
      </w:r>
      <w:r>
        <w:t>part of the integrated mixed species multi-gear groundfish fishery under the Integrated Fisheries Management Plan (IFMP)</w:t>
      </w:r>
      <w:r w:rsidR="00E878D1">
        <w:t xml:space="preserve">. </w:t>
      </w:r>
      <w:r w:rsidR="00ED16FB">
        <w:t>Commercial TACs and landings for 20</w:t>
      </w:r>
      <w:r w:rsidR="00C562BE">
        <w:t>20</w:t>
      </w:r>
      <w:r w:rsidR="00ED16FB">
        <w:t xml:space="preserve"> are provided in </w:t>
      </w:r>
      <w:r w:rsidR="001D067D">
        <w:t>Appendix 1</w:t>
      </w:r>
      <w:r w:rsidR="00ED16FB">
        <w:t xml:space="preserve">. To support groundfish research and account for unavoidable mortality incurred during the 2019 Groundfish surveys, research catches are allocated before defining the TAC. </w:t>
      </w:r>
      <w:r w:rsidR="521BB788">
        <w:t xml:space="preserve">Following the 2020 assessment update, the commercial TAC in Area 3CD was reduced </w:t>
      </w:r>
      <w:r w:rsidR="54D91D83">
        <w:t xml:space="preserve">to 300 metric tonnes. </w:t>
      </w:r>
      <w:r w:rsidR="00ED16FB">
        <w:t xml:space="preserve">See </w:t>
      </w:r>
      <w:r w:rsidR="001D067D">
        <w:t>Appendix 1</w:t>
      </w:r>
      <w:r w:rsidR="00ED16FB">
        <w:t xml:space="preserve"> for details.</w:t>
      </w:r>
      <w:r w:rsidR="31F25C43">
        <w:t xml:space="preserve"> In addition, winter spawning closures are in effect in both Areas 3CD and </w:t>
      </w:r>
      <w:r w:rsidR="00702790">
        <w:t>5</w:t>
      </w:r>
      <w:r w:rsidR="31F25C43">
        <w:t>CD.</w:t>
      </w:r>
    </w:p>
    <w:p w14:paraId="71EAA104" w14:textId="77777777" w:rsidR="002C0DF4" w:rsidRDefault="002C0DF4" w:rsidP="00200C96">
      <w:pPr>
        <w:pStyle w:val="Heading2"/>
      </w:pPr>
      <w:bookmarkStart w:id="16" w:name="_Toc131161712"/>
      <w:r>
        <w:t>Walleye Pollock</w:t>
      </w:r>
      <w:bookmarkEnd w:id="16"/>
    </w:p>
    <w:p w14:paraId="51F5EF70" w14:textId="77777777" w:rsidR="002C0DF4" w:rsidRPr="00417F12" w:rsidRDefault="002C0DF4" w:rsidP="007E5B97">
      <w:pPr>
        <w:pStyle w:val="Heading3"/>
        <w:numPr>
          <w:ilvl w:val="0"/>
          <w:numId w:val="12"/>
        </w:numPr>
        <w:rPr>
          <w:color w:val="auto"/>
        </w:rPr>
      </w:pPr>
      <w:r w:rsidRPr="5ABB0D50">
        <w:rPr>
          <w:color w:val="auto"/>
        </w:rPr>
        <w:t>Research</w:t>
      </w:r>
    </w:p>
    <w:p w14:paraId="2E1D6088" w14:textId="1C751BA1" w:rsidR="59ABE4A5" w:rsidRDefault="59ABE4A5" w:rsidP="44501DDE">
      <w:pPr>
        <w:rPr>
          <w:rFonts w:eastAsia="Arial" w:cs="Arial"/>
        </w:rPr>
      </w:pPr>
      <w:r w:rsidRPr="44501DDE">
        <w:rPr>
          <w:rFonts w:eastAsia="Arial" w:cs="Arial"/>
        </w:rPr>
        <w:t xml:space="preserve">There was no work conducted directly on Walleye Pollock in 2022 but ongoing data collection continues through the Groundfish Synoptic Surveys, port sampling (a new </w:t>
      </w:r>
      <w:proofErr w:type="spellStart"/>
      <w:r w:rsidRPr="44501DDE">
        <w:rPr>
          <w:rFonts w:eastAsia="Arial" w:cs="Arial"/>
        </w:rPr>
        <w:t>biosampling</w:t>
      </w:r>
      <w:proofErr w:type="spellEnd"/>
      <w:r w:rsidRPr="44501DDE">
        <w:rPr>
          <w:rFonts w:eastAsia="Arial" w:cs="Arial"/>
        </w:rPr>
        <w:t xml:space="preserve"> program will be implemented in 2023 for rockfish species, with expansion to other species later), and recreational creel surveys.</w:t>
      </w:r>
    </w:p>
    <w:p w14:paraId="3FD5EEA6" w14:textId="706F9AA4" w:rsidR="44501DDE" w:rsidRPr="006423A9" w:rsidRDefault="44501DDE" w:rsidP="44501DDE">
      <w:pPr>
        <w:pStyle w:val="Body"/>
      </w:pPr>
    </w:p>
    <w:p w14:paraId="21731FA8" w14:textId="77777777" w:rsidR="002C0DF4" w:rsidRPr="00417F12" w:rsidRDefault="002C0DF4" w:rsidP="002C0DF4">
      <w:pPr>
        <w:pStyle w:val="Heading3"/>
        <w:rPr>
          <w:color w:val="auto"/>
        </w:rPr>
      </w:pPr>
      <w:r w:rsidRPr="5ABB0D50">
        <w:rPr>
          <w:color w:val="auto"/>
        </w:rPr>
        <w:t>Assessment</w:t>
      </w:r>
    </w:p>
    <w:p w14:paraId="1ACC7974" w14:textId="3238E81A" w:rsidR="001A7793" w:rsidRPr="00417F12" w:rsidRDefault="00F87F07" w:rsidP="001A7793">
      <w:pPr>
        <w:pStyle w:val="Body"/>
      </w:pPr>
      <w:r>
        <w:t>The most recent stock assessment (2017) is publicly available on the CSAS website</w:t>
      </w:r>
      <w:r w:rsidR="0710E86B">
        <w:t>:</w:t>
      </w:r>
      <w:r>
        <w:br/>
        <w:t>(</w:t>
      </w:r>
      <w:hyperlink r:id="rId57">
        <w:r w:rsidRPr="44501DDE">
          <w:rPr>
            <w:rStyle w:val="Hyperlink"/>
          </w:rPr>
          <w:t>R</w:t>
        </w:r>
        <w:r w:rsidR="00A367C6" w:rsidRPr="44501DDE">
          <w:rPr>
            <w:rStyle w:val="Hyperlink"/>
          </w:rPr>
          <w:t xml:space="preserve">esearch </w:t>
        </w:r>
        <w:r w:rsidRPr="44501DDE">
          <w:rPr>
            <w:rStyle w:val="Hyperlink"/>
          </w:rPr>
          <w:t>D</w:t>
        </w:r>
        <w:r w:rsidR="00A367C6" w:rsidRPr="44501DDE">
          <w:rPr>
            <w:rStyle w:val="Hyperlink"/>
          </w:rPr>
          <w:t>ocument</w:t>
        </w:r>
        <w:r w:rsidRPr="44501DDE">
          <w:rPr>
            <w:rStyle w:val="Hyperlink"/>
          </w:rPr>
          <w:t> 2021/004</w:t>
        </w:r>
      </w:hyperlink>
      <w:r>
        <w:t xml:space="preserve">, </w:t>
      </w:r>
      <w:hyperlink r:id="rId58">
        <w:r w:rsidRPr="44501DDE">
          <w:rPr>
            <w:rStyle w:val="Hyperlink"/>
          </w:rPr>
          <w:t>S</w:t>
        </w:r>
        <w:r w:rsidR="00A367C6" w:rsidRPr="44501DDE">
          <w:rPr>
            <w:rStyle w:val="Hyperlink"/>
          </w:rPr>
          <w:t xml:space="preserve">cience </w:t>
        </w:r>
        <w:r w:rsidRPr="44501DDE">
          <w:rPr>
            <w:rStyle w:val="Hyperlink"/>
          </w:rPr>
          <w:t>A</w:t>
        </w:r>
        <w:r w:rsidR="00A367C6" w:rsidRPr="44501DDE">
          <w:rPr>
            <w:rStyle w:val="Hyperlink"/>
          </w:rPr>
          <w:t xml:space="preserve">dvisory </w:t>
        </w:r>
        <w:r w:rsidRPr="44501DDE">
          <w:rPr>
            <w:rStyle w:val="Hyperlink"/>
          </w:rPr>
          <w:t>R</w:t>
        </w:r>
        <w:r w:rsidR="00A367C6" w:rsidRPr="44501DDE">
          <w:rPr>
            <w:rStyle w:val="Hyperlink"/>
          </w:rPr>
          <w:t>eport</w:t>
        </w:r>
        <w:r w:rsidRPr="44501DDE">
          <w:rPr>
            <w:rStyle w:val="Hyperlink"/>
          </w:rPr>
          <w:t> 2018/020</w:t>
        </w:r>
      </w:hyperlink>
      <w:r>
        <w:t xml:space="preserve">, </w:t>
      </w:r>
      <w:hyperlink r:id="rId59">
        <w:r w:rsidRPr="44501DDE">
          <w:rPr>
            <w:rStyle w:val="Hyperlink"/>
          </w:rPr>
          <w:t>P</w:t>
        </w:r>
        <w:r w:rsidR="00A367C6" w:rsidRPr="44501DDE">
          <w:rPr>
            <w:rStyle w:val="Hyperlink"/>
          </w:rPr>
          <w:t>roceeding</w:t>
        </w:r>
        <w:r w:rsidRPr="44501DDE">
          <w:rPr>
            <w:rStyle w:val="Hyperlink"/>
          </w:rPr>
          <w:t xml:space="preserve"> 2021/048</w:t>
        </w:r>
      </w:hyperlink>
      <w:r>
        <w:t>).</w:t>
      </w:r>
    </w:p>
    <w:p w14:paraId="6F977B60" w14:textId="77777777" w:rsidR="002C0DF4" w:rsidRPr="00417F12" w:rsidRDefault="002C0DF4" w:rsidP="002C0DF4">
      <w:pPr>
        <w:pStyle w:val="Heading3"/>
        <w:rPr>
          <w:color w:val="auto"/>
        </w:rPr>
      </w:pPr>
      <w:r w:rsidRPr="5ABB0D50">
        <w:rPr>
          <w:color w:val="auto"/>
        </w:rPr>
        <w:t>Management</w:t>
      </w:r>
    </w:p>
    <w:p w14:paraId="7CDE133E" w14:textId="27374BAC" w:rsidR="171FDC75" w:rsidRDefault="324EF8A5" w:rsidP="44501DDE">
      <w:pPr>
        <w:rPr>
          <w:rFonts w:eastAsia="Arial" w:cs="Arial"/>
        </w:rPr>
      </w:pPr>
      <w:r w:rsidRPr="36F5592C">
        <w:rPr>
          <w:rFonts w:eastAsia="Arial" w:cs="Arial"/>
          <w:color w:val="000000" w:themeColor="text1"/>
        </w:rPr>
        <w:t xml:space="preserve">Walleye Pollock is an IVQ (individual vessel quota) species, managed as part of the integrated mixed species multi-gear groundfish fishery under the Integrated Fisheries Management Plan </w:t>
      </w:r>
      <w:r w:rsidRPr="36F5592C">
        <w:rPr>
          <w:rFonts w:eastAsia="Arial" w:cs="Arial"/>
        </w:rPr>
        <w:t>(</w:t>
      </w:r>
      <w:hyperlink r:id="rId60" w:history="1">
        <w:r w:rsidRPr="36F5592C">
          <w:rPr>
            <w:rStyle w:val="Hyperlink"/>
            <w:rFonts w:eastAsia="Arial" w:cs="Arial"/>
          </w:rPr>
          <w:t>IFMP 2023</w:t>
        </w:r>
      </w:hyperlink>
      <w:r w:rsidRPr="36F5592C">
        <w:rPr>
          <w:rFonts w:eastAsia="Arial" w:cs="Arial"/>
        </w:rPr>
        <w:t>)</w:t>
      </w:r>
      <w:r w:rsidRPr="36F5592C">
        <w:rPr>
          <w:rFonts w:eastAsia="Arial" w:cs="Arial"/>
          <w:color w:val="000000" w:themeColor="text1"/>
        </w:rPr>
        <w:t>. Commercial TACs and landings for 202</w:t>
      </w:r>
      <w:r w:rsidRPr="36F5592C">
        <w:rPr>
          <w:rFonts w:eastAsia="Arial" w:cs="Arial"/>
        </w:rPr>
        <w:t xml:space="preserve">2 are provided in Appendix 1. To support </w:t>
      </w:r>
      <w:r w:rsidRPr="36F5592C">
        <w:rPr>
          <w:rFonts w:eastAsia="Arial" w:cs="Arial"/>
        </w:rPr>
        <w:t>groundfish research and account for unavoidable mortality incurred during the 2022 Groundfish surveys, research catches are allocated before defining the TAC.</w:t>
      </w:r>
    </w:p>
    <w:p w14:paraId="50A1113D" w14:textId="385D5BD2" w:rsidR="44501DDE" w:rsidRDefault="44501DDE" w:rsidP="44501DDE">
      <w:pPr>
        <w:pStyle w:val="Body"/>
      </w:pPr>
    </w:p>
    <w:p w14:paraId="53FAF8B5" w14:textId="77777777" w:rsidR="002C0DF4" w:rsidRDefault="002C0DF4" w:rsidP="00200C96">
      <w:pPr>
        <w:pStyle w:val="Heading2"/>
      </w:pPr>
      <w:bookmarkStart w:id="17" w:name="_Toc131161713"/>
      <w:r>
        <w:t>Pacific Whiting (Hake)</w:t>
      </w:r>
      <w:bookmarkEnd w:id="17"/>
    </w:p>
    <w:p w14:paraId="2DBA4237" w14:textId="77777777" w:rsidR="002C0DF4" w:rsidRDefault="002C0DF4" w:rsidP="007E5B97">
      <w:pPr>
        <w:pStyle w:val="Heading3"/>
        <w:numPr>
          <w:ilvl w:val="0"/>
          <w:numId w:val="13"/>
        </w:numPr>
      </w:pPr>
      <w:r>
        <w:t>Research</w:t>
      </w:r>
    </w:p>
    <w:p w14:paraId="1926A4C6" w14:textId="05C23E42" w:rsidR="00945A53" w:rsidRDefault="009567C5" w:rsidP="009567C5">
      <w:pPr>
        <w:pStyle w:val="Body"/>
      </w:pPr>
      <w:r>
        <w:t xml:space="preserve">There are two commercially harvested and managed stocks of Pacific </w:t>
      </w:r>
      <w:r w:rsidR="00702790">
        <w:t>H</w:t>
      </w:r>
      <w:r>
        <w:t>ake</w:t>
      </w:r>
      <w:r w:rsidR="656C8EB8">
        <w:t xml:space="preserve"> in Canada</w:t>
      </w:r>
      <w:r>
        <w:t xml:space="preserve">. The offshore stock is the principal target of the commercial fishery comprising the bulk of landings year over year. A smaller and discrete stock residing within the Strait of Georgia is targeted episodically when market demand is sufficient, and the available fish are large enough for processing. </w:t>
      </w:r>
    </w:p>
    <w:p w14:paraId="5D8EB85E" w14:textId="1BA67B05" w:rsidR="000C2954" w:rsidRDefault="001A4ECC" w:rsidP="001A4ECC">
      <w:pPr>
        <w:pStyle w:val="Heading4"/>
        <w:numPr>
          <w:ilvl w:val="0"/>
          <w:numId w:val="40"/>
        </w:numPr>
      </w:pPr>
      <w:r>
        <w:lastRenderedPageBreak/>
        <w:t>Offshore Hake</w:t>
      </w:r>
    </w:p>
    <w:p w14:paraId="7147C20B" w14:textId="2BD6CCC4" w:rsidR="009567C5" w:rsidRDefault="009567C5" w:rsidP="009567C5">
      <w:pPr>
        <w:pStyle w:val="Body"/>
      </w:pPr>
      <w:r>
        <w:t xml:space="preserve">Triennial (until 2001), then biennial acoustic surveys, covering the known extent of the Pacific </w:t>
      </w:r>
      <w:r w:rsidR="00702790">
        <w:t>H</w:t>
      </w:r>
      <w:r>
        <w:t>ake stock have been run since 1995. An acoustic survey, ranging from California to northern British Columbia is currently run in odd-numbered years, to continue the biennial time series</w:t>
      </w:r>
      <w:r w:rsidR="0F717C90">
        <w:t>.</w:t>
      </w:r>
      <w:r w:rsidR="00C977C6">
        <w:t xml:space="preserve"> The last survey used in the assessment model took place in 20</w:t>
      </w:r>
      <w:r w:rsidR="50CA62FE">
        <w:t>21</w:t>
      </w:r>
      <w:r w:rsidR="00C977C6">
        <w:t>.</w:t>
      </w:r>
    </w:p>
    <w:p w14:paraId="0285FFDB" w14:textId="4D4520EF" w:rsidR="00264FC3" w:rsidRDefault="00264FC3" w:rsidP="009567C5">
      <w:pPr>
        <w:pStyle w:val="Body"/>
      </w:pPr>
      <w:r>
        <w:t xml:space="preserve">In addition to the </w:t>
      </w:r>
      <w:r w:rsidR="1072A5BA">
        <w:t>samples collected during the</w:t>
      </w:r>
      <w:r>
        <w:t xml:space="preserve"> hake acoustic survey</w:t>
      </w:r>
      <w:r w:rsidR="7E6FDD44">
        <w:t xml:space="preserve"> in 2021</w:t>
      </w:r>
      <w:r>
        <w:t>, biological samples were collected in 202</w:t>
      </w:r>
      <w:r w:rsidR="0591C945">
        <w:t>2</w:t>
      </w:r>
      <w:r>
        <w:t xml:space="preserve"> through groundfish trawl surveys. </w:t>
      </w:r>
      <w:r w:rsidR="046F3174">
        <w:t>Fishery sampling resumed in 2022 after a drop in sampling due to removal of at-sea observers from the freezer-trawler fleet in 2020-2021. A novel sampling te</w:t>
      </w:r>
      <w:r w:rsidR="08FF9880">
        <w:t xml:space="preserve">chnique was developed to make up for the lack of at-sea observers which involved removal of fish from the offload conveyor belt during </w:t>
      </w:r>
      <w:r w:rsidR="25649C32">
        <w:t xml:space="preserve">fishing operations. The fish were placed into bags by vessel crew and frozen for sampling on shore by Archipelago Marine Resources (AMR). </w:t>
      </w:r>
    </w:p>
    <w:p w14:paraId="660E5FED" w14:textId="1B7016AA" w:rsidR="00264FC3" w:rsidRDefault="00264FC3" w:rsidP="00264FC3">
      <w:pPr>
        <w:pStyle w:val="Heading4"/>
      </w:pPr>
      <w:r>
        <w:t>Strait of Georgia Hake</w:t>
      </w:r>
    </w:p>
    <w:p w14:paraId="36223C3E" w14:textId="6E9B4362" w:rsidR="00264FC3" w:rsidRPr="00264FC3" w:rsidRDefault="00264FC3" w:rsidP="00264FC3">
      <w:pPr>
        <w:pStyle w:val="Body"/>
      </w:pPr>
      <w:r>
        <w:t>There has been a biennial acoustic survey for Pacific Hake in the Strait of Georgia since 2011</w:t>
      </w:r>
      <w:r w:rsidR="008D00CD">
        <w:t>, although numerous years have recently been missed</w:t>
      </w:r>
      <w:r>
        <w:t xml:space="preserve">. </w:t>
      </w:r>
      <w:r w:rsidR="00EB63AC">
        <w:t>The survey was completed in February-March 202</w:t>
      </w:r>
      <w:r w:rsidR="5292E53F">
        <w:t>3</w:t>
      </w:r>
      <w:r w:rsidR="007362BF">
        <w:t xml:space="preserve"> and another is planned for 202</w:t>
      </w:r>
      <w:r w:rsidR="6A6781E5">
        <w:t>4</w:t>
      </w:r>
      <w:r w:rsidR="007362BF">
        <w:t>. M</w:t>
      </w:r>
      <w:r>
        <w:t xml:space="preserve">ethods </w:t>
      </w:r>
      <w:r w:rsidR="00EB63AC">
        <w:t>will be</w:t>
      </w:r>
      <w:r>
        <w:t xml:space="preserve"> developed to calculate a biomass estimate for these surveys, which will then be used as the primary index of abundance for </w:t>
      </w:r>
      <w:r w:rsidR="00EB63AC">
        <w:t>a</w:t>
      </w:r>
      <w:r>
        <w:t xml:space="preserve"> stock assessment.</w:t>
      </w:r>
    </w:p>
    <w:p w14:paraId="49CA968F" w14:textId="77777777" w:rsidR="002C0DF4" w:rsidRDefault="002C0DF4" w:rsidP="002C0DF4">
      <w:pPr>
        <w:pStyle w:val="Heading3"/>
      </w:pPr>
      <w:r>
        <w:t>Assessment</w:t>
      </w:r>
    </w:p>
    <w:p w14:paraId="6F841EDD" w14:textId="77777777" w:rsidR="001A4ECC" w:rsidRDefault="0D5A6600" w:rsidP="001A4ECC">
      <w:pPr>
        <w:pStyle w:val="Heading4"/>
        <w:numPr>
          <w:ilvl w:val="0"/>
          <w:numId w:val="41"/>
        </w:numPr>
      </w:pPr>
      <w:r>
        <w:t>Offshore Hake</w:t>
      </w:r>
    </w:p>
    <w:p w14:paraId="167A7894" w14:textId="7B065791" w:rsidR="00C977C6" w:rsidRDefault="009567C5" w:rsidP="00C977C6">
      <w:pPr>
        <w:rPr>
          <w:lang w:eastAsia="en-CA"/>
        </w:rPr>
      </w:pPr>
      <w:r w:rsidRPr="00417F12">
        <w:t xml:space="preserve">As in previous years, and as required by the Agreement Between the Government of Canada and the Government of the United States of America on Pacific </w:t>
      </w:r>
      <w:r w:rsidR="00702790">
        <w:t>H</w:t>
      </w:r>
      <w:r w:rsidRPr="00417F12">
        <w:t xml:space="preserve">ake/Whiting (the Pacific Whiting treaty), the </w:t>
      </w:r>
      <w:r>
        <w:t>20</w:t>
      </w:r>
      <w:r w:rsidR="6AABF615">
        <w:t>2</w:t>
      </w:r>
      <w:r w:rsidR="241B34DE">
        <w:t>2</w:t>
      </w:r>
      <w:r w:rsidRPr="00417F12">
        <w:t xml:space="preserve"> harvest advice was prepared jointly by Canadian and U.S. scientists working together, collectively called the Joint Technical Committee (JTC) as stated in the treaty. The assessment model used was Stock Synthesis 3 (SS3). The </w:t>
      </w:r>
      <w:r>
        <w:t>20</w:t>
      </w:r>
      <w:r w:rsidR="1EEB57E4">
        <w:t>2</w:t>
      </w:r>
      <w:r w:rsidR="2249433A">
        <w:t>2</w:t>
      </w:r>
      <w:r w:rsidRPr="00417F12">
        <w:t xml:space="preserve"> model had the same model structure used in </w:t>
      </w:r>
      <w:r>
        <w:t>20</w:t>
      </w:r>
      <w:r w:rsidR="1B9EC824">
        <w:t>2</w:t>
      </w:r>
      <w:r w:rsidR="57223CDE">
        <w:t>1</w:t>
      </w:r>
      <w:r w:rsidRPr="00417F12">
        <w:t>, with updates to catch and age compositions</w:t>
      </w:r>
      <w:r w:rsidR="00E878D1" w:rsidRPr="00417F12">
        <w:t xml:space="preserve">. </w:t>
      </w:r>
      <w:r w:rsidRPr="00417F12">
        <w:t>Standard sensitivities requested by the Scientific Review Group showed little difference when compared with the base model. The largest cohort caught in the fishery was age-</w:t>
      </w:r>
      <w:r w:rsidR="279B7D54">
        <w:t>5</w:t>
      </w:r>
      <w:r>
        <w:t>’s</w:t>
      </w:r>
      <w:r w:rsidRPr="00417F12">
        <w:t xml:space="preserve">, followed by age </w:t>
      </w:r>
      <w:r w:rsidR="20CAB8E8">
        <w:t>7</w:t>
      </w:r>
      <w:r>
        <w:t>’s</w:t>
      </w:r>
      <w:r w:rsidR="00C977C6" w:rsidRPr="3CC1852D">
        <w:rPr>
          <w:lang w:eastAsia="en-CA"/>
        </w:rPr>
        <w:t xml:space="preserve"> which represent the large cohorts for 2016 and 2014 respectively</w:t>
      </w:r>
      <w:r w:rsidR="00DF5238">
        <w:rPr>
          <w:lang w:eastAsia="en-CA"/>
        </w:rPr>
        <w:t xml:space="preserve"> (</w:t>
      </w:r>
      <w:hyperlink r:id="rId61" w:history="1">
        <w:r w:rsidR="00DF5238" w:rsidRPr="00DF5238">
          <w:rPr>
            <w:rStyle w:val="Hyperlink"/>
            <w:lang w:eastAsia="en-CA"/>
          </w:rPr>
          <w:t>Berger et al. 2023</w:t>
        </w:r>
      </w:hyperlink>
      <w:r w:rsidR="00DF5238">
        <w:rPr>
          <w:lang w:eastAsia="en-CA"/>
        </w:rPr>
        <w:t>)</w:t>
      </w:r>
      <w:r w:rsidR="00C977C6" w:rsidRPr="3CC1852D">
        <w:rPr>
          <w:lang w:eastAsia="en-CA"/>
        </w:rPr>
        <w:t xml:space="preserve">. </w:t>
      </w:r>
    </w:p>
    <w:p w14:paraId="4710938A" w14:textId="27F1698B" w:rsidR="00C977C6" w:rsidRDefault="00C977C6" w:rsidP="00C977C6">
      <w:pPr>
        <w:rPr>
          <w:szCs w:val="24"/>
          <w:lang w:eastAsia="en-CA"/>
        </w:rPr>
      </w:pPr>
    </w:p>
    <w:p w14:paraId="736AB091" w14:textId="076EBA71" w:rsidR="00DF5238" w:rsidRDefault="00DF5238" w:rsidP="00C977C6">
      <w:r>
        <w:t>Berger, A.M., C.J. Grandin, K.F. Johnson and A.M. Edwards. 2023. Status of the Pacific Hake (whiting) stock in U.S. and Canadian waters in 2023. Prepared by the Joint Technical Committee of the U.S. and Canada Pacific Hake/Whiting Agreement, National Marine Fisheries Service and Fisheries and Oceans Canada. 208 p.</w:t>
      </w:r>
    </w:p>
    <w:p w14:paraId="3DF33593" w14:textId="77777777" w:rsidR="00DF5238" w:rsidRDefault="00DF5238" w:rsidP="00C977C6">
      <w:pPr>
        <w:rPr>
          <w:szCs w:val="24"/>
          <w:lang w:eastAsia="en-CA"/>
        </w:rPr>
      </w:pPr>
    </w:p>
    <w:p w14:paraId="7F0AC7F7" w14:textId="29CA42F4" w:rsidR="00690909" w:rsidRDefault="00690909" w:rsidP="00690909">
      <w:pPr>
        <w:pStyle w:val="Heading4"/>
      </w:pPr>
      <w:r>
        <w:t>Strait of Georgia Hake</w:t>
      </w:r>
    </w:p>
    <w:p w14:paraId="2A789DE2" w14:textId="160A65ED" w:rsidR="009567C5" w:rsidRPr="00417F12" w:rsidRDefault="009567C5" w:rsidP="00C977C6">
      <w:r w:rsidRPr="00417F12">
        <w:t xml:space="preserve">There has not been an assessment of Pacific </w:t>
      </w:r>
      <w:r w:rsidR="00702790">
        <w:t>H</w:t>
      </w:r>
      <w:r w:rsidRPr="00417F12">
        <w:t>ake in the Strait of Georgia</w:t>
      </w:r>
      <w:r w:rsidR="007362BF">
        <w:t>, although one is planned for 2024-25 following the development of an acoustic biomass estimate</w:t>
      </w:r>
      <w:r w:rsidRPr="00417F12">
        <w:t>.</w:t>
      </w:r>
    </w:p>
    <w:p w14:paraId="5C4AED2F" w14:textId="398E83F9" w:rsidR="002C0DF4" w:rsidRDefault="002C0DF4" w:rsidP="002C0DF4">
      <w:pPr>
        <w:pStyle w:val="Heading3"/>
      </w:pPr>
      <w:r>
        <w:lastRenderedPageBreak/>
        <w:t>Management</w:t>
      </w:r>
    </w:p>
    <w:p w14:paraId="2B69AE6A" w14:textId="24A8C45E" w:rsidR="00A74079" w:rsidRPr="00A74079" w:rsidRDefault="58FA7CBF" w:rsidP="00A74079">
      <w:pPr>
        <w:pStyle w:val="Body"/>
      </w:pPr>
      <w:r>
        <w:t>Canadian commercial TACs and landings for 20</w:t>
      </w:r>
      <w:r w:rsidR="5236032A">
        <w:t>22</w:t>
      </w:r>
      <w:r>
        <w:t xml:space="preserve"> are provided in Appendix 1. To support groundfish research and account for unavoidable mortality incurred during the 20</w:t>
      </w:r>
      <w:r w:rsidR="5236032A">
        <w:t>22</w:t>
      </w:r>
      <w:r>
        <w:t xml:space="preserve"> Groundfish surveys, research catches are allocated before defining the TAC. See Appendix 1 for details</w:t>
      </w:r>
      <w:r w:rsidR="02BAE94E">
        <w:t>.</w:t>
      </w:r>
    </w:p>
    <w:p w14:paraId="47F64572" w14:textId="77777777" w:rsidR="00690909" w:rsidRDefault="438DDE43" w:rsidP="00690909">
      <w:pPr>
        <w:pStyle w:val="Heading4"/>
        <w:numPr>
          <w:ilvl w:val="0"/>
          <w:numId w:val="42"/>
        </w:numPr>
      </w:pPr>
      <w:r>
        <w:t>Offshore Hake</w:t>
      </w:r>
    </w:p>
    <w:p w14:paraId="3771EFE1" w14:textId="2CFCE1D1" w:rsidR="00C977C6" w:rsidRDefault="00C977C6" w:rsidP="4A413DBD">
      <w:pPr>
        <w:pStyle w:val="Body"/>
      </w:pPr>
      <w:r>
        <w:t>Management of Pacific Hake has been under a treaty (The Agreement) between Canada and the United States since 2011. The stock is managed by the Joint Management Committee (JMC) which is made up of fisheries managers and industry representatives from both the U.S. and Canada. These managers receive advice from the JTC and the Scientific Review Group (SRG), which is a committee responsible for the scientific review of the assessment.</w:t>
      </w:r>
    </w:p>
    <w:p w14:paraId="78DD2D69" w14:textId="225BD525" w:rsidR="00C977C6" w:rsidRDefault="00C977C6" w:rsidP="4A413DBD">
      <w:pPr>
        <w:pStyle w:val="Body"/>
      </w:pPr>
      <w:r>
        <w:t>The final decision on catch advice for the 202</w:t>
      </w:r>
      <w:r w:rsidR="3E5A4F55">
        <w:t>2</w:t>
      </w:r>
      <w:r>
        <w:t xml:space="preserve"> fishing season was made at the Joint Management Committee (JMC) meeting </w:t>
      </w:r>
      <w:r w:rsidR="4AF89D48">
        <w:t>i</w:t>
      </w:r>
      <w:r w:rsidR="78C689FB">
        <w:t>n</w:t>
      </w:r>
      <w:r w:rsidR="1E2DC5C9">
        <w:t xml:space="preserve"> March of 2022</w:t>
      </w:r>
      <w:r>
        <w:t xml:space="preserve">. </w:t>
      </w:r>
      <w:r w:rsidR="35A81835">
        <w:t>A</w:t>
      </w:r>
      <w:r w:rsidR="4B37D2BB">
        <w:t xml:space="preserve"> </w:t>
      </w:r>
      <w:r w:rsidR="14718881">
        <w:t>coastwide TAC of</w:t>
      </w:r>
      <w:r w:rsidR="46A1065A">
        <w:t xml:space="preserve"> 545,000 </w:t>
      </w:r>
      <w:r w:rsidR="4521080B">
        <w:t xml:space="preserve">t </w:t>
      </w:r>
      <w:r w:rsidR="46A1065A">
        <w:t xml:space="preserve">was chosen, which </w:t>
      </w:r>
      <w:r w:rsidR="758799FD">
        <w:t>when split with the U.S.</w:t>
      </w:r>
      <w:r w:rsidR="46A1065A">
        <w:t xml:space="preserve"> gave Canada </w:t>
      </w:r>
      <w:r>
        <w:t xml:space="preserve">a TAC of </w:t>
      </w:r>
      <w:r w:rsidR="46A1065A">
        <w:t>142,354</w:t>
      </w:r>
      <w:r>
        <w:t xml:space="preserve"> t. </w:t>
      </w:r>
    </w:p>
    <w:p w14:paraId="28DD5460" w14:textId="5829F7AD" w:rsidR="000C2954" w:rsidRDefault="000C2954" w:rsidP="4A413DBD">
      <w:pPr>
        <w:pStyle w:val="Body"/>
      </w:pPr>
      <w:r>
        <w:t xml:space="preserve">The final assessment document and other treaty-related documents are posted at: </w:t>
      </w:r>
      <w:hyperlink r:id="rId62">
        <w:r w:rsidRPr="5ABB0D50">
          <w:rPr>
            <w:rStyle w:val="Hyperlink"/>
          </w:rPr>
          <w:t>https://www.fisheries.noaa.gov/west-coast/laws-and-policies/pacific-hake-whiting-treaty</w:t>
        </w:r>
      </w:hyperlink>
      <w:r>
        <w:t xml:space="preserve">. </w:t>
      </w:r>
    </w:p>
    <w:p w14:paraId="25FF8159" w14:textId="77777777" w:rsidR="00A74079" w:rsidRDefault="1D8C684D" w:rsidP="00A74079">
      <w:pPr>
        <w:pStyle w:val="Heading4"/>
      </w:pPr>
      <w:r>
        <w:t>Strait of Georgia Hake</w:t>
      </w:r>
    </w:p>
    <w:p w14:paraId="274FC66D" w14:textId="56553A89" w:rsidR="1B8118B9" w:rsidRDefault="1B8118B9" w:rsidP="7D6A8DD4">
      <w:pPr>
        <w:spacing w:after="240"/>
      </w:pPr>
      <w:r w:rsidRPr="7D6A8DD4">
        <w:t>Strait of Georgia Pacific Hake is managed by Total Allowable Catch (TAC) and Individual Transferable Quota (ITQ) as part of the integrated groundfish fisheries. Pacific Hake is typically targeted using midwater trawl gear and while historical catches in the Strait are highly variable, catch levels in the last five years have ranged from approximately 5,000 – 7,000 metric tonnes.</w:t>
      </w:r>
    </w:p>
    <w:p w14:paraId="3AD7075F" w14:textId="77777777" w:rsidR="002C0DF4" w:rsidRDefault="002C0DF4" w:rsidP="00200C96">
      <w:pPr>
        <w:pStyle w:val="Heading2"/>
      </w:pPr>
      <w:bookmarkStart w:id="18" w:name="_Toc131161714"/>
      <w:r>
        <w:t>Grenadiers</w:t>
      </w:r>
      <w:bookmarkEnd w:id="18"/>
    </w:p>
    <w:p w14:paraId="372911BE" w14:textId="77777777" w:rsidR="007E5B97" w:rsidRPr="00417F12" w:rsidRDefault="007E5B97" w:rsidP="007E5B97">
      <w:pPr>
        <w:pStyle w:val="Heading3"/>
        <w:numPr>
          <w:ilvl w:val="0"/>
          <w:numId w:val="14"/>
        </w:numPr>
        <w:rPr>
          <w:color w:val="auto"/>
        </w:rPr>
      </w:pPr>
      <w:r w:rsidRPr="5ABB0D50">
        <w:rPr>
          <w:color w:val="auto"/>
        </w:rPr>
        <w:t>Research</w:t>
      </w:r>
    </w:p>
    <w:p w14:paraId="314A3C0E" w14:textId="2BCBBEC0" w:rsidR="009567C5" w:rsidRPr="00417F12" w:rsidRDefault="68AF39E7" w:rsidP="009567C5">
      <w:pPr>
        <w:pStyle w:val="Body"/>
      </w:pPr>
      <w:r>
        <w:t>There is no directed work conducted on Grenadiers</w:t>
      </w:r>
      <w:r w:rsidR="326FCD08">
        <w:t xml:space="preserve"> although </w:t>
      </w:r>
      <w:r w:rsidR="7CD249F3">
        <w:t>opportunistic sampling occurs during the Multispecies Synoptic Bottom Trawl surveys</w:t>
      </w:r>
      <w:r w:rsidR="7A9A4D8D">
        <w:t>.</w:t>
      </w:r>
      <w:r w:rsidR="7CD249F3">
        <w:t xml:space="preserve"> </w:t>
      </w:r>
      <w:r w:rsidR="658E4CF1">
        <w:t xml:space="preserve">Giant Grenadiers, Pacific Grenadiers and Popeye are routinely encountered during the WCHG survey. Giant Grenadiers and Pacific Grenadiers are encountered during the </w:t>
      </w:r>
      <w:r w:rsidR="37328DAD">
        <w:t>Sablefish trap survey</w:t>
      </w:r>
      <w:r w:rsidR="658E4CF1">
        <w:t>.</w:t>
      </w:r>
    </w:p>
    <w:p w14:paraId="2AEA52A3" w14:textId="77777777" w:rsidR="007E5B97" w:rsidRPr="00417F12" w:rsidRDefault="007E5B97" w:rsidP="007E5B97">
      <w:pPr>
        <w:pStyle w:val="Heading3"/>
        <w:rPr>
          <w:color w:val="auto"/>
        </w:rPr>
      </w:pPr>
      <w:r w:rsidRPr="5ABB0D50">
        <w:rPr>
          <w:color w:val="auto"/>
        </w:rPr>
        <w:t>Assessment</w:t>
      </w:r>
    </w:p>
    <w:p w14:paraId="42AA2741" w14:textId="77777777" w:rsidR="009567C5" w:rsidRPr="00417F12" w:rsidRDefault="009567C5" w:rsidP="009567C5">
      <w:pPr>
        <w:pStyle w:val="Body"/>
      </w:pPr>
      <w:r>
        <w:t>Grenadiers are not commercially harvested in BC and are rarely encountered during commercial fisheries</w:t>
      </w:r>
      <w:r w:rsidR="00E878D1">
        <w:t xml:space="preserve">. </w:t>
      </w:r>
      <w:r>
        <w:t>Consequently, there are no assessment activities planned for these species.</w:t>
      </w:r>
    </w:p>
    <w:p w14:paraId="3FA1BBD4" w14:textId="77777777" w:rsidR="007E5B97" w:rsidRPr="00417F12" w:rsidRDefault="007E5B97" w:rsidP="007E5B97">
      <w:pPr>
        <w:pStyle w:val="Heading3"/>
        <w:rPr>
          <w:color w:val="auto"/>
        </w:rPr>
      </w:pPr>
      <w:r w:rsidRPr="5ABB0D50">
        <w:rPr>
          <w:color w:val="auto"/>
        </w:rPr>
        <w:t>Management</w:t>
      </w:r>
    </w:p>
    <w:p w14:paraId="2ACF82AF" w14:textId="61895865" w:rsidR="007E5B97" w:rsidRPr="00417F12" w:rsidRDefault="009567C5" w:rsidP="009567C5">
      <w:pPr>
        <w:pStyle w:val="Body"/>
      </w:pPr>
      <w:r>
        <w:t xml:space="preserve">There are no management objectives or tactics established for these species. These species are caught incidentally in the deep-water rockfish (Rougheye/Shortraker/Thornyhead) and Dover Sole </w:t>
      </w:r>
      <w:r w:rsidR="00C87DC2">
        <w:t xml:space="preserve">trawl </w:t>
      </w:r>
      <w:r>
        <w:t>fisheries and in the Sablefish trap fishery. 100% of the catch is discarded.</w:t>
      </w:r>
    </w:p>
    <w:p w14:paraId="5294C417" w14:textId="77777777" w:rsidR="002C0DF4" w:rsidRDefault="002C0DF4" w:rsidP="007E5B97">
      <w:pPr>
        <w:pStyle w:val="Heading2"/>
      </w:pPr>
      <w:bookmarkStart w:id="19" w:name="_Toc131161715"/>
      <w:r>
        <w:lastRenderedPageBreak/>
        <w:t>Rockfish</w:t>
      </w:r>
      <w:bookmarkEnd w:id="19"/>
    </w:p>
    <w:p w14:paraId="3E51238E" w14:textId="77777777" w:rsidR="007E5B97" w:rsidRDefault="007E5B97" w:rsidP="00D560CF">
      <w:pPr>
        <w:pStyle w:val="Heading3"/>
        <w:numPr>
          <w:ilvl w:val="0"/>
          <w:numId w:val="19"/>
        </w:numPr>
      </w:pPr>
      <w:r>
        <w:t>Research</w:t>
      </w:r>
    </w:p>
    <w:p w14:paraId="17193D62" w14:textId="4A09F493" w:rsidR="00E53A78" w:rsidRPr="00E53A78" w:rsidRDefault="4CB818BB" w:rsidP="00E53A78">
      <w:pPr>
        <w:pStyle w:val="Body"/>
      </w:pPr>
      <w:r>
        <w:t>Biological samples are collected on an ongoing basis from annual trawl, longline, and trap surveys.</w:t>
      </w:r>
      <w:r w:rsidR="252AC649">
        <w:t xml:space="preserve"> </w:t>
      </w:r>
      <w:r w:rsidR="2A4140F3">
        <w:t>Due the suspension of the At Sea Observer Program no biological samples were collected from the commercial fishery in 202</w:t>
      </w:r>
      <w:r w:rsidR="1FF725CA">
        <w:t>2</w:t>
      </w:r>
      <w:r w:rsidR="252AC649">
        <w:t>.</w:t>
      </w:r>
      <w:r w:rsidR="00203471">
        <w:t xml:space="preserve"> A commercial </w:t>
      </w:r>
      <w:proofErr w:type="spellStart"/>
      <w:r w:rsidR="00203471">
        <w:t>biosampling</w:t>
      </w:r>
      <w:proofErr w:type="spellEnd"/>
      <w:r w:rsidR="00203471">
        <w:t xml:space="preserve"> project is being put in place and the first phase will focus on the collection of offshore rockfish samples from the trawl fleet that are landed in Ucluelet. </w:t>
      </w:r>
    </w:p>
    <w:p w14:paraId="3C569441" w14:textId="77777777" w:rsidR="00695496" w:rsidRDefault="513DDF5D" w:rsidP="00D560CF">
      <w:pPr>
        <w:pStyle w:val="Heading4"/>
        <w:numPr>
          <w:ilvl w:val="0"/>
          <w:numId w:val="28"/>
        </w:numPr>
      </w:pPr>
      <w:r>
        <w:t>Inshore Rockfish</w:t>
      </w:r>
    </w:p>
    <w:p w14:paraId="29A5FACF" w14:textId="77DAF7F8" w:rsidR="00623DE3" w:rsidRDefault="385385FA" w:rsidP="00623DE3">
      <w:pPr>
        <w:pStyle w:val="Body"/>
      </w:pPr>
      <w:r>
        <w:t>Dr. Dana Haggarty continues to collaborate with other scientists at DFO, Dr. Philina English, Dr. Sarah Dudas</w:t>
      </w:r>
      <w:r w:rsidR="3D433EF7">
        <w:t>,</w:t>
      </w:r>
      <w:r>
        <w:t xml:space="preserve"> and Dr. Stephan Gauthier, as well as external Scientists: Dr. Francis Juanes (</w:t>
      </w:r>
      <w:proofErr w:type="spellStart"/>
      <w:r>
        <w:t>UVic</w:t>
      </w:r>
      <w:proofErr w:type="spellEnd"/>
      <w:r>
        <w:t xml:space="preserve">), Dr. William Halliday (Wildlife Conservation Society Canada), and Dr. Francis Mouy (NOAA) to develop passive acoustic monitoring (PAM) of rocky reef fishes. Based on the successes of a SPERA funded project, they were awarded Canadian Science Research Funding for three years of study. With this grant, they will support some post-doctoral work of Xavier Mouy who will continue to develop and refine an automatic detector of fish (and hopefully rockfish) calls. They have also brought on a Ph.D. student, Darienne Lancaster, co-supervised by Drs. Francis and Haggarty at </w:t>
      </w:r>
      <w:proofErr w:type="spellStart"/>
      <w:r>
        <w:t>UVic</w:t>
      </w:r>
      <w:proofErr w:type="spellEnd"/>
      <w:r>
        <w:t xml:space="preserve"> who will refine methods to collect passive and active acoustic data of rockfishes. </w:t>
      </w:r>
      <w:r w:rsidR="55004460">
        <w:t xml:space="preserve">Darienne had a successful first field season in Barkley Sound, BC, and is currently analyzing passive acoustic, active acoustic and video data. </w:t>
      </w:r>
    </w:p>
    <w:p w14:paraId="5F939670" w14:textId="3A041F48" w:rsidR="00623DE3" w:rsidRPr="009F7052" w:rsidRDefault="00623DE3" w:rsidP="00623DE3">
      <w:pPr>
        <w:pStyle w:val="Body"/>
      </w:pPr>
      <w:r>
        <w:t xml:space="preserve">Dr. Haggarty is also collaborating with colleagues at </w:t>
      </w:r>
      <w:proofErr w:type="spellStart"/>
      <w:r>
        <w:t>UVic</w:t>
      </w:r>
      <w:proofErr w:type="spellEnd"/>
      <w:r>
        <w:t xml:space="preserve"> and Ball</w:t>
      </w:r>
      <w:r w:rsidR="00702790">
        <w:t xml:space="preserve"> S</w:t>
      </w:r>
      <w:r>
        <w:t xml:space="preserve">tate University as well as industry (Angler’s Atlas) to improve and monitor compliance in Rockfish Conservation Areas (RCAs) and Marine Protected Areas (MPAs). Angler’s Atlas has already upgraded their smart phone </w:t>
      </w:r>
      <w:r w:rsidR="00702790">
        <w:t>a</w:t>
      </w:r>
      <w:r>
        <w:t xml:space="preserve">pp, </w:t>
      </w:r>
      <w:proofErr w:type="spellStart"/>
      <w:r>
        <w:t>MyCatch</w:t>
      </w:r>
      <w:proofErr w:type="spellEnd"/>
      <w:r>
        <w:t>, to include the location of all RCAs and to provide users with warnings when they are in an RCA</w:t>
      </w:r>
      <w:r w:rsidR="003E2080">
        <w:t xml:space="preserve">. Dana is working with Dr. </w:t>
      </w:r>
      <w:r w:rsidR="00203471">
        <w:t>Venturelli</w:t>
      </w:r>
      <w:r w:rsidR="003E2080">
        <w:t xml:space="preserve"> to assess recreational compliance in RCAs using creel overflight data. </w:t>
      </w:r>
      <w:r>
        <w:t>This project was funded by the BC Salmon Restoration and Innovation Fun</w:t>
      </w:r>
      <w:r w:rsidR="004351A5">
        <w:t>d (BCSRIF) until the end of 2023-24</w:t>
      </w:r>
      <w:r>
        <w:t xml:space="preserve">. </w:t>
      </w:r>
      <w:r w:rsidR="00203471">
        <w:t xml:space="preserve">A PhD student funded under this program, Hailey Davies, has published a photo-journal on her rockfish barotrauma research in the Fisheries Journal (Davies et al. 2022). </w:t>
      </w:r>
    </w:p>
    <w:p w14:paraId="15011D8E" w14:textId="51929343" w:rsidR="002C74D9" w:rsidRDefault="1495F8E7" w:rsidP="002C74D9">
      <w:pPr>
        <w:pStyle w:val="Body"/>
      </w:pPr>
      <w:r>
        <w:t xml:space="preserve">Dana has also collaborated with DFO iREC (Internet Recreational Effort and Catch) staff to develop a questionnaire on the use of descending devices by anglers. The survey is a voluntary add-on to the annual </w:t>
      </w:r>
      <w:proofErr w:type="spellStart"/>
      <w:r>
        <w:t>iARC</w:t>
      </w:r>
      <w:proofErr w:type="spellEnd"/>
      <w:r>
        <w:t xml:space="preserve"> (Internet Annual Recreational Catch Reporti</w:t>
      </w:r>
      <w:r w:rsidR="24666EE7">
        <w:t xml:space="preserve">ng program) survey. The survey ran </w:t>
      </w:r>
      <w:r>
        <w:t>April 1-23, 2022</w:t>
      </w:r>
      <w:r w:rsidR="69254C11">
        <w:t xml:space="preserve">. </w:t>
      </w:r>
      <w:r w:rsidR="69D9B1CB">
        <w:t xml:space="preserve">1,748 anglers completed the voluntary survey consisting of 13 questions. 65% of respondents correctly stated that </w:t>
      </w:r>
      <w:r w:rsidR="1645CB79">
        <w:t>released</w:t>
      </w:r>
      <w:r w:rsidR="69D9B1CB">
        <w:t xml:space="preserve"> rockfish </w:t>
      </w:r>
      <w:r w:rsidR="1645CB79">
        <w:t xml:space="preserve">needed to be returned to a similar depth from which they were caught using a descending device; 26% were unsure and 9% disagreed. Despite responding “True” to the descending device requirement, 30% of those people had released rockfish at the surface. Only 612 respondents had caught a rockfish and 372 had released any with a descending device. Yelloweye and Quillback Rockfishes were the most commonly descended species. The most commonly used device was the </w:t>
      </w:r>
      <w:proofErr w:type="spellStart"/>
      <w:r w:rsidR="1645CB79">
        <w:t>Sequilizer</w:t>
      </w:r>
      <w:proofErr w:type="spellEnd"/>
      <w:r w:rsidR="1645CB79">
        <w:t xml:space="preserve"> (50, 100, 150 foot version). 92% of respondents </w:t>
      </w:r>
      <w:r w:rsidR="17819541">
        <w:t xml:space="preserve">report </w:t>
      </w:r>
      <w:r w:rsidR="1645CB79">
        <w:t xml:space="preserve">descending rockfish to the same or closest depth to capture and 72% stated that none resurfaced, 25% stated that one or a few resurfaced, and 4% stated that most or all resurfaced. Most people learned about the requirement through word of mouth (33%) or from the condition of license printed in the small print on their sport </w:t>
      </w:r>
      <w:r w:rsidR="1645CB79">
        <w:lastRenderedPageBreak/>
        <w:t>license (25%)</w:t>
      </w:r>
      <w:r w:rsidR="7C82BE71">
        <w:t>. Websites, fishing guides or lodge operators, news article, posters</w:t>
      </w:r>
      <w:r w:rsidR="0F4B96DF">
        <w:t>,</w:t>
      </w:r>
      <w:r w:rsidR="7C82BE71">
        <w:t xml:space="preserve"> and apps were other listed sources of information.</w:t>
      </w:r>
      <w:r w:rsidR="1645CB79">
        <w:t xml:space="preserve"> Numerous written comments in support of the use of descending devices w</w:t>
      </w:r>
      <w:r w:rsidR="7C82BE71">
        <w:t xml:space="preserve">ere received. </w:t>
      </w:r>
    </w:p>
    <w:p w14:paraId="4DDCE39F" w14:textId="2E4B4992" w:rsidR="003E2080" w:rsidRDefault="003E2080" w:rsidP="002C74D9">
      <w:pPr>
        <w:pStyle w:val="Body"/>
      </w:pPr>
      <w:r>
        <w:t xml:space="preserve">A comparison of DFO’s recreational catch estimates for rockfish and Lingcod using creel survey and Internet Recreational Effort and Catch (iREC) survey was also completed in 2022. To measure the effect of potential biases, a calibration procedure was developed to relate iREC estimates to those from creel surveys, using data from temporal and geographic strata for which both types of surveys were conducted. Data from the North Coast, Strait of Georgia, and West Coast of Vancouver Island dating from 2012 to 2021 were included in Bayesian Type II regression analyses, run separately for each of twelve taxa and for two disposition types (i.e., kept vs. released). In almost every case, the </w:t>
      </w:r>
      <w:proofErr w:type="spellStart"/>
      <w:r>
        <w:t>trendlines</w:t>
      </w:r>
      <w:proofErr w:type="spellEnd"/>
      <w:r>
        <w:t xml:space="preserve"> indicated that iREC catch estimates are larger than corresponding creel values. The magnitude of the slopes should be reliable estimators of the degree of bias in the iREC estimates, and their use as naïve ‘conversion factors’ should successfully minimize such bias (</w:t>
      </w:r>
      <w:proofErr w:type="spellStart"/>
      <w:r>
        <w:t>Robichaud</w:t>
      </w:r>
      <w:proofErr w:type="spellEnd"/>
      <w:r>
        <w:t xml:space="preserve"> and Haggarty, 2022).</w:t>
      </w:r>
    </w:p>
    <w:p w14:paraId="5E5C00F9" w14:textId="47FE82A0" w:rsidR="24795F67" w:rsidRDefault="24795F67" w:rsidP="3CF5A77E">
      <w:pPr>
        <w:pStyle w:val="Body"/>
      </w:pPr>
      <w:r>
        <w:t xml:space="preserve">Dr. Matthew Siegle has </w:t>
      </w:r>
      <w:r w:rsidR="00203471">
        <w:t>become</w:t>
      </w:r>
      <w:r>
        <w:t xml:space="preserve"> the Inshore Rockfish Program</w:t>
      </w:r>
      <w:r w:rsidR="00203471">
        <w:t xml:space="preserve"> Head</w:t>
      </w:r>
      <w:r>
        <w:t xml:space="preserve"> as Dana’s has become the Groundfish Section Head.</w:t>
      </w:r>
    </w:p>
    <w:p w14:paraId="09E61F33" w14:textId="22F1C39D" w:rsidR="00354ADD" w:rsidRDefault="00354ADD" w:rsidP="3CF5A77E">
      <w:pPr>
        <w:pStyle w:val="Body"/>
      </w:pPr>
      <w:r>
        <w:t>Literature Cited:</w:t>
      </w:r>
    </w:p>
    <w:p w14:paraId="7C37A5E6" w14:textId="77777777" w:rsidR="00203471" w:rsidRDefault="00203471" w:rsidP="00203471">
      <w:pPr>
        <w:pStyle w:val="Citation"/>
      </w:pPr>
      <w:r>
        <w:t xml:space="preserve">Davies, H.L., Gross, S., </w:t>
      </w:r>
      <w:r w:rsidRPr="1155EF1C">
        <w:rPr>
          <w:b/>
          <w:bCs/>
        </w:rPr>
        <w:t>Haggarty, D.R.</w:t>
      </w:r>
      <w:r>
        <w:t>, and Juanes, F. 2022. Conserving Rockfishes: Barotrauma and Descending Devices in the Northeast Pacific. Fisheries. 47(9): 406-411. https://doi.org/10.1002/fsh.10810</w:t>
      </w:r>
    </w:p>
    <w:p w14:paraId="0B36BBDB" w14:textId="77777777" w:rsidR="00203471" w:rsidRDefault="00203471" w:rsidP="00203471">
      <w:pPr>
        <w:pStyle w:val="Citation"/>
      </w:pPr>
      <w:proofErr w:type="spellStart"/>
      <w:r>
        <w:t>Robichaud</w:t>
      </w:r>
      <w:proofErr w:type="spellEnd"/>
      <w:r>
        <w:t xml:space="preserve">, D. and </w:t>
      </w:r>
      <w:r w:rsidRPr="387816AB">
        <w:rPr>
          <w:b/>
          <w:bCs/>
        </w:rPr>
        <w:t>Haggarty, D.R.</w:t>
      </w:r>
      <w:r>
        <w:t xml:space="preserve"> 2022. Comparison of rockfish and lingcod catch estimates from internet recreational effort and catch (iREC) and creel surveys. Can. Tech. Rep. Fish. </w:t>
      </w:r>
      <w:proofErr w:type="spellStart"/>
      <w:r>
        <w:t>Aquat</w:t>
      </w:r>
      <w:proofErr w:type="spellEnd"/>
      <w:r>
        <w:t>. Sci. 3500: v + 46 p.</w:t>
      </w:r>
    </w:p>
    <w:p w14:paraId="5E815ADB" w14:textId="77777777" w:rsidR="00695496" w:rsidRDefault="0BD49681" w:rsidP="00200C96">
      <w:pPr>
        <w:pStyle w:val="Heading4"/>
      </w:pPr>
      <w:r>
        <w:t xml:space="preserve">Offshore Rockfish </w:t>
      </w:r>
    </w:p>
    <w:p w14:paraId="276E5845" w14:textId="4F7AB888" w:rsidR="001A7793" w:rsidRPr="00417F12" w:rsidRDefault="001A7793" w:rsidP="001A7793">
      <w:pPr>
        <w:pStyle w:val="Body"/>
      </w:pPr>
      <w:r>
        <w:t>The Offshore Rockfish program in 202</w:t>
      </w:r>
      <w:r w:rsidR="46D3CA7D">
        <w:t>2</w:t>
      </w:r>
      <w:r>
        <w:t xml:space="preserve"> continued with one DFO person working in collaboration with an industry-sponsored scientist. All efforts were devoted to stock assessment. To facilitate stock assessment, the Offshore Rockfish program maintains a suite of PBS R software packages</w:t>
      </w:r>
      <w:r w:rsidR="00417F12">
        <w:t xml:space="preserve"> (</w:t>
      </w:r>
      <w:hyperlink r:id="rId63">
        <w:r w:rsidR="00417F12" w:rsidRPr="44501DDE">
          <w:rPr>
            <w:rStyle w:val="Hyperlink"/>
          </w:rPr>
          <w:t>https://github.com/pbs-software</w:t>
        </w:r>
      </w:hyperlink>
      <w:r w:rsidR="00417F12">
        <w:t>)</w:t>
      </w:r>
      <w:r>
        <w:t xml:space="preserve">. The Groundfish Surveys program coordinates all sample collections (otoliths, genetic tissues, morphology measurements, etc.) and the </w:t>
      </w:r>
      <w:proofErr w:type="spellStart"/>
      <w:r>
        <w:t>Sclerochronology</w:t>
      </w:r>
      <w:proofErr w:type="spellEnd"/>
      <w:r>
        <w:t xml:space="preserve"> Lab researches ageing protocols and methods</w:t>
      </w:r>
      <w:r w:rsidR="00F87F07">
        <w:t>, in addition to performing production ageing for BC finfish stock assessments</w:t>
      </w:r>
      <w:r>
        <w:t>.</w:t>
      </w:r>
    </w:p>
    <w:p w14:paraId="3BF81A89" w14:textId="77777777" w:rsidR="007E5B97" w:rsidRDefault="007E5B97" w:rsidP="007E5B97">
      <w:pPr>
        <w:pStyle w:val="Heading3"/>
      </w:pPr>
      <w:r>
        <w:t>Assessment</w:t>
      </w:r>
    </w:p>
    <w:p w14:paraId="33A195AD" w14:textId="77777777" w:rsidR="009F7C9B" w:rsidRDefault="009F7C9B" w:rsidP="00D560CF">
      <w:pPr>
        <w:pStyle w:val="Heading4"/>
        <w:numPr>
          <w:ilvl w:val="0"/>
          <w:numId w:val="27"/>
        </w:numPr>
      </w:pPr>
      <w:r>
        <w:t>Inshore Rockfish</w:t>
      </w:r>
    </w:p>
    <w:p w14:paraId="27890A2F" w14:textId="77777777" w:rsidR="00CA36D2" w:rsidRPr="00CA36D2" w:rsidRDefault="00CA36D2" w:rsidP="00CA36D2">
      <w:pPr>
        <w:pStyle w:val="Body"/>
      </w:pPr>
      <w:r>
        <w:t xml:space="preserve">British Columbia (BC) “Inside” stocks are generally those occurring in Area 4B (Queen Charlotte Strait, Strait of Georgia, and Strait of Juan de Fuca), while “Outside” stocks occur outside Area 4B (West Coast Vancouver Island, West Coast </w:t>
      </w:r>
      <w:proofErr w:type="spellStart"/>
      <w:r>
        <w:t>Haida</w:t>
      </w:r>
      <w:proofErr w:type="spellEnd"/>
      <w:r>
        <w:t xml:space="preserve"> </w:t>
      </w:r>
      <w:proofErr w:type="spellStart"/>
      <w:r>
        <w:t>Gwaii</w:t>
      </w:r>
      <w:proofErr w:type="spellEnd"/>
      <w:r>
        <w:t>, Queen Charlotte Sound, Hecate Strait, Dixon Entrance).</w:t>
      </w:r>
    </w:p>
    <w:p w14:paraId="163BD070" w14:textId="77777777" w:rsidR="009F7C9B" w:rsidRPr="009F7C9B" w:rsidRDefault="13208820" w:rsidP="009F7C9B">
      <w:pPr>
        <w:pStyle w:val="Heading5"/>
      </w:pPr>
      <w:r>
        <w:lastRenderedPageBreak/>
        <w:t>Outside Yelloweye Rockfish</w:t>
      </w:r>
    </w:p>
    <w:p w14:paraId="094560AA" w14:textId="5B1797BF" w:rsidR="002C74D9" w:rsidRPr="00417F12" w:rsidRDefault="6B9D99A0" w:rsidP="002C74D9">
      <w:pPr>
        <w:pStyle w:val="Body"/>
      </w:pPr>
      <w:r>
        <w:t xml:space="preserve">The Outside population of Yelloweye Rockfish was designated as Threatened in December of 2020 by the Committee </w:t>
      </w:r>
      <w:r w:rsidR="7DD89DAB">
        <w:t>o</w:t>
      </w:r>
      <w:r>
        <w:t>n the Status of Endangere</w:t>
      </w:r>
      <w:r w:rsidR="53C347DC">
        <w:t xml:space="preserve">d Wildlife </w:t>
      </w:r>
      <w:r w:rsidR="7695DA9E">
        <w:t>i</w:t>
      </w:r>
      <w:r w:rsidR="53C347DC">
        <w:t xml:space="preserve">n Canada (COSEWIC) and </w:t>
      </w:r>
      <w:r>
        <w:t xml:space="preserve">DFO </w:t>
      </w:r>
      <w:r w:rsidR="53C347DC">
        <w:t>was therefore required to complete</w:t>
      </w:r>
      <w:r>
        <w:t xml:space="preserve"> a Recovery Potential Analysis</w:t>
      </w:r>
      <w:r w:rsidR="53C347DC">
        <w:t xml:space="preserve"> (RPA)</w:t>
      </w:r>
      <w:r>
        <w:t xml:space="preserve"> which </w:t>
      </w:r>
      <w:r w:rsidR="53C347DC">
        <w:t>was published in February</w:t>
      </w:r>
      <w:r>
        <w:t xml:space="preserve"> 202</w:t>
      </w:r>
      <w:r w:rsidR="53C347DC">
        <w:t>3</w:t>
      </w:r>
      <w:r w:rsidR="00354ADD">
        <w:t xml:space="preserve"> (DFO 2023)</w:t>
      </w:r>
      <w:r w:rsidR="53C347DC">
        <w:t>. It drew</w:t>
      </w:r>
      <w:r>
        <w:t xml:space="preserve"> from the results presented in the 2019 rebuilding plan analysis (</w:t>
      </w:r>
      <w:hyperlink r:id="rId64" w:history="1">
        <w:r w:rsidRPr="00354ADD">
          <w:rPr>
            <w:rStyle w:val="Hyperlink"/>
          </w:rPr>
          <w:t>Cox et al</w:t>
        </w:r>
        <w:r w:rsidR="17BE3970" w:rsidRPr="00354ADD">
          <w:rPr>
            <w:rStyle w:val="Hyperlink"/>
          </w:rPr>
          <w:t>.</w:t>
        </w:r>
        <w:r w:rsidRPr="00354ADD">
          <w:rPr>
            <w:rStyle w:val="Hyperlink"/>
          </w:rPr>
          <w:t xml:space="preserve"> 2020</w:t>
        </w:r>
      </w:hyperlink>
      <w:r>
        <w:t xml:space="preserve">). </w:t>
      </w:r>
    </w:p>
    <w:p w14:paraId="5FCDBD8D" w14:textId="4246F06A" w:rsidR="3CF5A77E" w:rsidRDefault="3CF5A77E" w:rsidP="3CF5A77E">
      <w:pPr>
        <w:pStyle w:val="Citation"/>
        <w:spacing w:after="0"/>
      </w:pPr>
    </w:p>
    <w:p w14:paraId="0ACDAD2B" w14:textId="77777777" w:rsidR="009F7C9B" w:rsidRPr="009F7C9B" w:rsidRDefault="009F7C9B" w:rsidP="009F7C9B">
      <w:pPr>
        <w:pStyle w:val="Heading5"/>
      </w:pPr>
      <w:r>
        <w:t>Inside Yelloweye Rockfish</w:t>
      </w:r>
    </w:p>
    <w:p w14:paraId="1D289C61" w14:textId="54DE900D" w:rsidR="002C74D9" w:rsidRPr="00417F12" w:rsidRDefault="13EABF31" w:rsidP="002C74D9">
      <w:pPr>
        <w:pStyle w:val="Body"/>
      </w:pPr>
      <w:r>
        <w:t xml:space="preserve">The Inside population of Yelloweye Rockfish was designated as Threatened in December of 2020 by the Committee </w:t>
      </w:r>
      <w:r w:rsidR="7F9357F5">
        <w:t>o</w:t>
      </w:r>
      <w:r>
        <w:t xml:space="preserve">n the Status of Endangered Wildlife </w:t>
      </w:r>
      <w:r w:rsidR="69E5C825">
        <w:t>i</w:t>
      </w:r>
      <w:r>
        <w:t xml:space="preserve">n Canada (COSEWIC) </w:t>
      </w:r>
      <w:r w:rsidR="374DC328">
        <w:t>and DFO was therefore required to complete a Recovery Potential Analysis (RPA) which was published in February 2023. It drew</w:t>
      </w:r>
      <w:r>
        <w:t xml:space="preserve"> from the results presented in the 2020 rebuilding plan analysis (</w:t>
      </w:r>
      <w:hyperlink r:id="rId65" w:history="1">
        <w:r w:rsidRPr="00354ADD">
          <w:rPr>
            <w:rStyle w:val="Hyperlink"/>
          </w:rPr>
          <w:t xml:space="preserve">Haggarty et al </w:t>
        </w:r>
        <w:r w:rsidR="374DC328" w:rsidRPr="00354ADD">
          <w:rPr>
            <w:rStyle w:val="Hyperlink"/>
          </w:rPr>
          <w:t>2022</w:t>
        </w:r>
      </w:hyperlink>
      <w:r>
        <w:t xml:space="preserve">). </w:t>
      </w:r>
    </w:p>
    <w:p w14:paraId="02EAC4CD" w14:textId="77777777" w:rsidR="000A0C54" w:rsidRDefault="000A0C54" w:rsidP="002C74D9"/>
    <w:p w14:paraId="7BF0ED8F" w14:textId="723C0DD0" w:rsidR="3B134B8C" w:rsidRDefault="5273AF6F" w:rsidP="3CF5A77E">
      <w:r>
        <w:t>The res</w:t>
      </w:r>
      <w:r w:rsidR="0003524A">
        <w:t>ults of the two rebuilding plan reviews</w:t>
      </w:r>
      <w:r>
        <w:t xml:space="preserve"> </w:t>
      </w:r>
      <w:r w:rsidR="004432A8">
        <w:t>support a high probability</w:t>
      </w:r>
      <w:r>
        <w:t xml:space="preserve"> that </w:t>
      </w:r>
      <w:bookmarkStart w:id="20" w:name="_Int_aPqvjJaI"/>
      <w:r>
        <w:t>both Yelloweye</w:t>
      </w:r>
      <w:bookmarkEnd w:id="20"/>
      <w:r>
        <w:t xml:space="preserve"> R</w:t>
      </w:r>
      <w:r w:rsidR="4B909E1A">
        <w:t xml:space="preserve">ockfish stocks are </w:t>
      </w:r>
      <w:r w:rsidR="75908352">
        <w:t>above their respective Limit Reference Points</w:t>
      </w:r>
      <w:r w:rsidR="69FE5F87">
        <w:t xml:space="preserve"> (LRPs)</w:t>
      </w:r>
      <w:r w:rsidR="75908352">
        <w:t xml:space="preserve"> of 40% B</w:t>
      </w:r>
      <w:r w:rsidR="75908352" w:rsidRPr="387816AB">
        <w:rPr>
          <w:vertAlign w:val="subscript"/>
        </w:rPr>
        <w:t>MSY</w:t>
      </w:r>
      <w:r w:rsidR="75908352">
        <w:t>.</w:t>
      </w:r>
      <w:r w:rsidR="51EB5B5B">
        <w:t xml:space="preserve"> This differs from</w:t>
      </w:r>
      <w:r w:rsidR="2715456B">
        <w:t xml:space="preserve"> </w:t>
      </w:r>
      <w:r w:rsidR="51EB5B5B">
        <w:t>previous results that found Yelloweye Rockfish stocks to be below their LRPs</w:t>
      </w:r>
      <w:r w:rsidR="10CB76F6">
        <w:t xml:space="preserve">. Much of this discrepancy can be attributed to the use of surplus production models in previous analyses, while the most recent analyses </w:t>
      </w:r>
      <w:r w:rsidR="6BA45ABB">
        <w:t>presented in the rebuilding plans use age-structured models.</w:t>
      </w:r>
      <w:r w:rsidR="3D83BB05">
        <w:t xml:space="preserve"> Another significant difference between previous work and the more recent rebuilding plans is that we have moved towards using a Management Strategy Evaluation approach that follows the </w:t>
      </w:r>
      <w:r w:rsidR="5139847C">
        <w:t>Management</w:t>
      </w:r>
      <w:r w:rsidR="3D83BB05">
        <w:t xml:space="preserve"> P</w:t>
      </w:r>
      <w:r w:rsidR="37E88BA2">
        <w:t>rocedure Framework for Groundfis</w:t>
      </w:r>
      <w:r w:rsidR="0003524A">
        <w:t xml:space="preserve">h (Anderson et al. 2021). A recovery potential analysis for Yelloweye Rockfish was also completed in 2022 (DFO 2023). </w:t>
      </w:r>
    </w:p>
    <w:p w14:paraId="7D64B9F9" w14:textId="53A8A0DC" w:rsidR="3CF5A77E" w:rsidRDefault="3CF5A77E" w:rsidP="3CF5A77E"/>
    <w:p w14:paraId="19F7DEB8" w14:textId="2C354413" w:rsidR="009F7C9B" w:rsidRDefault="009F7C9B" w:rsidP="009F7C9B">
      <w:pPr>
        <w:pStyle w:val="Heading5"/>
      </w:pPr>
      <w:r>
        <w:t>Quillback Rockfish</w:t>
      </w:r>
    </w:p>
    <w:p w14:paraId="67622318" w14:textId="672970B6" w:rsidR="00E878D1" w:rsidRDefault="385990A7" w:rsidP="009F7C9B">
      <w:pPr>
        <w:pStyle w:val="Body"/>
      </w:pPr>
      <w:r>
        <w:t xml:space="preserve">The Inside and Outside management units of Quillback Rockfish were last assessed in 2010 </w:t>
      </w:r>
      <w:r w:rsidR="00354ADD">
        <w:t xml:space="preserve">(Yamanaka et al. 2011) </w:t>
      </w:r>
      <w:r>
        <w:t xml:space="preserve">after the Committee </w:t>
      </w:r>
      <w:r w:rsidR="3E015D58">
        <w:t>o</w:t>
      </w:r>
      <w:r>
        <w:t xml:space="preserve">n the Status of Endangered Wildlife </w:t>
      </w:r>
      <w:r w:rsidR="32F90497">
        <w:t>i</w:t>
      </w:r>
      <w:r>
        <w:t xml:space="preserve">n Canada (COSEWIC) designated them as threatened in November 2009. </w:t>
      </w:r>
    </w:p>
    <w:p w14:paraId="3368CB99" w14:textId="77FF5AA8" w:rsidR="000A0C54" w:rsidRPr="00EB1F7B" w:rsidRDefault="002C74D9" w:rsidP="000A0C54">
      <w:pPr>
        <w:pStyle w:val="Body"/>
      </w:pPr>
      <w:r>
        <w:t>Quillback is due to be reassessed in 202</w:t>
      </w:r>
      <w:r w:rsidR="000A0C54">
        <w:t>2-2023</w:t>
      </w:r>
      <w:r>
        <w:t xml:space="preserve"> in advance of a COSEWIC reassessment. In preparation to do so, we have begun analyzing data for the inside and outside stocks and have developed initial operating models for the inside stock. </w:t>
      </w:r>
      <w:r w:rsidR="000A0C54">
        <w:t>We also held a series of workshops to discuss the decision context and to develop objectives to be used for the Quillback Rockfish stocks in a Management Procedure (MP) framework analysis</w:t>
      </w:r>
      <w:r w:rsidR="0003524A">
        <w:t xml:space="preserve"> (Haggarty et al 2022)</w:t>
      </w:r>
      <w:r w:rsidR="000A0C54">
        <w:t xml:space="preserve">. </w:t>
      </w:r>
      <w:r w:rsidR="53409B36">
        <w:t xml:space="preserve">The Regional Peer Review meeting for the inside stock was held December 6-7 2022, and the Science Advisory Report is anticipated to be available soon. </w:t>
      </w:r>
      <w:r w:rsidR="3EDC0875">
        <w:t>The Regional Peer Review meeting for the outside stock is scheduled for May 2023.</w:t>
      </w:r>
    </w:p>
    <w:p w14:paraId="6EBC937C" w14:textId="77777777" w:rsidR="00E878D1" w:rsidRDefault="009F7C9B" w:rsidP="009F7C9B">
      <w:pPr>
        <w:pStyle w:val="Heading5"/>
      </w:pPr>
      <w:r>
        <w:lastRenderedPageBreak/>
        <w:t>Other Inshore Rockfish Species (Copper, China, Tiger, Brown, Black, Deacon Rockfishes)</w:t>
      </w:r>
      <w:r w:rsidR="00E878D1">
        <w:t>.</w:t>
      </w:r>
    </w:p>
    <w:p w14:paraId="66F5B6BC" w14:textId="5BBC8C63" w:rsidR="00E878D1" w:rsidRDefault="4D6A90F5" w:rsidP="009F7C9B">
      <w:pPr>
        <w:pStyle w:val="Body"/>
      </w:pPr>
      <w:r>
        <w:t>Inshore Rockfishes were assessed as a group in 2001, but none of these other inshore species have been assessed individually by DFO</w:t>
      </w:r>
      <w:r w:rsidR="646A2D19">
        <w:t>.</w:t>
      </w:r>
      <w:r w:rsidR="1214A2C8">
        <w:t xml:space="preserve"> Survey trends are monitored in the GF Synopsis (Anderson et al 2022) and by groundfish staff</w:t>
      </w:r>
      <w:r w:rsidR="60D8C96B">
        <w:t xml:space="preserve"> </w:t>
      </w:r>
      <w:r w:rsidR="7732090B">
        <w:t>(Figure 8)</w:t>
      </w:r>
      <w:r w:rsidR="1214A2C8">
        <w:t xml:space="preserve">. </w:t>
      </w:r>
    </w:p>
    <w:p w14:paraId="52A2C163" w14:textId="5AA52FDA" w:rsidR="000E7F86" w:rsidRDefault="000E7F86" w:rsidP="009F7C9B">
      <w:pPr>
        <w:pStyle w:val="Body"/>
      </w:pPr>
      <w:r>
        <w:rPr>
          <w:noProof/>
          <w:lang w:val="en-US"/>
        </w:rPr>
        <w:drawing>
          <wp:inline distT="0" distB="0" distL="0" distR="0" wp14:anchorId="1F7BFE81" wp14:editId="699B3EC3">
            <wp:extent cx="5943600" cy="4457700"/>
            <wp:effectExtent l="0" t="0" r="0" b="0"/>
            <wp:docPr id="3" name="Picture 3" descr="C:\Users\haggartyd\AppData\Local\Microsoft\Windows\INetCache\Content.MSO\37B7B6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ggartyd\AppData\Local\Microsoft\Windows\INetCache\Content.MSO\37B7B61A.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E299497" w14:textId="48089038" w:rsidR="000550E6" w:rsidRDefault="6A368D0A" w:rsidP="36F5592C">
      <w:pPr>
        <w:spacing w:line="257" w:lineRule="auto"/>
        <w:rPr>
          <w:rFonts w:eastAsia="Arial" w:cs="Arial"/>
          <w:i/>
          <w:iCs/>
          <w:sz w:val="18"/>
          <w:szCs w:val="18"/>
        </w:rPr>
      </w:pPr>
      <w:r w:rsidRPr="36F5592C">
        <w:rPr>
          <w:rFonts w:eastAsia="Arial" w:cs="Arial"/>
          <w:i/>
          <w:iCs/>
          <w:sz w:val="18"/>
          <w:szCs w:val="18"/>
        </w:rPr>
        <w:t xml:space="preserve">Figure </w:t>
      </w:r>
      <w:r w:rsidR="5A58E0F6" w:rsidRPr="36F5592C">
        <w:rPr>
          <w:rFonts w:eastAsia="Arial" w:cs="Arial"/>
          <w:i/>
          <w:iCs/>
          <w:sz w:val="18"/>
          <w:szCs w:val="18"/>
        </w:rPr>
        <w:t>8</w:t>
      </w:r>
      <w:r w:rsidRPr="36F5592C">
        <w:rPr>
          <w:rFonts w:eastAsia="Arial" w:cs="Arial"/>
          <w:i/>
          <w:iCs/>
          <w:sz w:val="18"/>
          <w:szCs w:val="18"/>
        </w:rPr>
        <w:t>. Relative biomass of Inshore Rockfish Species from the design-based survey index on the Inside and Outside Hard Bottom Longline Surveys (HBLL) conducted in Northern (N) and Southern (S) waters. Dots represent mean estimates of relative biomass and shaded ribbons around the dots and lines represent 95% bootstrap confidence intervals. </w:t>
      </w:r>
    </w:p>
    <w:p w14:paraId="23F359AF" w14:textId="5998D2DE" w:rsidR="000E7F86" w:rsidRDefault="000E7F86" w:rsidP="009F7C9B">
      <w:pPr>
        <w:pStyle w:val="Body"/>
      </w:pPr>
    </w:p>
    <w:p w14:paraId="2A219C3B" w14:textId="77777777" w:rsidR="00354ADD" w:rsidRDefault="00354ADD" w:rsidP="00354ADD">
      <w:pPr>
        <w:rPr>
          <w:rFonts w:eastAsia="Arial" w:cs="Arial"/>
        </w:rPr>
      </w:pPr>
      <w:r>
        <w:rPr>
          <w:rFonts w:eastAsia="Arial" w:cs="Arial"/>
        </w:rPr>
        <w:t>Literature Cited:</w:t>
      </w:r>
    </w:p>
    <w:p w14:paraId="66734153" w14:textId="77777777" w:rsidR="00354ADD" w:rsidRDefault="00354ADD" w:rsidP="00354ADD">
      <w:pPr>
        <w:rPr>
          <w:rFonts w:eastAsia="Arial" w:cs="Arial"/>
        </w:rPr>
      </w:pPr>
      <w:r w:rsidRPr="3CF5A77E">
        <w:rPr>
          <w:rFonts w:eastAsia="Arial" w:cs="Arial"/>
        </w:rPr>
        <w:t xml:space="preserve">Anderson, S.C., Forrest, R.E., Huynh, Q.C., Keppel, E.A. 2021. A management procedure </w:t>
      </w:r>
      <w:r>
        <w:tab/>
      </w:r>
      <w:r w:rsidRPr="3CF5A77E">
        <w:rPr>
          <w:rFonts w:eastAsia="Arial" w:cs="Arial"/>
        </w:rPr>
        <w:t xml:space="preserve">framework for groundfish in British Columbia. DFO Can. Sci. </w:t>
      </w:r>
      <w:proofErr w:type="spellStart"/>
      <w:r w:rsidRPr="3CF5A77E">
        <w:rPr>
          <w:rFonts w:eastAsia="Arial" w:cs="Arial"/>
        </w:rPr>
        <w:t>Advis</w:t>
      </w:r>
      <w:proofErr w:type="spellEnd"/>
      <w:r w:rsidRPr="3CF5A77E">
        <w:rPr>
          <w:rFonts w:eastAsia="Arial" w:cs="Arial"/>
        </w:rPr>
        <w:t xml:space="preserve">. Sec. Res. Doc. </w:t>
      </w:r>
      <w:r>
        <w:tab/>
      </w:r>
      <w:r w:rsidRPr="3CF5A77E">
        <w:rPr>
          <w:rFonts w:eastAsia="Arial" w:cs="Arial"/>
        </w:rPr>
        <w:t>2021/007. vi + 139 p.</w:t>
      </w:r>
    </w:p>
    <w:p w14:paraId="6E9DE856" w14:textId="77777777" w:rsidR="00354ADD" w:rsidRDefault="00354ADD" w:rsidP="00354ADD">
      <w:pPr>
        <w:pStyle w:val="Citation"/>
        <w:spacing w:after="0"/>
      </w:pPr>
      <w:r>
        <w:t xml:space="preserve">Cox, S.P., Doherty, B., Benson, A.J., Johnson, S.D., and Haggarty, D. 2020. Evaluation of potential rebuilding strategies for Outside Yelloweye Rockfish in British Columbia. DFO Can. Sci. </w:t>
      </w:r>
      <w:proofErr w:type="spellStart"/>
      <w:r>
        <w:t>Advis</w:t>
      </w:r>
      <w:proofErr w:type="spellEnd"/>
      <w:r>
        <w:t>. Sec. Res. Doc. 2019/041.</w:t>
      </w:r>
    </w:p>
    <w:p w14:paraId="3AE72D9E" w14:textId="77777777" w:rsidR="00354ADD" w:rsidRDefault="00354ADD" w:rsidP="00354ADD">
      <w:pPr>
        <w:rPr>
          <w:rFonts w:eastAsia="Arial" w:cs="Arial"/>
        </w:rPr>
      </w:pPr>
      <w:r w:rsidRPr="36F5592C">
        <w:rPr>
          <w:rFonts w:eastAsia="Arial" w:cs="Arial"/>
        </w:rPr>
        <w:lastRenderedPageBreak/>
        <w:t>DFO. 2023</w:t>
      </w:r>
      <w:r>
        <w:rPr>
          <w:rFonts w:eastAsia="Arial" w:cs="Arial"/>
        </w:rPr>
        <w:t>b</w:t>
      </w:r>
      <w:r w:rsidRPr="36F5592C">
        <w:rPr>
          <w:rFonts w:eastAsia="Arial" w:cs="Arial"/>
        </w:rPr>
        <w:t>. Recovery Potential Assessment for Yelloweye Rockfish (</w:t>
      </w:r>
      <w:r w:rsidRPr="36F5592C">
        <w:rPr>
          <w:rFonts w:eastAsia="Arial" w:cs="Arial"/>
          <w:i/>
          <w:iCs/>
        </w:rPr>
        <w:t>Sebastes ruberrimus</w:t>
      </w:r>
      <w:r w:rsidRPr="36F5592C">
        <w:rPr>
          <w:rFonts w:eastAsia="Arial" w:cs="Arial"/>
        </w:rPr>
        <w:t xml:space="preserve">) in </w:t>
      </w:r>
      <w:r>
        <w:tab/>
      </w:r>
      <w:r w:rsidRPr="36F5592C">
        <w:rPr>
          <w:rFonts w:eastAsia="Arial" w:cs="Arial"/>
        </w:rPr>
        <w:t xml:space="preserve">British Columbia. DFO Can. Sci. </w:t>
      </w:r>
      <w:proofErr w:type="spellStart"/>
      <w:r w:rsidRPr="36F5592C">
        <w:rPr>
          <w:rFonts w:eastAsia="Arial" w:cs="Arial"/>
        </w:rPr>
        <w:t>Advis</w:t>
      </w:r>
      <w:proofErr w:type="spellEnd"/>
      <w:r w:rsidRPr="36F5592C">
        <w:rPr>
          <w:rFonts w:eastAsia="Arial" w:cs="Arial"/>
        </w:rPr>
        <w:t>. Sec. Sci. Resp. 2023/003.</w:t>
      </w:r>
      <w:r>
        <w:rPr>
          <w:rFonts w:eastAsia="Arial" w:cs="Arial"/>
        </w:rPr>
        <w:t xml:space="preserve"> </w:t>
      </w:r>
      <w:hyperlink r:id="rId67" w:history="1">
        <w:r w:rsidRPr="00204643">
          <w:rPr>
            <w:rStyle w:val="Hyperlink"/>
            <w:rFonts w:eastAsia="Arial" w:cs="Arial"/>
          </w:rPr>
          <w:t>https://www.dfo-mpo.gc.ca/csas-sccs/Publications/ScR-RS/2023/2023_003-eng.html</w:t>
        </w:r>
      </w:hyperlink>
    </w:p>
    <w:p w14:paraId="51CDE256" w14:textId="77777777" w:rsidR="00354ADD" w:rsidRPr="000E3AF9" w:rsidRDefault="00354ADD" w:rsidP="00354ADD">
      <w:pPr>
        <w:autoSpaceDE w:val="0"/>
        <w:autoSpaceDN w:val="0"/>
        <w:adjustRightInd w:val="0"/>
        <w:ind w:left="720" w:hanging="720"/>
        <w:rPr>
          <w:rFonts w:cs="Arial"/>
        </w:rPr>
      </w:pPr>
      <w:r w:rsidRPr="36F5592C">
        <w:rPr>
          <w:rFonts w:cs="Arial"/>
        </w:rPr>
        <w:t>Haggarty, D.R., Huynh, Q.C., Forrest, R.E., Anderson, S.C., Bresch, M.J., Keppel, E.A. 2022. Evaluation of potential rebuilding strategies for Inside Yelloweye Rockfish (</w:t>
      </w:r>
      <w:r w:rsidRPr="36F5592C">
        <w:rPr>
          <w:rFonts w:cs="Arial"/>
          <w:i/>
          <w:iCs/>
        </w:rPr>
        <w:t>Sebastes ruberrimus</w:t>
      </w:r>
      <w:r w:rsidRPr="36F5592C">
        <w:rPr>
          <w:rFonts w:cs="Arial"/>
        </w:rPr>
        <w:t xml:space="preserve">) in British Columbia. DFO Can. Sci. </w:t>
      </w:r>
      <w:proofErr w:type="spellStart"/>
      <w:r w:rsidRPr="36F5592C">
        <w:rPr>
          <w:rFonts w:cs="Arial"/>
        </w:rPr>
        <w:t>Advis</w:t>
      </w:r>
      <w:proofErr w:type="spellEnd"/>
      <w:r w:rsidRPr="36F5592C">
        <w:rPr>
          <w:rFonts w:cs="Arial"/>
        </w:rPr>
        <w:t>. Sec. Res. Doc. 2022/008. vi + 142 p.</w:t>
      </w:r>
    </w:p>
    <w:p w14:paraId="6270D236" w14:textId="77777777" w:rsidR="00354ADD" w:rsidRDefault="00354ADD" w:rsidP="00354ADD">
      <w:pPr>
        <w:pStyle w:val="Body"/>
        <w:ind w:left="720" w:hanging="720"/>
      </w:pPr>
      <w:r>
        <w:t>Yamanaka, K.L., McAllister, M.K., Etienne, M.-P., and Flemming, R. 2011. Stock assessment and recovery potential assessment for Quillback Rockfish (</w:t>
      </w:r>
      <w:r w:rsidRPr="1155EF1C">
        <w:rPr>
          <w:i/>
          <w:iCs/>
        </w:rPr>
        <w:t>Sebastes maliger</w:t>
      </w:r>
      <w:r>
        <w:t xml:space="preserve">) on the Pacific coast of Canada. DFO Can. Sci. </w:t>
      </w:r>
      <w:proofErr w:type="spellStart"/>
      <w:r>
        <w:t>Advis</w:t>
      </w:r>
      <w:proofErr w:type="spellEnd"/>
      <w:r>
        <w:t>. Sec. Res. Doc. 2011/135: vii + 151 p.</w:t>
      </w:r>
    </w:p>
    <w:p w14:paraId="1D3D3AB6" w14:textId="77777777" w:rsidR="00354ADD" w:rsidRDefault="00354ADD" w:rsidP="00354ADD"/>
    <w:p w14:paraId="56DE7081" w14:textId="77777777" w:rsidR="00354ADD" w:rsidRDefault="00354ADD" w:rsidP="009F7C9B">
      <w:pPr>
        <w:pStyle w:val="Body"/>
      </w:pPr>
    </w:p>
    <w:p w14:paraId="6D558672" w14:textId="77777777" w:rsidR="009F7C9B" w:rsidRDefault="27454F67" w:rsidP="006D04C4">
      <w:pPr>
        <w:pStyle w:val="Heading4"/>
      </w:pPr>
      <w:r>
        <w:t xml:space="preserve">Offshore Rockfish </w:t>
      </w:r>
    </w:p>
    <w:p w14:paraId="093590E3" w14:textId="69EBA7FD" w:rsidR="65FECA0C" w:rsidRDefault="65FECA0C" w:rsidP="44501DDE">
      <w:pPr>
        <w:pStyle w:val="Heading5"/>
        <w:rPr>
          <w:rFonts w:eastAsia="Arial" w:cs="Arial"/>
        </w:rPr>
      </w:pPr>
      <w:r w:rsidRPr="44501DDE">
        <w:rPr>
          <w:rFonts w:eastAsia="Arial" w:cs="Arial"/>
        </w:rPr>
        <w:t>Bocaccio</w:t>
      </w:r>
    </w:p>
    <w:p w14:paraId="792C739B" w14:textId="1119723D" w:rsidR="65FECA0C" w:rsidRDefault="65FECA0C" w:rsidP="44501DDE">
      <w:pPr>
        <w:rPr>
          <w:rFonts w:eastAsia="Arial" w:cs="Arial"/>
        </w:rPr>
      </w:pPr>
      <w:r w:rsidRPr="44501DDE">
        <w:rPr>
          <w:rFonts w:eastAsia="Arial" w:cs="Arial"/>
        </w:rPr>
        <w:t>Bocaccio was assessed in 2019 (</w:t>
      </w:r>
      <w:hyperlink r:id="rId68" w:history="1">
        <w:r w:rsidRPr="44501DDE">
          <w:rPr>
            <w:rStyle w:val="Hyperlink"/>
            <w:rFonts w:eastAsia="Arial" w:cs="Arial"/>
          </w:rPr>
          <w:t>Research Document 2022/001</w:t>
        </w:r>
      </w:hyperlink>
      <w:r w:rsidRPr="44501DDE">
        <w:rPr>
          <w:rFonts w:eastAsia="Arial" w:cs="Arial"/>
        </w:rPr>
        <w:t xml:space="preserve">, </w:t>
      </w:r>
      <w:hyperlink r:id="rId69" w:history="1">
        <w:r w:rsidRPr="44501DDE">
          <w:rPr>
            <w:rStyle w:val="Hyperlink"/>
            <w:rFonts w:eastAsia="Arial" w:cs="Arial"/>
          </w:rPr>
          <w:t>Science Advisory Report 2020/025</w:t>
        </w:r>
      </w:hyperlink>
      <w:r w:rsidRPr="44501DDE">
        <w:rPr>
          <w:rFonts w:eastAsia="Arial" w:cs="Arial"/>
        </w:rPr>
        <w:t xml:space="preserve">, </w:t>
      </w:r>
      <w:hyperlink r:id="rId70" w:history="1">
        <w:r w:rsidRPr="44501DDE">
          <w:rPr>
            <w:rStyle w:val="Hyperlink"/>
            <w:rFonts w:eastAsia="Arial" w:cs="Arial"/>
          </w:rPr>
          <w:t>Proceedings 2021/014</w:t>
        </w:r>
      </w:hyperlink>
      <w:r w:rsidRPr="44501DDE">
        <w:rPr>
          <w:rFonts w:eastAsia="Arial" w:cs="Arial"/>
        </w:rPr>
        <w:t>), and a very large 2016 cohort was predicted to elevate the stock from the DFO Critical Zone to the Healthy Zone by 2023. An update of the stock assessment model using new survey and commercial CPUE indices was performed in 2021 (</w:t>
      </w:r>
      <w:hyperlink r:id="rId71" w:history="1">
        <w:r w:rsidRPr="44501DDE">
          <w:rPr>
            <w:rStyle w:val="Hyperlink"/>
            <w:rFonts w:eastAsia="Arial" w:cs="Arial"/>
          </w:rPr>
          <w:t>Science Response 2022/001</w:t>
        </w:r>
      </w:hyperlink>
      <w:r w:rsidRPr="44501DDE">
        <w:rPr>
          <w:rFonts w:eastAsia="Arial" w:cs="Arial"/>
        </w:rPr>
        <w:t xml:space="preserve">), which verified the recovery of this species: </w:t>
      </w:r>
      <w:r w:rsidRPr="44501DDE">
        <w:rPr>
          <w:rFonts w:eastAsia="Arial" w:cs="Arial"/>
          <w:i/>
          <w:iCs/>
        </w:rPr>
        <w:t>B</w:t>
      </w:r>
      <w:r w:rsidRPr="44501DDE">
        <w:rPr>
          <w:rFonts w:eastAsia="Arial" w:cs="Arial"/>
          <w:vertAlign w:val="subscript"/>
        </w:rPr>
        <w:t xml:space="preserve">2022 </w:t>
      </w:r>
      <w:r w:rsidRPr="44501DDE">
        <w:rPr>
          <w:rFonts w:eastAsia="Arial" w:cs="Arial"/>
        </w:rPr>
        <w:t>/</w:t>
      </w:r>
      <w:r w:rsidRPr="44501DDE">
        <w:rPr>
          <w:rFonts w:eastAsia="Arial" w:cs="Arial"/>
          <w:i/>
          <w:iCs/>
        </w:rPr>
        <w:t>B</w:t>
      </w:r>
      <w:r w:rsidRPr="44501DDE">
        <w:rPr>
          <w:rFonts w:eastAsia="Arial" w:cs="Arial"/>
          <w:vertAlign w:val="subscript"/>
        </w:rPr>
        <w:t>MSY</w:t>
      </w:r>
      <w:r w:rsidRPr="44501DDE">
        <w:rPr>
          <w:rFonts w:eastAsia="Arial" w:cs="Arial"/>
        </w:rPr>
        <w:t xml:space="preserve"> = 1.499 (0.625, 3.416). A second update was requested for 2023.</w:t>
      </w:r>
    </w:p>
    <w:p w14:paraId="3EBF795A" w14:textId="76F056F6" w:rsidR="44501DDE" w:rsidRDefault="44501DDE" w:rsidP="44501DDE">
      <w:pPr>
        <w:rPr>
          <w:rFonts w:eastAsia="Arial" w:cs="Arial"/>
        </w:rPr>
      </w:pPr>
    </w:p>
    <w:p w14:paraId="36427E36" w14:textId="6DB18F87" w:rsidR="65FECA0C" w:rsidRDefault="65FECA0C" w:rsidP="44501DDE">
      <w:pPr>
        <w:pStyle w:val="Heading5"/>
        <w:rPr>
          <w:rFonts w:eastAsia="Arial" w:cs="Arial"/>
        </w:rPr>
      </w:pPr>
      <w:r w:rsidRPr="44501DDE">
        <w:rPr>
          <w:rFonts w:eastAsia="Arial" w:cs="Arial"/>
        </w:rPr>
        <w:t>Canary Rockfish</w:t>
      </w:r>
    </w:p>
    <w:p w14:paraId="55699CE9" w14:textId="1ED9103D" w:rsidR="65FECA0C" w:rsidRDefault="65FECA0C" w:rsidP="44501DDE">
      <w:pPr>
        <w:rPr>
          <w:rFonts w:eastAsia="Arial" w:cs="Arial"/>
        </w:rPr>
      </w:pPr>
      <w:r w:rsidRPr="44501DDE">
        <w:rPr>
          <w:rFonts w:eastAsia="Arial" w:cs="Arial"/>
        </w:rPr>
        <w:t>In 2007, Canary Rockfish along the Pacific coast of Canada was designated as ‘Threatened’ by COSEWIC, with commercial fishing identified as the primary threat. A Canary Rockfish stock assessment was conducted in 2007 (</w:t>
      </w:r>
      <w:hyperlink r:id="rId72" w:history="1">
        <w:r w:rsidRPr="44501DDE">
          <w:rPr>
            <w:rStyle w:val="Hyperlink"/>
            <w:rFonts w:eastAsia="Arial" w:cs="Arial"/>
          </w:rPr>
          <w:t>Research Document 2009/013</w:t>
        </w:r>
      </w:hyperlink>
      <w:r w:rsidRPr="44501DDE">
        <w:rPr>
          <w:rFonts w:eastAsia="Arial" w:cs="Arial"/>
        </w:rPr>
        <w:t xml:space="preserve">, </w:t>
      </w:r>
      <w:hyperlink r:id="rId73" w:history="1">
        <w:r w:rsidRPr="44501DDE">
          <w:rPr>
            <w:rStyle w:val="Hyperlink"/>
            <w:rFonts w:eastAsia="Arial" w:cs="Arial"/>
          </w:rPr>
          <w:t>Science Advisory Report 2009/041</w:t>
        </w:r>
      </w:hyperlink>
      <w:r w:rsidRPr="44501DDE">
        <w:rPr>
          <w:rFonts w:eastAsia="Arial" w:cs="Arial"/>
        </w:rPr>
        <w:t xml:space="preserve">, </w:t>
      </w:r>
      <w:hyperlink r:id="rId74" w:history="1">
        <w:r w:rsidRPr="44501DDE">
          <w:rPr>
            <w:rStyle w:val="Hyperlink"/>
            <w:rFonts w:eastAsia="Arial" w:cs="Arial"/>
          </w:rPr>
          <w:t>Proceedings 2009/007</w:t>
        </w:r>
      </w:hyperlink>
      <w:r w:rsidRPr="44501DDE">
        <w:rPr>
          <w:rFonts w:eastAsia="Arial" w:cs="Arial"/>
        </w:rPr>
        <w:t>), with an update in 2009 (</w:t>
      </w:r>
      <w:hyperlink r:id="rId75" w:history="1">
        <w:r w:rsidRPr="44501DDE">
          <w:rPr>
            <w:rStyle w:val="Hyperlink"/>
            <w:rFonts w:eastAsia="Arial" w:cs="Arial"/>
          </w:rPr>
          <w:t>Science Response 2009/019</w:t>
        </w:r>
      </w:hyperlink>
      <w:r w:rsidRPr="44501DDE">
        <w:rPr>
          <w:rFonts w:eastAsia="Arial" w:cs="Arial"/>
        </w:rPr>
        <w:t>). In 2017, DFO prepared a summary of available information on Canary Rockfish in preparation for a re-assessment by COSEWIC (</w:t>
      </w:r>
      <w:hyperlink r:id="rId76" w:history="1">
        <w:r w:rsidRPr="44501DDE">
          <w:rPr>
            <w:rStyle w:val="Hyperlink"/>
            <w:rFonts w:eastAsia="Arial" w:cs="Arial"/>
          </w:rPr>
          <w:t>Proceedings 2021/035</w:t>
        </w:r>
      </w:hyperlink>
      <w:r w:rsidRPr="44501DDE">
        <w:rPr>
          <w:rFonts w:eastAsia="Arial" w:cs="Arial"/>
        </w:rPr>
        <w:t xml:space="preserve">). A new full stock assessment by DFO was conducted in 2022 (Research Document in press, </w:t>
      </w:r>
      <w:hyperlink r:id="rId77" w:history="1">
        <w:r w:rsidRPr="44501DDE">
          <w:rPr>
            <w:rStyle w:val="Hyperlink"/>
            <w:rFonts w:eastAsia="Arial" w:cs="Arial"/>
          </w:rPr>
          <w:t>Science Advisory Report 2023/002</w:t>
        </w:r>
      </w:hyperlink>
      <w:r w:rsidRPr="44501DDE">
        <w:rPr>
          <w:rFonts w:eastAsia="Arial" w:cs="Arial"/>
        </w:rPr>
        <w:t>, Proceedings in press).</w:t>
      </w:r>
    </w:p>
    <w:p w14:paraId="74E76AEE" w14:textId="426D9FFF" w:rsidR="44501DDE" w:rsidRDefault="44501DDE" w:rsidP="44501DDE">
      <w:pPr>
        <w:rPr>
          <w:rFonts w:eastAsia="Arial" w:cs="Arial"/>
        </w:rPr>
      </w:pPr>
    </w:p>
    <w:p w14:paraId="599A9196" w14:textId="6FF9214D" w:rsidR="65FECA0C" w:rsidRDefault="65FECA0C" w:rsidP="44501DDE">
      <w:pPr>
        <w:rPr>
          <w:rFonts w:eastAsia="Arial" w:cs="Arial"/>
        </w:rPr>
      </w:pPr>
      <w:r w:rsidRPr="44501DDE">
        <w:rPr>
          <w:rFonts w:eastAsia="Arial" w:cs="Arial"/>
        </w:rPr>
        <w:t>The Canary Rockfish (CAR) stock assessment evaluated a British Columbia (BC) coastwide population harvested by two fisheries, one using combined bottom and midwater trawl gear and the other using non-trawl gear. Bottom trawl catches were predominant (83% by weight over the period 1996 to 2021), followed by midwater trawl (13%) and hook and line (4%). Analyses of biology and distribution did not support separate regional stocks for CAR.</w:t>
      </w:r>
    </w:p>
    <w:p w14:paraId="404CFBF5" w14:textId="39AB6E40" w:rsidR="44501DDE" w:rsidRDefault="44501DDE" w:rsidP="44501DDE">
      <w:pPr>
        <w:rPr>
          <w:rFonts w:eastAsia="Arial" w:cs="Arial"/>
        </w:rPr>
      </w:pPr>
    </w:p>
    <w:p w14:paraId="62B6766B" w14:textId="5F76836E" w:rsidR="65FECA0C" w:rsidRDefault="65FECA0C" w:rsidP="44501DDE">
      <w:pPr>
        <w:rPr>
          <w:rFonts w:eastAsia="Arial" w:cs="Arial"/>
        </w:rPr>
      </w:pPr>
      <w:r w:rsidRPr="44501DDE">
        <w:rPr>
          <w:rFonts w:eastAsia="Arial" w:cs="Arial"/>
        </w:rPr>
        <w:t>The CAR stock was assessed using an annual two-sex catch-at-age model, implemented in a Bayesian framework to quantify uncertainty of estimated and derived parameters. The analysis platform adopted was the National Oceanic and Atmospheric Administration’s (NOAA) Stock Synthesis 3. A base run that estimated natural mortality (</w:t>
      </w:r>
      <w:r w:rsidRPr="44501DDE">
        <w:rPr>
          <w:rFonts w:eastAsia="Arial" w:cs="Arial"/>
          <w:i/>
          <w:iCs/>
        </w:rPr>
        <w:t>M</w:t>
      </w:r>
      <w:r w:rsidRPr="44501DDE">
        <w:rPr>
          <w:rFonts w:eastAsia="Arial" w:cs="Arial"/>
        </w:rPr>
        <w:t>) and steepness (</w:t>
      </w:r>
      <w:r w:rsidRPr="44501DDE">
        <w:rPr>
          <w:rFonts w:eastAsia="Arial" w:cs="Arial"/>
          <w:i/>
          <w:iCs/>
        </w:rPr>
        <w:t>h</w:t>
      </w:r>
      <w:r w:rsidRPr="44501DDE">
        <w:rPr>
          <w:rFonts w:eastAsia="Arial" w:cs="Arial"/>
        </w:rPr>
        <w:t>) fit the available data credibly and was considered sufficient to model the population.</w:t>
      </w:r>
    </w:p>
    <w:p w14:paraId="0163D558" w14:textId="2764F738" w:rsidR="44501DDE" w:rsidRDefault="44501DDE" w:rsidP="44501DDE">
      <w:pPr>
        <w:rPr>
          <w:rFonts w:eastAsia="Arial" w:cs="Arial"/>
        </w:rPr>
      </w:pPr>
    </w:p>
    <w:p w14:paraId="0F1A0161" w14:textId="71987F2E" w:rsidR="65FECA0C" w:rsidRDefault="65FECA0C" w:rsidP="44501DDE">
      <w:pPr>
        <w:rPr>
          <w:rFonts w:eastAsia="Arial" w:cs="Arial"/>
        </w:rPr>
      </w:pPr>
      <w:r w:rsidRPr="44501DDE">
        <w:rPr>
          <w:rFonts w:eastAsia="Arial" w:cs="Arial"/>
        </w:rPr>
        <w:t>This stock assessment was primarily informed by six CAR abundance series from fishery independent surveys, and a catch per unit effort (CPUE) abundance series. While the CAR survey abundance series had large relative errors, they did not contradict the commercial CPUE index series. Additionally, age frequency data from the commercial trawl fishery (36 years) and three survey series (23 years) were used.</w:t>
      </w:r>
    </w:p>
    <w:p w14:paraId="5899502B" w14:textId="4966683C" w:rsidR="44501DDE" w:rsidRDefault="44501DDE" w:rsidP="44501DDE">
      <w:pPr>
        <w:rPr>
          <w:rFonts w:eastAsia="Arial" w:cs="Arial"/>
        </w:rPr>
      </w:pPr>
    </w:p>
    <w:p w14:paraId="37B47011" w14:textId="49BA34BF" w:rsidR="65FECA0C" w:rsidRDefault="6386F1B8" w:rsidP="44501DDE">
      <w:pPr>
        <w:rPr>
          <w:rFonts w:eastAsia="Arial" w:cs="Arial"/>
          <w:lang w:val="en-GB"/>
        </w:rPr>
      </w:pPr>
      <w:r w:rsidRPr="490425B0">
        <w:rPr>
          <w:rFonts w:eastAsia="Arial" w:cs="Arial"/>
          <w:lang w:val="en-GB"/>
        </w:rPr>
        <w:t>The median (with 5th and 95th percentiles) female spawning biomass at the beginning of 2023 (</w:t>
      </w:r>
      <w:r w:rsidRPr="490425B0">
        <w:rPr>
          <w:rFonts w:eastAsia="Arial" w:cs="Arial"/>
          <w:i/>
          <w:iCs/>
          <w:lang w:val="en-GB"/>
        </w:rPr>
        <w:t>B</w:t>
      </w:r>
      <w:r w:rsidRPr="490425B0">
        <w:rPr>
          <w:rFonts w:eastAsia="Arial" w:cs="Arial"/>
          <w:vertAlign w:val="subscript"/>
          <w:lang w:val="en-GB"/>
        </w:rPr>
        <w:t>2023</w:t>
      </w:r>
      <w:r w:rsidRPr="490425B0">
        <w:rPr>
          <w:rFonts w:eastAsia="Arial" w:cs="Arial"/>
          <w:lang w:val="en-GB"/>
        </w:rPr>
        <w:t>) was estimated to be 0.78 (0.57, 1.05) of the equilibrium unfished female spawning biomass (</w:t>
      </w:r>
      <w:r w:rsidRPr="490425B0">
        <w:rPr>
          <w:rFonts w:eastAsia="Arial" w:cs="Arial"/>
          <w:i/>
          <w:iCs/>
          <w:lang w:val="en-GB"/>
        </w:rPr>
        <w:t>B</w:t>
      </w:r>
      <w:r w:rsidRPr="490425B0">
        <w:rPr>
          <w:rFonts w:eastAsia="Arial" w:cs="Arial"/>
          <w:vertAlign w:val="subscript"/>
          <w:lang w:val="en-GB"/>
        </w:rPr>
        <w:t>0</w:t>
      </w:r>
      <w:r w:rsidRPr="490425B0">
        <w:rPr>
          <w:rFonts w:eastAsia="Arial" w:cs="Arial"/>
          <w:lang w:val="en-GB"/>
        </w:rPr>
        <w:t xml:space="preserve">). Also, </w:t>
      </w:r>
      <w:r w:rsidRPr="490425B0">
        <w:rPr>
          <w:rFonts w:eastAsia="Arial" w:cs="Arial"/>
          <w:i/>
          <w:iCs/>
          <w:lang w:val="en-GB"/>
        </w:rPr>
        <w:t>B</w:t>
      </w:r>
      <w:r w:rsidRPr="490425B0">
        <w:rPr>
          <w:rFonts w:eastAsia="Arial" w:cs="Arial"/>
          <w:vertAlign w:val="subscript"/>
          <w:lang w:val="en-GB"/>
        </w:rPr>
        <w:t>2023</w:t>
      </w:r>
      <w:r w:rsidRPr="490425B0">
        <w:rPr>
          <w:rFonts w:eastAsia="Arial" w:cs="Arial"/>
          <w:lang w:val="en-GB"/>
        </w:rPr>
        <w:t xml:space="preserve"> was estimated to be 3.04 (1.92, 4.89) times the equilibrium female spawning biomass at maximum sustainable yield, </w:t>
      </w:r>
      <w:r w:rsidRPr="490425B0">
        <w:rPr>
          <w:rFonts w:eastAsia="Arial" w:cs="Arial"/>
          <w:i/>
          <w:iCs/>
          <w:lang w:val="en-GB"/>
        </w:rPr>
        <w:t>B</w:t>
      </w:r>
      <w:r w:rsidRPr="490425B0">
        <w:rPr>
          <w:rFonts w:eastAsia="Arial" w:cs="Arial"/>
          <w:vertAlign w:val="subscript"/>
          <w:lang w:val="en-GB"/>
        </w:rPr>
        <w:t>MSY</w:t>
      </w:r>
      <w:r w:rsidR="722D0C85" w:rsidRPr="490425B0">
        <w:rPr>
          <w:rFonts w:eastAsia="Arial" w:cs="Arial"/>
          <w:lang w:val="en-GB"/>
        </w:rPr>
        <w:t xml:space="preserve"> (Figure 9).</w:t>
      </w:r>
    </w:p>
    <w:p w14:paraId="4651F846" w14:textId="62A8F557" w:rsidR="44501DDE" w:rsidRDefault="44501DDE" w:rsidP="44501DDE">
      <w:pPr>
        <w:rPr>
          <w:rFonts w:eastAsia="Arial" w:cs="Arial"/>
          <w:lang w:val="en-GB"/>
        </w:rPr>
      </w:pPr>
    </w:p>
    <w:p w14:paraId="5BB7C1EB" w14:textId="26925099" w:rsidR="65FECA0C" w:rsidRDefault="6386F1B8" w:rsidP="44501DDE">
      <w:pPr>
        <w:rPr>
          <w:rFonts w:eastAsia="Arial" w:cs="Arial"/>
          <w:lang w:val="en-GB"/>
        </w:rPr>
      </w:pPr>
      <w:r w:rsidRPr="490425B0">
        <w:rPr>
          <w:rFonts w:eastAsia="Arial" w:cs="Arial"/>
          <w:lang w:val="en-GB"/>
        </w:rPr>
        <w:t xml:space="preserve">There was an estimated probability of 1 that </w:t>
      </w:r>
      <w:r w:rsidRPr="490425B0">
        <w:rPr>
          <w:rFonts w:eastAsia="Arial" w:cs="Arial"/>
          <w:i/>
          <w:iCs/>
          <w:lang w:val="en-GB"/>
        </w:rPr>
        <w:t>B</w:t>
      </w:r>
      <w:r w:rsidRPr="490425B0">
        <w:rPr>
          <w:rFonts w:eastAsia="Arial" w:cs="Arial"/>
          <w:vertAlign w:val="subscript"/>
          <w:lang w:val="en-GB"/>
        </w:rPr>
        <w:t>2023</w:t>
      </w:r>
      <w:r w:rsidRPr="490425B0">
        <w:rPr>
          <w:rFonts w:eastAsia="Arial" w:cs="Arial"/>
          <w:lang w:val="en-GB"/>
        </w:rPr>
        <w:t xml:space="preserve"> &gt; 0.4</w:t>
      </w:r>
      <w:r w:rsidRPr="490425B0">
        <w:rPr>
          <w:rFonts w:eastAsia="Arial" w:cs="Arial"/>
          <w:i/>
          <w:iCs/>
          <w:lang w:val="en-GB"/>
        </w:rPr>
        <w:t>B</w:t>
      </w:r>
      <w:r w:rsidRPr="490425B0">
        <w:rPr>
          <w:rFonts w:eastAsia="Arial" w:cs="Arial"/>
          <w:vertAlign w:val="subscript"/>
          <w:lang w:val="en-GB"/>
        </w:rPr>
        <w:t>MSY</w:t>
      </w:r>
      <w:r w:rsidRPr="490425B0">
        <w:rPr>
          <w:rFonts w:eastAsia="Arial" w:cs="Arial"/>
          <w:lang w:val="en-GB"/>
        </w:rPr>
        <w:t xml:space="preserve"> and a probability of 1 that </w:t>
      </w:r>
      <w:r w:rsidRPr="490425B0">
        <w:rPr>
          <w:rFonts w:eastAsia="Arial" w:cs="Arial"/>
          <w:i/>
          <w:iCs/>
          <w:lang w:val="en-GB"/>
        </w:rPr>
        <w:t>B</w:t>
      </w:r>
      <w:r w:rsidRPr="490425B0">
        <w:rPr>
          <w:rFonts w:eastAsia="Arial" w:cs="Arial"/>
          <w:vertAlign w:val="subscript"/>
          <w:lang w:val="en-GB"/>
        </w:rPr>
        <w:t>2023</w:t>
      </w:r>
      <w:r w:rsidRPr="490425B0">
        <w:rPr>
          <w:rFonts w:eastAsia="Arial" w:cs="Arial"/>
          <w:lang w:val="en-GB"/>
        </w:rPr>
        <w:t xml:space="preserve"> &gt; 0.8</w:t>
      </w:r>
      <w:r w:rsidRPr="490425B0">
        <w:rPr>
          <w:rFonts w:eastAsia="Arial" w:cs="Arial"/>
          <w:i/>
          <w:iCs/>
          <w:lang w:val="en-GB"/>
        </w:rPr>
        <w:t>B</w:t>
      </w:r>
      <w:r w:rsidRPr="490425B0">
        <w:rPr>
          <w:rFonts w:eastAsia="Arial" w:cs="Arial"/>
          <w:vertAlign w:val="subscript"/>
          <w:lang w:val="en-GB"/>
        </w:rPr>
        <w:t>MSY</w:t>
      </w:r>
      <w:r w:rsidRPr="490425B0">
        <w:rPr>
          <w:rFonts w:eastAsia="Arial" w:cs="Arial"/>
          <w:lang w:val="en-GB"/>
        </w:rPr>
        <w:t xml:space="preserve"> (i.e., of being in the Healthy zone). The probability that the exploitation rate in 2022 was below that associated with MSY was 1 for the combined commercial fisheries</w:t>
      </w:r>
      <w:r w:rsidR="180BFF64" w:rsidRPr="490425B0">
        <w:rPr>
          <w:rFonts w:eastAsia="Arial" w:cs="Arial"/>
          <w:lang w:val="en-GB"/>
        </w:rPr>
        <w:t xml:space="preserve"> (Figure 9)</w:t>
      </w:r>
      <w:r w:rsidRPr="490425B0">
        <w:rPr>
          <w:rFonts w:eastAsia="Arial" w:cs="Arial"/>
          <w:lang w:val="en-GB"/>
        </w:rPr>
        <w:t xml:space="preserve">. </w:t>
      </w:r>
    </w:p>
    <w:p w14:paraId="1E4993F3" w14:textId="22FA7541" w:rsidR="44501DDE" w:rsidRDefault="44501DDE" w:rsidP="44501DDE">
      <w:pPr>
        <w:rPr>
          <w:rFonts w:eastAsia="Arial" w:cs="Arial"/>
          <w:lang w:val="en-GB"/>
        </w:rPr>
      </w:pPr>
    </w:p>
    <w:p w14:paraId="007D933F" w14:textId="356E5ACF" w:rsidR="65FECA0C" w:rsidRDefault="6386F1B8" w:rsidP="44501DDE">
      <w:pPr>
        <w:rPr>
          <w:rFonts w:eastAsia="Arial" w:cs="Arial"/>
          <w:lang w:val="en-GB"/>
        </w:rPr>
      </w:pPr>
      <w:r w:rsidRPr="490425B0">
        <w:rPr>
          <w:rFonts w:eastAsia="Arial" w:cs="Arial"/>
          <w:lang w:val="en-GB"/>
        </w:rPr>
        <w:t>The CAR stock was projected to remain above the limit reference point (LRP, 0.4</w:t>
      </w:r>
      <w:r w:rsidRPr="490425B0">
        <w:rPr>
          <w:rFonts w:eastAsia="Arial" w:cs="Arial"/>
          <w:i/>
          <w:iCs/>
          <w:lang w:val="en-GB"/>
        </w:rPr>
        <w:t>B</w:t>
      </w:r>
      <w:r w:rsidRPr="490425B0">
        <w:rPr>
          <w:rFonts w:eastAsia="Arial" w:cs="Arial"/>
          <w:vertAlign w:val="subscript"/>
          <w:lang w:val="en-GB"/>
        </w:rPr>
        <w:t>MSY</w:t>
      </w:r>
      <w:r w:rsidRPr="490425B0">
        <w:rPr>
          <w:rFonts w:eastAsia="Arial" w:cs="Arial"/>
          <w:lang w:val="en-GB"/>
        </w:rPr>
        <w:t>) and upper stock reference (USR, 0.8</w:t>
      </w:r>
      <w:r w:rsidRPr="490425B0">
        <w:rPr>
          <w:rFonts w:eastAsia="Arial" w:cs="Arial"/>
          <w:i/>
          <w:iCs/>
          <w:lang w:val="en-GB"/>
        </w:rPr>
        <w:t>B</w:t>
      </w:r>
      <w:r w:rsidRPr="490425B0">
        <w:rPr>
          <w:rFonts w:eastAsia="Arial" w:cs="Arial"/>
          <w:vertAlign w:val="subscript"/>
          <w:lang w:val="en-GB"/>
        </w:rPr>
        <w:t>MSY</w:t>
      </w:r>
      <w:r w:rsidRPr="490425B0">
        <w:rPr>
          <w:rFonts w:eastAsia="Arial" w:cs="Arial"/>
          <w:lang w:val="en-GB"/>
        </w:rPr>
        <w:t>) with a probability of &gt;0.99 over the next 10 years at catch levels ≤1500 t/y. Catches ≤1250 t/y were predicted to keep the harvest rate below the harvest rate limit (</w:t>
      </w:r>
      <w:proofErr w:type="spellStart"/>
      <w:r w:rsidRPr="490425B0">
        <w:rPr>
          <w:rFonts w:eastAsia="Arial" w:cs="Arial"/>
          <w:i/>
          <w:iCs/>
          <w:lang w:val="en-GB"/>
        </w:rPr>
        <w:t>u</w:t>
      </w:r>
      <w:r w:rsidRPr="490425B0">
        <w:rPr>
          <w:rFonts w:eastAsia="Arial" w:cs="Arial"/>
          <w:vertAlign w:val="subscript"/>
          <w:lang w:val="en-GB"/>
        </w:rPr>
        <w:t>MSY</w:t>
      </w:r>
      <w:proofErr w:type="spellEnd"/>
      <w:r w:rsidRPr="490425B0">
        <w:rPr>
          <w:rFonts w:eastAsia="Arial" w:cs="Arial"/>
          <w:lang w:val="en-GB"/>
        </w:rPr>
        <w:t>) in 10 years with probability &gt;95%</w:t>
      </w:r>
      <w:r w:rsidR="69F3F5ED" w:rsidRPr="490425B0">
        <w:rPr>
          <w:rFonts w:eastAsia="Arial" w:cs="Arial"/>
          <w:lang w:val="en-GB"/>
        </w:rPr>
        <w:t xml:space="preserve"> (Figure 9)</w:t>
      </w:r>
      <w:r w:rsidRPr="490425B0">
        <w:rPr>
          <w:rFonts w:eastAsia="Arial" w:cs="Arial"/>
          <w:lang w:val="en-GB"/>
        </w:rPr>
        <w:t>.</w:t>
      </w:r>
    </w:p>
    <w:p w14:paraId="760BC959" w14:textId="49673B16" w:rsidR="79448CCC" w:rsidRDefault="79448CCC" w:rsidP="44501DDE">
      <w:pPr>
        <w:jc w:val="center"/>
      </w:pPr>
      <w:r>
        <w:rPr>
          <w:noProof/>
          <w:lang w:val="en-US"/>
        </w:rPr>
        <w:drawing>
          <wp:inline distT="0" distB="0" distL="0" distR="0" wp14:anchorId="3E9C0D48" wp14:editId="6A2DA1EF">
            <wp:extent cx="2587232" cy="1940424"/>
            <wp:effectExtent l="0" t="0" r="0" b="0"/>
            <wp:docPr id="423331261" name="Picture 42333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587232" cy="1940424"/>
                    </a:xfrm>
                    <a:prstGeom prst="rect">
                      <a:avLst/>
                    </a:prstGeom>
                  </pic:spPr>
                </pic:pic>
              </a:graphicData>
            </a:graphic>
          </wp:inline>
        </w:drawing>
      </w:r>
      <w:r w:rsidR="2967437F">
        <w:rPr>
          <w:noProof/>
          <w:lang w:val="en-US"/>
        </w:rPr>
        <w:drawing>
          <wp:inline distT="0" distB="0" distL="0" distR="0" wp14:anchorId="67CEF766" wp14:editId="63AAB60D">
            <wp:extent cx="2939996" cy="1959997"/>
            <wp:effectExtent l="0" t="0" r="0" b="0"/>
            <wp:docPr id="1491222490" name="Picture 149122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939996" cy="1959997"/>
                    </a:xfrm>
                    <a:prstGeom prst="rect">
                      <a:avLst/>
                    </a:prstGeom>
                  </pic:spPr>
                </pic:pic>
              </a:graphicData>
            </a:graphic>
          </wp:inline>
        </w:drawing>
      </w:r>
    </w:p>
    <w:p w14:paraId="39A8E39D" w14:textId="31FFD986" w:rsidR="65FECA0C" w:rsidRDefault="4B81DE6E" w:rsidP="36F5592C">
      <w:pPr>
        <w:spacing w:before="120" w:after="120"/>
        <w:rPr>
          <w:rFonts w:eastAsia="Arial" w:cs="Arial"/>
          <w:i/>
          <w:iCs/>
          <w:sz w:val="18"/>
          <w:szCs w:val="18"/>
          <w:lang w:val="en-GB"/>
        </w:rPr>
      </w:pPr>
      <w:r w:rsidRPr="36F5592C">
        <w:rPr>
          <w:rFonts w:eastAsia="Arial" w:cs="Arial"/>
          <w:i/>
          <w:iCs/>
          <w:sz w:val="18"/>
          <w:szCs w:val="18"/>
          <w:lang w:val="en-GB"/>
        </w:rPr>
        <w:t xml:space="preserve">Figure </w:t>
      </w:r>
      <w:r w:rsidR="5DEB32FB" w:rsidRPr="36F5592C">
        <w:rPr>
          <w:rFonts w:eastAsia="Arial" w:cs="Arial"/>
          <w:i/>
          <w:iCs/>
          <w:sz w:val="18"/>
          <w:szCs w:val="18"/>
          <w:lang w:val="en-GB"/>
        </w:rPr>
        <w:t>9</w:t>
      </w:r>
      <w:r w:rsidRPr="36F5592C">
        <w:rPr>
          <w:rFonts w:eastAsia="Arial" w:cs="Arial"/>
          <w:i/>
          <w:iCs/>
          <w:sz w:val="18"/>
          <w:szCs w:val="18"/>
          <w:lang w:val="en-GB"/>
        </w:rPr>
        <w:t xml:space="preserve">. </w:t>
      </w:r>
      <w:r w:rsidRPr="36F5592C">
        <w:rPr>
          <w:rFonts w:eastAsia="Arial" w:cs="Arial"/>
          <w:b/>
          <w:bCs/>
          <w:i/>
          <w:iCs/>
          <w:sz w:val="18"/>
          <w:szCs w:val="18"/>
          <w:lang w:val="en-GB"/>
        </w:rPr>
        <w:t>Left</w:t>
      </w:r>
      <w:r w:rsidRPr="36F5592C">
        <w:rPr>
          <w:rFonts w:eastAsia="Arial" w:cs="Arial"/>
          <w:i/>
          <w:iCs/>
          <w:sz w:val="18"/>
          <w:szCs w:val="18"/>
          <w:lang w:val="en-GB"/>
        </w:rPr>
        <w:t xml:space="preserve">: estimates of spawning biomass </w:t>
      </w:r>
      <w:proofErr w:type="spellStart"/>
      <w:r w:rsidRPr="36F5592C">
        <w:rPr>
          <w:rFonts w:eastAsia="Arial" w:cs="Arial"/>
          <w:i/>
          <w:iCs/>
          <w:sz w:val="18"/>
          <w:szCs w:val="18"/>
          <w:lang w:val="en-GB"/>
        </w:rPr>
        <w:t>B</w:t>
      </w:r>
      <w:r w:rsidRPr="36F5592C">
        <w:rPr>
          <w:rFonts w:eastAsia="Arial" w:cs="Arial"/>
          <w:i/>
          <w:iCs/>
          <w:sz w:val="18"/>
          <w:szCs w:val="18"/>
          <w:vertAlign w:val="subscript"/>
          <w:lang w:val="en-GB"/>
        </w:rPr>
        <w:t>t</w:t>
      </w:r>
      <w:proofErr w:type="spellEnd"/>
      <w:r w:rsidRPr="36F5592C">
        <w:rPr>
          <w:rFonts w:eastAsia="Arial" w:cs="Arial"/>
          <w:i/>
          <w:iCs/>
          <w:sz w:val="18"/>
          <w:szCs w:val="18"/>
          <w:lang w:val="en-GB"/>
        </w:rPr>
        <w:t xml:space="preserve">  relative to B</w:t>
      </w:r>
      <w:r w:rsidRPr="36F5592C">
        <w:rPr>
          <w:rFonts w:eastAsia="Arial" w:cs="Arial"/>
          <w:i/>
          <w:iCs/>
          <w:sz w:val="18"/>
          <w:szCs w:val="18"/>
          <w:vertAlign w:val="subscript"/>
          <w:lang w:val="en-GB"/>
        </w:rPr>
        <w:t>MSY</w:t>
      </w:r>
      <w:r w:rsidRPr="36F5592C">
        <w:rPr>
          <w:rFonts w:eastAsia="Arial" w:cs="Arial"/>
          <w:i/>
          <w:iCs/>
          <w:sz w:val="18"/>
          <w:szCs w:val="18"/>
          <w:lang w:val="en-GB"/>
        </w:rPr>
        <w:t xml:space="preserve"> from the model posteriors (2,000 samples) of the CAR base run. The median biomass trajectory appears as a solid curve surrounded by a 90% credibility envelope (quantiles: 0.05, 0.95) in blue and delimited by dashed lines for years t=1935–2023; projected biomass using constant catch appears in green (no catch), orange (750 t/y), and red (1500 t/y) for years t=2024-2033 (10 years). Also shown is the 50% credibility interval (quantiles: 0.25–0.75) delimited by dotted lines. </w:t>
      </w:r>
      <w:r w:rsidRPr="36F5592C">
        <w:rPr>
          <w:rFonts w:eastAsia="Arial" w:cs="Arial"/>
          <w:b/>
          <w:bCs/>
          <w:i/>
          <w:iCs/>
          <w:sz w:val="18"/>
          <w:szCs w:val="18"/>
          <w:lang w:val="en-GB"/>
        </w:rPr>
        <w:t>Right</w:t>
      </w:r>
      <w:r w:rsidRPr="36F5592C">
        <w:rPr>
          <w:rFonts w:eastAsia="Arial" w:cs="Arial"/>
          <w:i/>
          <w:iCs/>
          <w:sz w:val="18"/>
          <w:szCs w:val="18"/>
          <w:lang w:val="en-GB"/>
        </w:rPr>
        <w:t>: Stock status of the CAR base run (top boxplot) and 14 sensitivity runs relative to the DFO Precautionary Approach (PA) provisional reference points of 0.4B</w:t>
      </w:r>
      <w:r w:rsidRPr="36F5592C">
        <w:rPr>
          <w:rFonts w:eastAsia="Arial" w:cs="Arial"/>
          <w:i/>
          <w:iCs/>
          <w:sz w:val="18"/>
          <w:szCs w:val="18"/>
          <w:vertAlign w:val="subscript"/>
          <w:lang w:val="en-GB"/>
        </w:rPr>
        <w:t>MSY</w:t>
      </w:r>
      <w:r w:rsidRPr="36F5592C">
        <w:rPr>
          <w:rFonts w:eastAsia="Arial" w:cs="Arial"/>
          <w:i/>
          <w:iCs/>
          <w:sz w:val="18"/>
          <w:szCs w:val="18"/>
          <w:lang w:val="en-GB"/>
        </w:rPr>
        <w:t xml:space="preserve"> and 0.8B</w:t>
      </w:r>
      <w:r w:rsidRPr="36F5592C">
        <w:rPr>
          <w:rFonts w:eastAsia="Arial" w:cs="Arial"/>
          <w:i/>
          <w:iCs/>
          <w:sz w:val="18"/>
          <w:szCs w:val="18"/>
          <w:vertAlign w:val="subscript"/>
          <w:lang w:val="en-GB"/>
        </w:rPr>
        <w:t>MSY</w:t>
      </w:r>
      <w:r w:rsidRPr="36F5592C">
        <w:rPr>
          <w:rFonts w:eastAsia="Arial" w:cs="Arial"/>
          <w:i/>
          <w:iCs/>
          <w:sz w:val="18"/>
          <w:szCs w:val="18"/>
          <w:lang w:val="en-GB"/>
        </w:rPr>
        <w:t xml:space="preserve"> for t=2023. Boxplots show the 0.05, 0.25, 0.5, 0.75 and 0.95 quantiles from the MCMC posterior.</w:t>
      </w:r>
    </w:p>
    <w:p w14:paraId="3D14FD9C" w14:textId="4AD34865" w:rsidR="44501DDE" w:rsidRDefault="44501DDE" w:rsidP="03455EBA">
      <w:pPr>
        <w:jc w:val="center"/>
        <w:rPr>
          <w:rFonts w:eastAsia="Arial" w:cs="Arial"/>
        </w:rPr>
      </w:pPr>
    </w:p>
    <w:p w14:paraId="58498A2F" w14:textId="616C9CFB" w:rsidR="65FECA0C" w:rsidRDefault="381A85CB" w:rsidP="03455EBA">
      <w:pPr>
        <w:pStyle w:val="Heading5"/>
        <w:rPr>
          <w:rFonts w:eastAsia="Arial" w:cs="Arial"/>
        </w:rPr>
      </w:pPr>
      <w:r w:rsidRPr="03455EBA">
        <w:rPr>
          <w:rFonts w:eastAsia="Arial" w:cs="Arial"/>
        </w:rPr>
        <w:t xml:space="preserve">Darkblotched Rockfish </w:t>
      </w:r>
    </w:p>
    <w:p w14:paraId="232965F3" w14:textId="5FB62D6E" w:rsidR="65FECA0C" w:rsidRDefault="65FECA0C" w:rsidP="44501DDE">
      <w:pPr>
        <w:rPr>
          <w:rFonts w:eastAsia="Arial" w:cs="Arial"/>
        </w:rPr>
      </w:pPr>
      <w:r w:rsidRPr="44501DDE">
        <w:rPr>
          <w:rFonts w:eastAsia="Arial" w:cs="Arial"/>
        </w:rPr>
        <w:t>In 2009, Darkblotched Rockfish along the Pacific coast of Canada was designated as ‘Special Concern’ by COSEWIC. The last review of this species occurred in 2008 (</w:t>
      </w:r>
      <w:hyperlink r:id="rId80" w:history="1">
        <w:r w:rsidRPr="44501DDE">
          <w:rPr>
            <w:rStyle w:val="Hyperlink"/>
            <w:rFonts w:eastAsia="Arial" w:cs="Arial"/>
          </w:rPr>
          <w:t>Research Document 2008/056</w:t>
        </w:r>
      </w:hyperlink>
      <w:r w:rsidRPr="44501DDE">
        <w:rPr>
          <w:rFonts w:eastAsia="Arial" w:cs="Arial"/>
        </w:rPr>
        <w:t xml:space="preserve">, </w:t>
      </w:r>
      <w:hyperlink r:id="rId81" w:history="1">
        <w:r w:rsidRPr="44501DDE">
          <w:rPr>
            <w:rStyle w:val="Hyperlink"/>
            <w:rFonts w:eastAsia="Arial" w:cs="Arial"/>
          </w:rPr>
          <w:t>Proceedings 2009/007</w:t>
        </w:r>
      </w:hyperlink>
      <w:r w:rsidRPr="44501DDE">
        <w:rPr>
          <w:rFonts w:eastAsia="Arial" w:cs="Arial"/>
        </w:rPr>
        <w:t>). Currently, there is no stock assessment planned.</w:t>
      </w:r>
    </w:p>
    <w:p w14:paraId="63345EA7" w14:textId="00694F6C" w:rsidR="44501DDE" w:rsidRDefault="44501DDE" w:rsidP="44501DDE">
      <w:pPr>
        <w:rPr>
          <w:rFonts w:eastAsia="Arial" w:cs="Arial"/>
        </w:rPr>
      </w:pPr>
    </w:p>
    <w:p w14:paraId="7CA78265" w14:textId="3525D7FE" w:rsidR="65FECA0C" w:rsidRDefault="65FECA0C" w:rsidP="44501DDE">
      <w:pPr>
        <w:pStyle w:val="Heading5"/>
        <w:rPr>
          <w:rFonts w:eastAsia="Arial" w:cs="Arial"/>
        </w:rPr>
      </w:pPr>
      <w:r w:rsidRPr="44501DDE">
        <w:rPr>
          <w:rFonts w:eastAsia="Arial" w:cs="Arial"/>
        </w:rPr>
        <w:lastRenderedPageBreak/>
        <w:t>Pacific Ocean Perch</w:t>
      </w:r>
    </w:p>
    <w:p w14:paraId="07F507CA" w14:textId="4EFEF3F3" w:rsidR="65FECA0C" w:rsidRDefault="65FECA0C" w:rsidP="44501DDE">
      <w:pPr>
        <w:rPr>
          <w:rFonts w:eastAsia="Arial" w:cs="Arial"/>
        </w:rPr>
      </w:pPr>
      <w:r w:rsidRPr="44501DDE">
        <w:rPr>
          <w:rFonts w:eastAsia="Arial" w:cs="Arial"/>
        </w:rPr>
        <w:t>The most recent stock assessment (2017) is publicly available on the CSAS website (</w:t>
      </w:r>
      <w:hyperlink r:id="rId82" w:history="1">
        <w:r w:rsidRPr="44501DDE">
          <w:rPr>
            <w:rStyle w:val="Hyperlink"/>
            <w:rFonts w:eastAsia="Arial" w:cs="Arial"/>
          </w:rPr>
          <w:t>Research Document 2018/031</w:t>
        </w:r>
      </w:hyperlink>
      <w:r w:rsidRPr="44501DDE">
        <w:rPr>
          <w:rFonts w:eastAsia="Arial" w:cs="Arial"/>
        </w:rPr>
        <w:t xml:space="preserve">, </w:t>
      </w:r>
      <w:hyperlink r:id="rId83" w:history="1">
        <w:r w:rsidRPr="44501DDE">
          <w:rPr>
            <w:rStyle w:val="Hyperlink"/>
            <w:rFonts w:eastAsia="Arial" w:cs="Arial"/>
          </w:rPr>
          <w:t>Science Advisory Report 2017/043</w:t>
        </w:r>
      </w:hyperlink>
      <w:r w:rsidRPr="44501DDE">
        <w:rPr>
          <w:rFonts w:eastAsia="Arial" w:cs="Arial"/>
        </w:rPr>
        <w:t xml:space="preserve">, </w:t>
      </w:r>
      <w:hyperlink r:id="rId84" w:history="1">
        <w:r w:rsidRPr="44501DDE">
          <w:rPr>
            <w:rStyle w:val="Hyperlink"/>
            <w:rFonts w:eastAsia="Arial" w:cs="Arial"/>
          </w:rPr>
          <w:t>Proceedings 2021/052</w:t>
        </w:r>
      </w:hyperlink>
      <w:r w:rsidRPr="44501DDE">
        <w:rPr>
          <w:rFonts w:eastAsia="Arial" w:cs="Arial"/>
        </w:rPr>
        <w:t>). An update is planned for 2023 that uses Stock Synthesis 3 to model the three regional stocks (5ABC, 3CD, and 5DE).</w:t>
      </w:r>
    </w:p>
    <w:p w14:paraId="1EE3CE64" w14:textId="297F85F5" w:rsidR="44501DDE" w:rsidRDefault="44501DDE" w:rsidP="44501DDE">
      <w:pPr>
        <w:rPr>
          <w:rFonts w:eastAsia="Arial" w:cs="Arial"/>
        </w:rPr>
      </w:pPr>
    </w:p>
    <w:p w14:paraId="49B39320" w14:textId="0C32E5F1" w:rsidR="65FECA0C" w:rsidRDefault="65FECA0C" w:rsidP="44501DDE">
      <w:pPr>
        <w:pStyle w:val="Heading5"/>
        <w:rPr>
          <w:rFonts w:eastAsia="Arial" w:cs="Arial"/>
        </w:rPr>
      </w:pPr>
      <w:r w:rsidRPr="44501DDE">
        <w:rPr>
          <w:rFonts w:eastAsia="Arial" w:cs="Arial"/>
        </w:rPr>
        <w:t>Redbanded Rockfish</w:t>
      </w:r>
    </w:p>
    <w:p w14:paraId="759DF0C0" w14:textId="115B64D0" w:rsidR="65FECA0C" w:rsidRDefault="65FECA0C" w:rsidP="44501DDE">
      <w:pPr>
        <w:rPr>
          <w:rFonts w:eastAsia="Arial" w:cs="Arial"/>
        </w:rPr>
      </w:pPr>
      <w:r w:rsidRPr="44501DDE">
        <w:rPr>
          <w:rFonts w:eastAsia="Arial" w:cs="Arial"/>
        </w:rPr>
        <w:t>The most recent stock assessment (2014) is publicly available on the CSAS website</w:t>
      </w:r>
      <w:r w:rsidR="63C23977" w:rsidRPr="44501DDE">
        <w:rPr>
          <w:rFonts w:eastAsia="Arial" w:cs="Arial"/>
        </w:rPr>
        <w:t>:</w:t>
      </w:r>
      <w:r>
        <w:br/>
      </w:r>
      <w:r w:rsidRPr="44501DDE">
        <w:rPr>
          <w:rFonts w:eastAsia="Arial" w:cs="Arial"/>
        </w:rPr>
        <w:t>(</w:t>
      </w:r>
      <w:hyperlink r:id="rId85" w:history="1">
        <w:r w:rsidRPr="44501DDE">
          <w:rPr>
            <w:rStyle w:val="Hyperlink"/>
            <w:rFonts w:eastAsia="Arial" w:cs="Arial"/>
          </w:rPr>
          <w:t>Research Document 2017/058</w:t>
        </w:r>
      </w:hyperlink>
      <w:r w:rsidRPr="44501DDE">
        <w:rPr>
          <w:rFonts w:eastAsia="Arial" w:cs="Arial"/>
        </w:rPr>
        <w:t xml:space="preserve">, </w:t>
      </w:r>
      <w:hyperlink r:id="rId86" w:history="1">
        <w:r w:rsidRPr="44501DDE">
          <w:rPr>
            <w:rStyle w:val="Hyperlink"/>
            <w:rFonts w:eastAsia="Arial" w:cs="Arial"/>
          </w:rPr>
          <w:t>Proceedings 2015/032</w:t>
        </w:r>
      </w:hyperlink>
      <w:r w:rsidRPr="44501DDE">
        <w:rPr>
          <w:rFonts w:eastAsia="Arial" w:cs="Arial"/>
        </w:rPr>
        <w:t>).</w:t>
      </w:r>
    </w:p>
    <w:p w14:paraId="1713B788" w14:textId="49D19B34" w:rsidR="44501DDE" w:rsidRDefault="44501DDE" w:rsidP="44501DDE">
      <w:pPr>
        <w:rPr>
          <w:rFonts w:eastAsia="Arial" w:cs="Arial"/>
        </w:rPr>
      </w:pPr>
    </w:p>
    <w:p w14:paraId="527EA441" w14:textId="27A3B863" w:rsidR="65FECA0C" w:rsidRDefault="65FECA0C" w:rsidP="44501DDE">
      <w:pPr>
        <w:pStyle w:val="Heading5"/>
        <w:rPr>
          <w:rFonts w:eastAsia="Arial" w:cs="Arial"/>
        </w:rPr>
      </w:pPr>
      <w:r w:rsidRPr="44501DDE">
        <w:rPr>
          <w:rFonts w:eastAsia="Arial" w:cs="Arial"/>
        </w:rPr>
        <w:t>Redstripe Rockfish</w:t>
      </w:r>
    </w:p>
    <w:p w14:paraId="1F7E45B2" w14:textId="133B4991" w:rsidR="65FECA0C" w:rsidRDefault="65FECA0C" w:rsidP="44501DDE">
      <w:pPr>
        <w:rPr>
          <w:rFonts w:eastAsia="Arial" w:cs="Arial"/>
        </w:rPr>
      </w:pPr>
      <w:r w:rsidRPr="44501DDE">
        <w:rPr>
          <w:rFonts w:eastAsia="Arial" w:cs="Arial"/>
        </w:rPr>
        <w:t>The most recent stock assessment (2018) is publicly available on the CSAS website</w:t>
      </w:r>
      <w:r w:rsidR="0DDA0B7C" w:rsidRPr="44501DDE">
        <w:rPr>
          <w:rFonts w:eastAsia="Arial" w:cs="Arial"/>
        </w:rPr>
        <w:t>:</w:t>
      </w:r>
      <w:r>
        <w:br/>
      </w:r>
      <w:r w:rsidRPr="44501DDE">
        <w:rPr>
          <w:rFonts w:eastAsia="Arial" w:cs="Arial"/>
        </w:rPr>
        <w:t>(</w:t>
      </w:r>
      <w:hyperlink r:id="rId87" w:history="1">
        <w:r w:rsidRPr="44501DDE">
          <w:rPr>
            <w:rStyle w:val="Hyperlink"/>
            <w:rFonts w:eastAsia="Arial" w:cs="Arial"/>
          </w:rPr>
          <w:t>Research Document 2021/014</w:t>
        </w:r>
      </w:hyperlink>
      <w:r w:rsidRPr="44501DDE">
        <w:rPr>
          <w:rFonts w:eastAsia="Arial" w:cs="Arial"/>
        </w:rPr>
        <w:t xml:space="preserve">, </w:t>
      </w:r>
      <w:hyperlink r:id="rId88" w:history="1">
        <w:r w:rsidRPr="44501DDE">
          <w:rPr>
            <w:rStyle w:val="Hyperlink"/>
            <w:rFonts w:eastAsia="Arial" w:cs="Arial"/>
          </w:rPr>
          <w:t>Science Advisory Report 2018/049</w:t>
        </w:r>
      </w:hyperlink>
      <w:r w:rsidRPr="44501DDE">
        <w:rPr>
          <w:rFonts w:eastAsia="Arial" w:cs="Arial"/>
        </w:rPr>
        <w:t xml:space="preserve">, </w:t>
      </w:r>
      <w:hyperlink r:id="rId89" w:history="1">
        <w:r w:rsidRPr="44501DDE">
          <w:rPr>
            <w:rStyle w:val="Hyperlink"/>
            <w:rFonts w:eastAsia="Arial" w:cs="Arial"/>
          </w:rPr>
          <w:t>Proceedings 2022/014</w:t>
        </w:r>
      </w:hyperlink>
      <w:r w:rsidRPr="44501DDE">
        <w:rPr>
          <w:rFonts w:eastAsia="Arial" w:cs="Arial"/>
        </w:rPr>
        <w:t>).</w:t>
      </w:r>
    </w:p>
    <w:p w14:paraId="7432DDD1" w14:textId="6A9C4427" w:rsidR="44501DDE" w:rsidRDefault="44501DDE" w:rsidP="44501DDE">
      <w:pPr>
        <w:rPr>
          <w:rFonts w:eastAsia="Arial" w:cs="Arial"/>
        </w:rPr>
      </w:pPr>
    </w:p>
    <w:p w14:paraId="6FAF6953" w14:textId="07542975" w:rsidR="65FECA0C" w:rsidRDefault="65FECA0C" w:rsidP="44501DDE">
      <w:pPr>
        <w:pStyle w:val="Heading5"/>
        <w:rPr>
          <w:rFonts w:eastAsia="Arial" w:cs="Arial"/>
        </w:rPr>
      </w:pPr>
      <w:r w:rsidRPr="44501DDE">
        <w:rPr>
          <w:rFonts w:eastAsia="Arial" w:cs="Arial"/>
        </w:rPr>
        <w:t>Rougheye/Blackspotted Rockfish</w:t>
      </w:r>
    </w:p>
    <w:p w14:paraId="3BBAED03" w14:textId="785698C6" w:rsidR="65FECA0C" w:rsidRDefault="65FECA0C" w:rsidP="44501DDE">
      <w:pPr>
        <w:rPr>
          <w:rFonts w:eastAsia="Arial" w:cs="Arial"/>
        </w:rPr>
      </w:pPr>
      <w:r w:rsidRPr="44501DDE">
        <w:rPr>
          <w:rFonts w:eastAsia="Arial" w:cs="Arial"/>
        </w:rPr>
        <w:t>The most recent stock assessment (2020) is publicly available on the CSAS website:</w:t>
      </w:r>
      <w:r>
        <w:br/>
      </w:r>
      <w:r w:rsidRPr="44501DDE">
        <w:rPr>
          <w:rFonts w:eastAsia="Arial" w:cs="Arial"/>
        </w:rPr>
        <w:t xml:space="preserve"> (</w:t>
      </w:r>
      <w:hyperlink r:id="rId90" w:history="1">
        <w:r w:rsidRPr="44501DDE">
          <w:rPr>
            <w:rStyle w:val="Hyperlink"/>
            <w:rFonts w:eastAsia="Arial" w:cs="Arial"/>
          </w:rPr>
          <w:t>Research Document 2022/020</w:t>
        </w:r>
      </w:hyperlink>
      <w:r w:rsidRPr="44501DDE">
        <w:rPr>
          <w:rFonts w:eastAsia="Arial" w:cs="Arial"/>
        </w:rPr>
        <w:t xml:space="preserve">, </w:t>
      </w:r>
      <w:hyperlink r:id="rId91" w:history="1">
        <w:r w:rsidRPr="44501DDE">
          <w:rPr>
            <w:rStyle w:val="Hyperlink"/>
            <w:rFonts w:eastAsia="Arial" w:cs="Arial"/>
          </w:rPr>
          <w:t>Science Advisory Report 2020/047</w:t>
        </w:r>
      </w:hyperlink>
      <w:r w:rsidRPr="44501DDE">
        <w:rPr>
          <w:rFonts w:eastAsia="Arial" w:cs="Arial"/>
        </w:rPr>
        <w:t xml:space="preserve">, </w:t>
      </w:r>
      <w:hyperlink r:id="rId92" w:history="1">
        <w:r w:rsidRPr="44501DDE">
          <w:rPr>
            <w:rStyle w:val="Hyperlink"/>
            <w:rFonts w:eastAsia="Arial" w:cs="Arial"/>
          </w:rPr>
          <w:t>Proceedings 2022/004</w:t>
        </w:r>
      </w:hyperlink>
      <w:r w:rsidRPr="44501DDE">
        <w:rPr>
          <w:rFonts w:eastAsia="Arial" w:cs="Arial"/>
        </w:rPr>
        <w:t>).</w:t>
      </w:r>
    </w:p>
    <w:p w14:paraId="7AEBF8DA" w14:textId="331FD4C7" w:rsidR="44501DDE" w:rsidRDefault="44501DDE" w:rsidP="44501DDE">
      <w:pPr>
        <w:rPr>
          <w:rFonts w:eastAsia="Arial" w:cs="Arial"/>
        </w:rPr>
      </w:pPr>
    </w:p>
    <w:p w14:paraId="16F6F5D5" w14:textId="764E3517" w:rsidR="65FECA0C" w:rsidRDefault="65FECA0C" w:rsidP="44501DDE">
      <w:pPr>
        <w:pStyle w:val="Heading5"/>
        <w:rPr>
          <w:rFonts w:eastAsia="Arial" w:cs="Arial"/>
        </w:rPr>
      </w:pPr>
      <w:r w:rsidRPr="44501DDE">
        <w:rPr>
          <w:rFonts w:eastAsia="Arial" w:cs="Arial"/>
        </w:rPr>
        <w:t>Shortraker Rockfish</w:t>
      </w:r>
    </w:p>
    <w:p w14:paraId="57221BAC" w14:textId="19C724CA" w:rsidR="65FECA0C" w:rsidRDefault="65FECA0C" w:rsidP="44501DDE">
      <w:pPr>
        <w:rPr>
          <w:rFonts w:eastAsia="Arial" w:cs="Arial"/>
        </w:rPr>
      </w:pPr>
      <w:r w:rsidRPr="44501DDE">
        <w:rPr>
          <w:rFonts w:eastAsia="Arial" w:cs="Arial"/>
        </w:rPr>
        <w:t>The most recent stock assessment (1998) is publicly available on the CSAS website:</w:t>
      </w:r>
      <w:r>
        <w:br/>
      </w:r>
      <w:r w:rsidRPr="44501DDE">
        <w:rPr>
          <w:rFonts w:eastAsia="Arial" w:cs="Arial"/>
        </w:rPr>
        <w:t xml:space="preserve"> (</w:t>
      </w:r>
      <w:hyperlink r:id="rId93" w:history="1">
        <w:r w:rsidRPr="44501DDE">
          <w:rPr>
            <w:rStyle w:val="Hyperlink"/>
            <w:rFonts w:eastAsia="Arial" w:cs="Arial"/>
          </w:rPr>
          <w:t>Research Document 1999/184</w:t>
        </w:r>
      </w:hyperlink>
      <w:r w:rsidRPr="44501DDE">
        <w:rPr>
          <w:rFonts w:eastAsia="Arial" w:cs="Arial"/>
        </w:rPr>
        <w:t>).</w:t>
      </w:r>
    </w:p>
    <w:p w14:paraId="3AA4C196" w14:textId="15EF7D49" w:rsidR="44501DDE" w:rsidRDefault="44501DDE" w:rsidP="44501DDE">
      <w:pPr>
        <w:rPr>
          <w:rFonts w:eastAsia="Arial" w:cs="Arial"/>
        </w:rPr>
      </w:pPr>
    </w:p>
    <w:p w14:paraId="6846EDF3" w14:textId="6C7A7ED0" w:rsidR="65FECA0C" w:rsidRDefault="65FECA0C" w:rsidP="44501DDE">
      <w:pPr>
        <w:pStyle w:val="Heading5"/>
        <w:rPr>
          <w:rFonts w:eastAsia="Arial" w:cs="Arial"/>
        </w:rPr>
      </w:pPr>
      <w:r w:rsidRPr="44501DDE">
        <w:rPr>
          <w:rFonts w:eastAsia="Arial" w:cs="Arial"/>
        </w:rPr>
        <w:t>Silvergray Rockfish</w:t>
      </w:r>
    </w:p>
    <w:p w14:paraId="5DDC4016" w14:textId="1A775327" w:rsidR="65FECA0C" w:rsidRDefault="65FECA0C" w:rsidP="44501DDE">
      <w:pPr>
        <w:rPr>
          <w:rFonts w:eastAsia="Arial" w:cs="Arial"/>
        </w:rPr>
      </w:pPr>
      <w:r w:rsidRPr="44501DDE">
        <w:rPr>
          <w:rFonts w:eastAsia="Arial" w:cs="Arial"/>
        </w:rPr>
        <w:t>The most recent stock assessment (2013) is publicly available on the CSAS website:</w:t>
      </w:r>
      <w:r>
        <w:br/>
      </w:r>
      <w:r w:rsidRPr="44501DDE">
        <w:rPr>
          <w:rFonts w:eastAsia="Arial" w:cs="Arial"/>
        </w:rPr>
        <w:t xml:space="preserve"> (</w:t>
      </w:r>
      <w:hyperlink r:id="rId94" w:history="1">
        <w:r w:rsidRPr="44501DDE">
          <w:rPr>
            <w:rStyle w:val="Hyperlink"/>
            <w:rFonts w:eastAsia="Arial" w:cs="Arial"/>
          </w:rPr>
          <w:t>Research Document 2016/042</w:t>
        </w:r>
      </w:hyperlink>
      <w:r w:rsidRPr="44501DDE">
        <w:rPr>
          <w:rFonts w:eastAsia="Arial" w:cs="Arial"/>
        </w:rPr>
        <w:t xml:space="preserve">, </w:t>
      </w:r>
      <w:hyperlink r:id="rId95" w:history="1">
        <w:r w:rsidRPr="44501DDE">
          <w:rPr>
            <w:rStyle w:val="Hyperlink"/>
            <w:rFonts w:eastAsia="Arial" w:cs="Arial"/>
          </w:rPr>
          <w:t>Science Advisory Report 2014/028</w:t>
        </w:r>
      </w:hyperlink>
      <w:r w:rsidRPr="44501DDE">
        <w:rPr>
          <w:rFonts w:eastAsia="Arial" w:cs="Arial"/>
        </w:rPr>
        <w:t>).</w:t>
      </w:r>
    </w:p>
    <w:p w14:paraId="51503EDB" w14:textId="568FC1A1" w:rsidR="44501DDE" w:rsidRDefault="44501DDE" w:rsidP="44501DDE">
      <w:pPr>
        <w:rPr>
          <w:rFonts w:eastAsia="Arial" w:cs="Arial"/>
        </w:rPr>
      </w:pPr>
    </w:p>
    <w:p w14:paraId="0B0D4778" w14:textId="5784F193" w:rsidR="65FECA0C" w:rsidRDefault="65FECA0C" w:rsidP="44501DDE">
      <w:pPr>
        <w:pStyle w:val="Heading5"/>
        <w:rPr>
          <w:rFonts w:eastAsia="Arial" w:cs="Arial"/>
        </w:rPr>
      </w:pPr>
      <w:r w:rsidRPr="44501DDE">
        <w:rPr>
          <w:rFonts w:eastAsia="Arial" w:cs="Arial"/>
        </w:rPr>
        <w:t>Widow Rockfish</w:t>
      </w:r>
    </w:p>
    <w:p w14:paraId="6994C451" w14:textId="75CEFA37" w:rsidR="65FECA0C" w:rsidRDefault="65FECA0C" w:rsidP="44501DDE">
      <w:pPr>
        <w:rPr>
          <w:rFonts w:eastAsia="Arial" w:cs="Arial"/>
        </w:rPr>
      </w:pPr>
      <w:r w:rsidRPr="44501DDE">
        <w:rPr>
          <w:rFonts w:eastAsia="Arial" w:cs="Arial"/>
        </w:rPr>
        <w:t>The most recent stock assessment (2019) is publicly available on the CSAS website:</w:t>
      </w:r>
      <w:r>
        <w:br/>
      </w:r>
      <w:r w:rsidRPr="44501DDE">
        <w:rPr>
          <w:rFonts w:eastAsia="Arial" w:cs="Arial"/>
        </w:rPr>
        <w:t xml:space="preserve"> (</w:t>
      </w:r>
      <w:hyperlink r:id="rId96" w:history="1">
        <w:r w:rsidRPr="44501DDE">
          <w:rPr>
            <w:rStyle w:val="Hyperlink"/>
            <w:rFonts w:eastAsia="Arial" w:cs="Arial"/>
          </w:rPr>
          <w:t>Research Document 2021/039</w:t>
        </w:r>
      </w:hyperlink>
      <w:r w:rsidRPr="44501DDE">
        <w:rPr>
          <w:rFonts w:eastAsia="Arial" w:cs="Arial"/>
        </w:rPr>
        <w:t xml:space="preserve">, </w:t>
      </w:r>
      <w:hyperlink r:id="rId97" w:history="1">
        <w:r w:rsidRPr="44501DDE">
          <w:rPr>
            <w:rStyle w:val="Hyperlink"/>
            <w:rFonts w:eastAsia="Arial" w:cs="Arial"/>
          </w:rPr>
          <w:t>Science Advisory Report 2019/044</w:t>
        </w:r>
      </w:hyperlink>
      <w:r w:rsidRPr="44501DDE">
        <w:rPr>
          <w:rFonts w:eastAsia="Arial" w:cs="Arial"/>
        </w:rPr>
        <w:t xml:space="preserve">, </w:t>
      </w:r>
      <w:hyperlink r:id="rId98" w:history="1">
        <w:r w:rsidRPr="44501DDE">
          <w:rPr>
            <w:rStyle w:val="Hyperlink"/>
            <w:rFonts w:eastAsia="Arial" w:cs="Arial"/>
          </w:rPr>
          <w:t>Proceedings 2021/049</w:t>
        </w:r>
      </w:hyperlink>
      <w:r w:rsidRPr="44501DDE">
        <w:rPr>
          <w:rFonts w:eastAsia="Arial" w:cs="Arial"/>
        </w:rPr>
        <w:t>).</w:t>
      </w:r>
    </w:p>
    <w:p w14:paraId="3969DDA6" w14:textId="65A04C3B" w:rsidR="44501DDE" w:rsidRDefault="44501DDE" w:rsidP="44501DDE">
      <w:pPr>
        <w:rPr>
          <w:rFonts w:eastAsia="Arial" w:cs="Arial"/>
        </w:rPr>
      </w:pPr>
    </w:p>
    <w:p w14:paraId="00646A7D" w14:textId="305D47DF" w:rsidR="65FECA0C" w:rsidRDefault="65FECA0C" w:rsidP="44501DDE">
      <w:pPr>
        <w:pStyle w:val="Heading5"/>
        <w:rPr>
          <w:rFonts w:eastAsia="Arial" w:cs="Arial"/>
        </w:rPr>
      </w:pPr>
      <w:r w:rsidRPr="44501DDE">
        <w:rPr>
          <w:rFonts w:eastAsia="Arial" w:cs="Arial"/>
        </w:rPr>
        <w:t>Yellowmouth Rockfish</w:t>
      </w:r>
    </w:p>
    <w:p w14:paraId="7FEE3D4D" w14:textId="5D266249" w:rsidR="65FECA0C" w:rsidRDefault="65FECA0C" w:rsidP="44501DDE">
      <w:pPr>
        <w:rPr>
          <w:rFonts w:eastAsia="Arial" w:cs="Arial"/>
        </w:rPr>
      </w:pPr>
      <w:r w:rsidRPr="44501DDE">
        <w:rPr>
          <w:rFonts w:eastAsia="Arial" w:cs="Arial"/>
        </w:rPr>
        <w:t>The most recent stock assessment (2021) is publicly available on the CSAS website:</w:t>
      </w:r>
      <w:r>
        <w:br/>
      </w:r>
      <w:r w:rsidRPr="44501DDE">
        <w:rPr>
          <w:rFonts w:eastAsia="Arial" w:cs="Arial"/>
        </w:rPr>
        <w:t xml:space="preserve"> (</w:t>
      </w:r>
      <w:hyperlink r:id="rId99" w:history="1">
        <w:r w:rsidRPr="44501DDE">
          <w:rPr>
            <w:rStyle w:val="Hyperlink"/>
            <w:rFonts w:eastAsia="Arial" w:cs="Arial"/>
          </w:rPr>
          <w:t>Research Document 2022/010</w:t>
        </w:r>
      </w:hyperlink>
      <w:r w:rsidRPr="44501DDE">
        <w:rPr>
          <w:rFonts w:eastAsia="Arial" w:cs="Arial"/>
        </w:rPr>
        <w:t xml:space="preserve">, </w:t>
      </w:r>
      <w:hyperlink r:id="rId100" w:history="1">
        <w:r w:rsidRPr="44501DDE">
          <w:rPr>
            <w:rStyle w:val="Hyperlink"/>
            <w:rFonts w:eastAsia="Arial" w:cs="Arial"/>
          </w:rPr>
          <w:t>Science Advisory Report 2022/001</w:t>
        </w:r>
      </w:hyperlink>
      <w:r w:rsidRPr="44501DDE">
        <w:rPr>
          <w:rFonts w:eastAsia="Arial" w:cs="Arial"/>
        </w:rPr>
        <w:t xml:space="preserve">, </w:t>
      </w:r>
      <w:hyperlink r:id="rId101" w:history="1">
        <w:r w:rsidRPr="44501DDE">
          <w:rPr>
            <w:rStyle w:val="Hyperlink"/>
            <w:rFonts w:eastAsia="Arial" w:cs="Arial"/>
          </w:rPr>
          <w:t>Proceedings 2022/003</w:t>
        </w:r>
      </w:hyperlink>
      <w:r w:rsidRPr="44501DDE">
        <w:rPr>
          <w:rFonts w:eastAsia="Arial" w:cs="Arial"/>
        </w:rPr>
        <w:t>).</w:t>
      </w:r>
    </w:p>
    <w:p w14:paraId="4FB63060" w14:textId="12723BFD" w:rsidR="44501DDE" w:rsidRDefault="44501DDE" w:rsidP="44501DDE">
      <w:pPr>
        <w:rPr>
          <w:rFonts w:eastAsia="Arial" w:cs="Arial"/>
        </w:rPr>
      </w:pPr>
    </w:p>
    <w:p w14:paraId="019C33C7" w14:textId="620B37D6" w:rsidR="65FECA0C" w:rsidRDefault="65FECA0C" w:rsidP="44501DDE">
      <w:pPr>
        <w:pStyle w:val="Heading5"/>
        <w:rPr>
          <w:rFonts w:eastAsia="Arial" w:cs="Arial"/>
        </w:rPr>
      </w:pPr>
      <w:r w:rsidRPr="44501DDE">
        <w:rPr>
          <w:rFonts w:eastAsia="Arial" w:cs="Arial"/>
        </w:rPr>
        <w:t>Yellowtail Rockfish</w:t>
      </w:r>
    </w:p>
    <w:p w14:paraId="5BB22B62" w14:textId="3080B09E" w:rsidR="65FECA0C" w:rsidRDefault="65FECA0C" w:rsidP="44501DDE">
      <w:pPr>
        <w:rPr>
          <w:rFonts w:eastAsia="Arial" w:cs="Arial"/>
        </w:rPr>
      </w:pPr>
      <w:r w:rsidRPr="44501DDE">
        <w:rPr>
          <w:rFonts w:eastAsia="Arial" w:cs="Arial"/>
        </w:rPr>
        <w:t>The most recent stock assessment (2014) is publicly available on the CSAS website:</w:t>
      </w:r>
      <w:r>
        <w:br/>
      </w:r>
      <w:r w:rsidRPr="44501DDE">
        <w:rPr>
          <w:rFonts w:eastAsia="Arial" w:cs="Arial"/>
        </w:rPr>
        <w:t xml:space="preserve"> (</w:t>
      </w:r>
      <w:hyperlink r:id="rId102" w:history="1">
        <w:r w:rsidRPr="44501DDE">
          <w:rPr>
            <w:rStyle w:val="Hyperlink"/>
            <w:rFonts w:eastAsia="Arial" w:cs="Arial"/>
          </w:rPr>
          <w:t>Science Advisory Report 2015/010</w:t>
        </w:r>
      </w:hyperlink>
      <w:r w:rsidRPr="44501DDE">
        <w:rPr>
          <w:rFonts w:eastAsia="Arial" w:cs="Arial"/>
        </w:rPr>
        <w:t xml:space="preserve">, </w:t>
      </w:r>
      <w:hyperlink r:id="rId103" w:history="1">
        <w:r w:rsidRPr="44501DDE">
          <w:rPr>
            <w:rStyle w:val="Hyperlink"/>
            <w:rFonts w:eastAsia="Arial" w:cs="Arial"/>
          </w:rPr>
          <w:t>Proceedings 2015/020</w:t>
        </w:r>
      </w:hyperlink>
      <w:r w:rsidRPr="44501DDE">
        <w:rPr>
          <w:rFonts w:eastAsia="Arial" w:cs="Arial"/>
        </w:rPr>
        <w:t>).</w:t>
      </w:r>
    </w:p>
    <w:p w14:paraId="270A31DE" w14:textId="644BC7DE" w:rsidR="03455EBA" w:rsidRDefault="03455EBA" w:rsidP="03455EBA">
      <w:pPr>
        <w:rPr>
          <w:rFonts w:eastAsia="Arial" w:cs="Arial"/>
        </w:rPr>
      </w:pPr>
    </w:p>
    <w:p w14:paraId="7BBA6759" w14:textId="77777777" w:rsidR="7AE32838" w:rsidRDefault="7AE32838" w:rsidP="03455EBA">
      <w:pPr>
        <w:pStyle w:val="Heading3"/>
      </w:pPr>
      <w:r>
        <w:lastRenderedPageBreak/>
        <w:t>Management</w:t>
      </w:r>
    </w:p>
    <w:p w14:paraId="0564217E" w14:textId="77777777" w:rsidR="00AD25E4" w:rsidRDefault="00AD25E4" w:rsidP="00D560CF">
      <w:pPr>
        <w:pStyle w:val="Heading4"/>
        <w:numPr>
          <w:ilvl w:val="0"/>
          <w:numId w:val="26"/>
        </w:numPr>
      </w:pPr>
      <w:r>
        <w:t>Inshore Rockfish</w:t>
      </w:r>
    </w:p>
    <w:p w14:paraId="6916B6D0" w14:textId="2269CA7F" w:rsidR="00AD25E4" w:rsidRDefault="12425BBB" w:rsidP="009306F6">
      <w:pPr>
        <w:pStyle w:val="Body"/>
      </w:pPr>
      <w:r>
        <w:t>Inside and Outside Yelloweye Rockfish still fall under a rebuilding plan that is documented in Appendix 9 of the 20</w:t>
      </w:r>
      <w:r w:rsidR="6A368D0A">
        <w:t>22</w:t>
      </w:r>
      <w:r>
        <w:t xml:space="preserve"> </w:t>
      </w:r>
      <w:hyperlink r:id="rId104">
        <w:r w:rsidRPr="36F5592C">
          <w:rPr>
            <w:rStyle w:val="Hyperlink"/>
          </w:rPr>
          <w:t>IFMP</w:t>
        </w:r>
      </w:hyperlink>
      <w:r>
        <w:t>. Most inshore rockfish are managed with Total Allowable Catches</w:t>
      </w:r>
      <w:r w:rsidR="7542E48B">
        <w:t xml:space="preserve"> (TACs)</w:t>
      </w:r>
      <w:r>
        <w:t xml:space="preserve"> under the Individual Transferable Quota system. </w:t>
      </w:r>
    </w:p>
    <w:p w14:paraId="22C412FA" w14:textId="0261B491" w:rsidR="009306F6" w:rsidRPr="00A4733B" w:rsidRDefault="009306F6" w:rsidP="009306F6">
      <w:pPr>
        <w:pStyle w:val="Body"/>
      </w:pPr>
      <w:r>
        <w:t>Commercial TACs and landings for 20</w:t>
      </w:r>
      <w:r w:rsidR="00C562BE">
        <w:t>2</w:t>
      </w:r>
      <w:r w:rsidR="000550E6">
        <w:t>2</w:t>
      </w:r>
      <w:r>
        <w:t xml:space="preserve"> are provided in </w:t>
      </w:r>
      <w:r w:rsidR="001D067D">
        <w:t>Appendix 1</w:t>
      </w:r>
      <w:r>
        <w:t>. To support groundfish research and account for unavoidable mortality incurred during the 20</w:t>
      </w:r>
      <w:r w:rsidR="000550E6">
        <w:t>22</w:t>
      </w:r>
      <w:r>
        <w:t xml:space="preserve"> Groundfish surveys, research catches are allocated before defining the TAC. See </w:t>
      </w:r>
      <w:r w:rsidR="001D067D">
        <w:t>Appendix 1</w:t>
      </w:r>
      <w:r>
        <w:t xml:space="preserve"> for details.</w:t>
      </w:r>
    </w:p>
    <w:p w14:paraId="08FFCF4C" w14:textId="0EB5C1B2" w:rsidR="005C710E" w:rsidRPr="00A4733B" w:rsidRDefault="0A26C3A0" w:rsidP="005C710E">
      <w:pPr>
        <w:pStyle w:val="Body"/>
      </w:pPr>
      <w:r>
        <w:t>Recreationally, the retention of Yelloweye Rockfish in inside and outside waters is prohibited. In outside waters, recreational fishers are limited to 3 rockfishes daily, only 1 of which may be a China, Tiger</w:t>
      </w:r>
      <w:r w:rsidR="62F0F4EA">
        <w:t>,</w:t>
      </w:r>
      <w:r>
        <w:t xml:space="preserve"> or Quillback Rockfish; possession limits are twice the daily limits, and the season runs from April 1 – November 15. In inside waters (4B), recreational fishers can take 1 rockfish daily</w:t>
      </w:r>
      <w:r w:rsidR="6A368D0A">
        <w:t xml:space="preserve"> (not Yelloweye Rockfish or Bocaccio)</w:t>
      </w:r>
      <w:r>
        <w:t>, possession limits are twice the daily limit and the season runs from May 1 – October 1. A condition of the recreational license is that: “Anglers in vessels shall immediately return all rockfish that are not being retained to the water and to a similar depth from which they were caught by use of an inverted weighted barbless hook or other purpose-built descender device.”</w:t>
      </w:r>
    </w:p>
    <w:p w14:paraId="490959DC" w14:textId="77777777" w:rsidR="005560B6" w:rsidRPr="00A4733B" w:rsidRDefault="6ADCA095" w:rsidP="005560B6">
      <w:pPr>
        <w:pStyle w:val="Heading4"/>
      </w:pPr>
      <w:r>
        <w:t>Offshore Rockfish</w:t>
      </w:r>
    </w:p>
    <w:p w14:paraId="7B1AB1A6" w14:textId="663EC4E0" w:rsidR="009306F6" w:rsidRPr="009306F6" w:rsidRDefault="2D46554D" w:rsidP="009306F6">
      <w:pPr>
        <w:pStyle w:val="Body"/>
      </w:pPr>
      <w:r>
        <w:t>Commercial TACs and landings for 20</w:t>
      </w:r>
      <w:r w:rsidR="15A33360">
        <w:t>2</w:t>
      </w:r>
      <w:r w:rsidR="1079CABE">
        <w:t>2</w:t>
      </w:r>
      <w:r>
        <w:t xml:space="preserve"> are provided in </w:t>
      </w:r>
      <w:r w:rsidR="7DDE5EF8">
        <w:t>Appendix 1</w:t>
      </w:r>
      <w:r>
        <w:t>. To support groundfish research and account for unavoidable mortality incurred during the 20</w:t>
      </w:r>
      <w:r w:rsidR="15A33360">
        <w:t>2</w:t>
      </w:r>
      <w:r w:rsidR="30CBA502">
        <w:t>2</w:t>
      </w:r>
      <w:r>
        <w:t xml:space="preserve"> Groundfish surveys, research catches are allocated before defining the TAC. See </w:t>
      </w:r>
      <w:r w:rsidR="7DDE5EF8">
        <w:t>Appendix 1</w:t>
      </w:r>
      <w:r>
        <w:t xml:space="preserve"> for details.</w:t>
      </w:r>
    </w:p>
    <w:p w14:paraId="6330E0B3" w14:textId="77777777" w:rsidR="002C0DF4" w:rsidRDefault="002C0DF4" w:rsidP="007E5B97">
      <w:pPr>
        <w:pStyle w:val="Heading2"/>
      </w:pPr>
      <w:bookmarkStart w:id="21" w:name="_Toc131161716"/>
      <w:proofErr w:type="spellStart"/>
      <w:r>
        <w:t>Thornyheads</w:t>
      </w:r>
      <w:bookmarkEnd w:id="21"/>
      <w:proofErr w:type="spellEnd"/>
    </w:p>
    <w:p w14:paraId="426BE9AE" w14:textId="77777777" w:rsidR="007E5B97" w:rsidRDefault="007E5B97" w:rsidP="00D560CF">
      <w:pPr>
        <w:pStyle w:val="Heading3"/>
        <w:numPr>
          <w:ilvl w:val="0"/>
          <w:numId w:val="18"/>
        </w:numPr>
      </w:pPr>
      <w:r>
        <w:t>Research</w:t>
      </w:r>
    </w:p>
    <w:p w14:paraId="299F6D9D" w14:textId="7A04F709" w:rsidR="00A4733B" w:rsidRPr="00063AB2" w:rsidRDefault="00A4733B" w:rsidP="00A4733B">
      <w:pPr>
        <w:pStyle w:val="Body"/>
      </w:pPr>
      <w:r>
        <w:t>Data collection continued in 202</w:t>
      </w:r>
      <w:r w:rsidR="3D3247CE">
        <w:t>2</w:t>
      </w:r>
      <w:r>
        <w:t xml:space="preserve"> through trawl and longline surveys. </w:t>
      </w:r>
      <w:r w:rsidR="00D043FA">
        <w:t xml:space="preserve">With the suspension of the At Sea Observer program due to COVID-19, </w:t>
      </w:r>
      <w:r>
        <w:t xml:space="preserve">there was no commercial sampling. </w:t>
      </w:r>
    </w:p>
    <w:p w14:paraId="20D09DF2" w14:textId="4AFBD1F2" w:rsidR="25C331B9" w:rsidRDefault="25C331B9" w:rsidP="44501DDE">
      <w:pPr>
        <w:pStyle w:val="Body"/>
      </w:pPr>
      <w:r w:rsidRPr="44501DDE">
        <w:rPr>
          <w:rFonts w:eastAsia="Arial" w:cs="Arial"/>
        </w:rPr>
        <w:t xml:space="preserve">Attempts to sample Longspine Thornyhead from a deep stratum (800-1300 m) in the WCVI synoptic survey have thus far been unsuccessful. Both Longspine and Shortspine Thornyhead do not have an acceptable protocol for ageing otoliths. Research is ongoing at the </w:t>
      </w:r>
      <w:proofErr w:type="spellStart"/>
      <w:r w:rsidRPr="44501DDE">
        <w:rPr>
          <w:rFonts w:eastAsia="Arial" w:cs="Arial"/>
        </w:rPr>
        <w:t>Sclerochronology</w:t>
      </w:r>
      <w:proofErr w:type="spellEnd"/>
      <w:r w:rsidRPr="44501DDE">
        <w:rPr>
          <w:rFonts w:eastAsia="Arial" w:cs="Arial"/>
        </w:rPr>
        <w:t xml:space="preserve"> Laboratory at PBS.</w:t>
      </w:r>
    </w:p>
    <w:p w14:paraId="0531F1C5" w14:textId="77777777" w:rsidR="007E5B97" w:rsidRDefault="007E5B97" w:rsidP="007E5B97">
      <w:pPr>
        <w:pStyle w:val="Heading3"/>
      </w:pPr>
      <w:r>
        <w:t>Assessment</w:t>
      </w:r>
    </w:p>
    <w:p w14:paraId="48A293B5" w14:textId="00F4A465" w:rsidR="007E5B97" w:rsidRPr="00A4733B" w:rsidRDefault="1D542A3E" w:rsidP="36F5592C">
      <w:pPr>
        <w:rPr>
          <w:rFonts w:eastAsia="Arial" w:cs="Arial"/>
        </w:rPr>
      </w:pPr>
      <w:r w:rsidRPr="36F5592C">
        <w:rPr>
          <w:rFonts w:eastAsia="Arial" w:cs="Arial"/>
        </w:rPr>
        <w:t>Longspine Thornyhead (LST) was designated ‘Special Concern’ by COSEWIC in 2007. An assessment has been requested but not yet scheduled. Attempts to sample LST from a deep stratum (800-1300 m) in the WCVI synoptic survey have thus far been unsuccessful.</w:t>
      </w:r>
      <w:r w:rsidR="7802AD27" w:rsidRPr="36F5592C">
        <w:rPr>
          <w:rFonts w:eastAsia="Arial" w:cs="Arial"/>
        </w:rPr>
        <w:t xml:space="preserve"> </w:t>
      </w:r>
    </w:p>
    <w:p w14:paraId="1384BA69" w14:textId="7A0474D0" w:rsidR="007E5B97" w:rsidRPr="00A4733B" w:rsidRDefault="1D542A3E" w:rsidP="44501DDE">
      <w:pPr>
        <w:rPr>
          <w:rFonts w:eastAsia="Arial" w:cs="Arial"/>
        </w:rPr>
      </w:pPr>
      <w:r w:rsidRPr="36F5592C">
        <w:rPr>
          <w:rFonts w:eastAsia="Arial" w:cs="Arial"/>
        </w:rPr>
        <w:t>Coastwide Shortspine Thornyhead was assessed in 2015 using a delay-difference model.</w:t>
      </w:r>
    </w:p>
    <w:p w14:paraId="790B0652" w14:textId="0B0D6FE3" w:rsidR="007E5B97" w:rsidRPr="00A4733B" w:rsidRDefault="007E5B97" w:rsidP="44501DDE">
      <w:pPr>
        <w:rPr>
          <w:rFonts w:eastAsia="Arial" w:cs="Arial"/>
        </w:rPr>
      </w:pPr>
    </w:p>
    <w:p w14:paraId="61BB156B" w14:textId="376D3F6E" w:rsidR="007E5B97" w:rsidRPr="00A4733B" w:rsidRDefault="7570969B" w:rsidP="03455EBA">
      <w:r w:rsidRPr="44501DDE">
        <w:rPr>
          <w:rFonts w:eastAsia="Arial" w:cs="Arial"/>
        </w:rPr>
        <w:t>The most recent stock assessment (2015) is publicly available on the CSAS website:</w:t>
      </w:r>
      <w:r w:rsidR="007E5B97">
        <w:br/>
      </w:r>
      <w:r w:rsidRPr="44501DDE">
        <w:rPr>
          <w:rFonts w:eastAsia="Arial" w:cs="Arial"/>
        </w:rPr>
        <w:t xml:space="preserve"> (</w:t>
      </w:r>
      <w:hyperlink r:id="rId105" w:history="1">
        <w:r w:rsidRPr="44501DDE">
          <w:rPr>
            <w:rStyle w:val="Hyperlink"/>
            <w:rFonts w:eastAsia="Arial" w:cs="Arial"/>
          </w:rPr>
          <w:t>Research Document 2017/015</w:t>
        </w:r>
      </w:hyperlink>
      <w:r w:rsidRPr="44501DDE">
        <w:rPr>
          <w:rFonts w:eastAsia="Arial" w:cs="Arial"/>
        </w:rPr>
        <w:t xml:space="preserve">, </w:t>
      </w:r>
      <w:hyperlink r:id="rId106" w:history="1">
        <w:r w:rsidRPr="44501DDE">
          <w:rPr>
            <w:rStyle w:val="Hyperlink"/>
            <w:rFonts w:eastAsia="Arial" w:cs="Arial"/>
          </w:rPr>
          <w:t>Science Advisory Report 2016/016</w:t>
        </w:r>
      </w:hyperlink>
      <w:r w:rsidRPr="44501DDE">
        <w:rPr>
          <w:rFonts w:eastAsia="Arial" w:cs="Arial"/>
        </w:rPr>
        <w:t xml:space="preserve">, </w:t>
      </w:r>
      <w:hyperlink r:id="rId107" w:history="1">
        <w:r w:rsidRPr="44501DDE">
          <w:rPr>
            <w:rStyle w:val="Hyperlink"/>
            <w:rFonts w:eastAsia="Arial" w:cs="Arial"/>
          </w:rPr>
          <w:t>Proceedings 2016/040</w:t>
        </w:r>
      </w:hyperlink>
      <w:r w:rsidRPr="44501DDE">
        <w:rPr>
          <w:rFonts w:eastAsia="Arial" w:cs="Arial"/>
        </w:rPr>
        <w:t>).</w:t>
      </w:r>
      <w:r>
        <w:t xml:space="preserve"> </w:t>
      </w:r>
    </w:p>
    <w:p w14:paraId="4429C71A" w14:textId="4B3E0559" w:rsidR="00EC5675" w:rsidRPr="00A4733B" w:rsidRDefault="3E9ADA3A" w:rsidP="03455EBA">
      <w:pPr>
        <w:pStyle w:val="Heading3"/>
      </w:pPr>
      <w:r>
        <w:lastRenderedPageBreak/>
        <w:t xml:space="preserve">Management </w:t>
      </w:r>
    </w:p>
    <w:p w14:paraId="25BE00CB" w14:textId="471E637E" w:rsidR="00EC5675" w:rsidRPr="00A4733B" w:rsidRDefault="23BAC0A2" w:rsidP="00EC5675">
      <w:pPr>
        <w:pStyle w:val="Body"/>
      </w:pPr>
      <w:r>
        <w:t>Longspine and Shortspine Thornyhead are both IVQ species. Commercial TACs and landings for 202</w:t>
      </w:r>
      <w:r w:rsidR="5BF90F6F">
        <w:t>2</w:t>
      </w:r>
      <w:r>
        <w:t xml:space="preserve"> are provided in </w:t>
      </w:r>
      <w:r w:rsidR="7DDE5EF8">
        <w:t>Appendix 1</w:t>
      </w:r>
      <w:r>
        <w:t>. To support groundfish research and account for unavoidable mortality incurred during the 202</w:t>
      </w:r>
      <w:r w:rsidR="7D086F16">
        <w:t>2</w:t>
      </w:r>
      <w:r>
        <w:t xml:space="preserve"> Groundfish surveys, research catches are allocated before defining the TAC. See </w:t>
      </w:r>
      <w:r w:rsidR="7DDE5EF8">
        <w:t>Appendix 1</w:t>
      </w:r>
      <w:r>
        <w:t xml:space="preserve"> for details.</w:t>
      </w:r>
    </w:p>
    <w:p w14:paraId="41326830" w14:textId="5BE2FA0A" w:rsidR="6D7B2710" w:rsidRDefault="6D7B2710" w:rsidP="44501DDE">
      <w:pPr>
        <w:rPr>
          <w:rFonts w:eastAsia="Arial" w:cs="Arial"/>
        </w:rPr>
      </w:pPr>
      <w:r w:rsidRPr="44501DDE">
        <w:rPr>
          <w:rFonts w:eastAsia="Arial" w:cs="Arial"/>
        </w:rPr>
        <w:t>Current management of Pacific groundfish stocks can be found in the Integrated Fisheries Management Plan (</w:t>
      </w:r>
      <w:hyperlink r:id="rId108" w:history="1">
        <w:r w:rsidRPr="44501DDE">
          <w:rPr>
            <w:rStyle w:val="Hyperlink"/>
            <w:rFonts w:eastAsia="Arial" w:cs="Arial"/>
          </w:rPr>
          <w:t>IFMP 2023</w:t>
        </w:r>
      </w:hyperlink>
      <w:r w:rsidRPr="44501DDE">
        <w:rPr>
          <w:rFonts w:eastAsia="Arial" w:cs="Arial"/>
        </w:rPr>
        <w:t>).</w:t>
      </w:r>
    </w:p>
    <w:p w14:paraId="7630E04C" w14:textId="4BCA3693" w:rsidR="44501DDE" w:rsidRDefault="44501DDE" w:rsidP="44501DDE">
      <w:pPr>
        <w:pStyle w:val="Body"/>
      </w:pPr>
    </w:p>
    <w:p w14:paraId="2326F444" w14:textId="77777777" w:rsidR="002C0DF4" w:rsidRDefault="11F3D577" w:rsidP="007E5B97">
      <w:pPr>
        <w:pStyle w:val="Heading2"/>
      </w:pPr>
      <w:bookmarkStart w:id="22" w:name="_Toc131161717"/>
      <w:r>
        <w:t>Sablefish</w:t>
      </w:r>
      <w:bookmarkEnd w:id="22"/>
    </w:p>
    <w:p w14:paraId="16B18A8F" w14:textId="61118E22" w:rsidR="00486A10" w:rsidRPr="00486A10" w:rsidRDefault="52F0AED7" w:rsidP="00486A10">
      <w:pPr>
        <w:pStyle w:val="Body"/>
      </w:pPr>
      <w:r>
        <w:t xml:space="preserve">Management of Sablefish in BC is guided by a Management Strategy Evaluation (MSE) process that has been jointly developed by Fisheries and Oceans Canada (DFO) and the BC Sablefish fishing industry. Annual total allowable catches (TACs) for BC Sablefish have been set in a transparent and sustainable manner using simulation-tested management procedures (MPs) since 2011. </w:t>
      </w:r>
    </w:p>
    <w:p w14:paraId="66C2BD60" w14:textId="77777777" w:rsidR="00486A10" w:rsidRDefault="007E5B97" w:rsidP="00D560CF">
      <w:pPr>
        <w:pStyle w:val="Heading3"/>
        <w:numPr>
          <w:ilvl w:val="0"/>
          <w:numId w:val="17"/>
        </w:numPr>
      </w:pPr>
      <w:r>
        <w:t>Research</w:t>
      </w:r>
    </w:p>
    <w:p w14:paraId="6C07BCC4" w14:textId="005858A9" w:rsidR="00D043FA" w:rsidRPr="00486A10" w:rsidRDefault="4FE8E536" w:rsidP="00486A10">
      <w:pPr>
        <w:pStyle w:val="Body"/>
      </w:pPr>
      <w:r>
        <w:t xml:space="preserve">Collection of biological data continued in </w:t>
      </w:r>
      <w:r w:rsidR="6B90BA2D">
        <w:t>202</w:t>
      </w:r>
      <w:r w:rsidR="2FC6594A">
        <w:t>2</w:t>
      </w:r>
      <w:r>
        <w:t xml:space="preserve"> through trawl and trap surveys. With the suspension of the At Sea Observer program due to COVID-19, there </w:t>
      </w:r>
      <w:r w:rsidR="10496282">
        <w:t>has been</w:t>
      </w:r>
      <w:r>
        <w:t xml:space="preserve"> no commercial sampling</w:t>
      </w:r>
      <w:r w:rsidR="10496282">
        <w:t xml:space="preserve"> from the trawl fishery</w:t>
      </w:r>
      <w:r>
        <w:t xml:space="preserve"> </w:t>
      </w:r>
      <w:r w:rsidR="7AAE960B">
        <w:t>since</w:t>
      </w:r>
      <w:r>
        <w:t xml:space="preserve"> March 2020. </w:t>
      </w:r>
      <w:r w:rsidR="7AAE960B">
        <w:t>However, c</w:t>
      </w:r>
      <w:r w:rsidR="10496282">
        <w:t>ommercial sampling has continued in the directed trap and longline</w:t>
      </w:r>
      <w:r w:rsidR="5976D544">
        <w:t xml:space="preserve"> </w:t>
      </w:r>
      <w:r w:rsidR="7AAE960B">
        <w:t xml:space="preserve">fisheries through a voluntary </w:t>
      </w:r>
      <w:proofErr w:type="spellStart"/>
      <w:r w:rsidR="7AAE960B">
        <w:t>biosampling</w:t>
      </w:r>
      <w:proofErr w:type="spellEnd"/>
      <w:r w:rsidR="7AAE960B">
        <w:t xml:space="preserve"> program supported by industry. A head-only sampling program was initiated in 20</w:t>
      </w:r>
      <w:r w:rsidR="526FEA44">
        <w:t>18</w:t>
      </w:r>
      <w:r w:rsidR="7AAE960B">
        <w:t xml:space="preserve"> whereby commercial fishers follow specific instructions to collect specimens at stepped intervals of their overall cumulative catch for the year (</w:t>
      </w:r>
      <w:r w:rsidR="6A47EFAF">
        <w:t>i</w:t>
      </w:r>
      <w:r w:rsidR="187939A6">
        <w:t>.</w:t>
      </w:r>
      <w:r w:rsidR="7AAE960B">
        <w:t xml:space="preserve">e., every 50,000 lbs). Males and females are marked by cutting the operculum and then the heads are frozen to be sampled on shore. Unpublished work has shown a strong relationship between head morphometric measurements and fork length, so frozen head samples are measured on shore to collect estimated length data. Otoliths are also retrieved from frozen heads for ageing. </w:t>
      </w:r>
      <w:r w:rsidR="08120D9A">
        <w:t>A technical report is being developed for 202</w:t>
      </w:r>
      <w:r w:rsidR="298A4A82">
        <w:t>3</w:t>
      </w:r>
      <w:r w:rsidR="08120D9A">
        <w:t xml:space="preserve"> to describe this new sampling procedure and document the relationship between head </w:t>
      </w:r>
      <w:proofErr w:type="spellStart"/>
      <w:r w:rsidR="08120D9A">
        <w:t>morphometrics</w:t>
      </w:r>
      <w:proofErr w:type="spellEnd"/>
      <w:r w:rsidR="08120D9A">
        <w:t xml:space="preserve"> and fork length</w:t>
      </w:r>
      <w:r w:rsidR="100F87AF">
        <w:t>.</w:t>
      </w:r>
    </w:p>
    <w:p w14:paraId="0B7524E7" w14:textId="77777777" w:rsidR="007E5B97" w:rsidRDefault="007E5B97" w:rsidP="007E5B97">
      <w:pPr>
        <w:pStyle w:val="Heading3"/>
      </w:pPr>
      <w:r>
        <w:t>Assessment</w:t>
      </w:r>
    </w:p>
    <w:p w14:paraId="7D42AD3E" w14:textId="4E514882" w:rsidR="4464AC94" w:rsidRDefault="4464AC94" w:rsidP="5117BC3A">
      <w:pPr>
        <w:pStyle w:val="Body"/>
        <w:rPr>
          <w:rFonts w:eastAsia="Calibri"/>
        </w:rPr>
      </w:pPr>
      <w:r w:rsidRPr="5117BC3A">
        <w:rPr>
          <w:rFonts w:eastAsia="Calibri"/>
        </w:rPr>
        <w:t>Sablefish stock status is regularly evaluated as part of the MSE process. An operating model (i.e., representation of alternative hypotheses about ‘true’ Sablefish population dynamics; OM) is used to both estimate stock status and simulate data for prospective testing of management procedure performance relative to stock and fishery objectives.</w:t>
      </w:r>
    </w:p>
    <w:p w14:paraId="68128257" w14:textId="6582E20C" w:rsidR="4464AC94" w:rsidRDefault="4464AC94" w:rsidP="5117BC3A">
      <w:pPr>
        <w:pStyle w:val="Body"/>
      </w:pPr>
      <w:r w:rsidRPr="5117BC3A">
        <w:rPr>
          <w:rFonts w:eastAsia="Calibri"/>
        </w:rPr>
        <w:t>A revised version of the BC Sablefish OM was developed in 2022 that used data up to the end of 2021 (DFO 2023; Johnson et al., in revision). The revised OM was transitioned to a new software platform for 2022 (Template Model Builder; previous implementations were in AD Model Builder). Transition analyses showed that both implementations produced similar results, while the new platform offered better model diagnostics and computational performance.</w:t>
      </w:r>
    </w:p>
    <w:p w14:paraId="76A1DDD7" w14:textId="066C8D47" w:rsidR="4464AC94" w:rsidRDefault="4464AC94" w:rsidP="5117BC3A">
      <w:pPr>
        <w:pStyle w:val="Body"/>
      </w:pPr>
      <w:r w:rsidRPr="5117BC3A">
        <w:rPr>
          <w:rFonts w:eastAsia="Calibri"/>
        </w:rPr>
        <w:lastRenderedPageBreak/>
        <w:t>Stock status in 2022 was assessed via a weighted-average of five operating model scenarios representing uncertainty about productivity and recent (2021) female spawning stock biomass. BC Sablefish female spawning stock biomass for 2022 (B</w:t>
      </w:r>
      <w:r w:rsidRPr="5117BC3A">
        <w:rPr>
          <w:rFonts w:eastAsia="Calibri"/>
          <w:vertAlign w:val="subscript"/>
        </w:rPr>
        <w:t>2022</w:t>
      </w:r>
      <w:r w:rsidRPr="5117BC3A">
        <w:rPr>
          <w:rFonts w:eastAsia="Calibri"/>
        </w:rPr>
        <w:t>) was estimated to be well above</w:t>
      </w:r>
      <w:r w:rsidR="06B2C22F" w:rsidRPr="5117BC3A">
        <w:rPr>
          <w:rFonts w:eastAsia="Calibri"/>
        </w:rPr>
        <w:t xml:space="preserve"> </w:t>
      </w:r>
      <w:r w:rsidRPr="5117BC3A">
        <w:rPr>
          <w:rFonts w:eastAsia="Calibri"/>
        </w:rPr>
        <w:t>the level of female spawning stock biomass associated with maximum sustainable yield (B</w:t>
      </w:r>
      <w:r w:rsidRPr="5117BC3A">
        <w:rPr>
          <w:rFonts w:eastAsia="Calibri"/>
          <w:vertAlign w:val="subscript"/>
        </w:rPr>
        <w:t>MSY</w:t>
      </w:r>
      <w:r w:rsidRPr="5117BC3A">
        <w:rPr>
          <w:rFonts w:eastAsia="Calibri"/>
        </w:rPr>
        <w:t>). The weighted average estimate of B</w:t>
      </w:r>
      <w:r w:rsidRPr="5117BC3A">
        <w:rPr>
          <w:rFonts w:eastAsia="Calibri"/>
          <w:vertAlign w:val="subscript"/>
        </w:rPr>
        <w:t>2022</w:t>
      </w:r>
      <w:r w:rsidRPr="5117BC3A">
        <w:rPr>
          <w:rFonts w:eastAsia="Calibri"/>
        </w:rPr>
        <w:t xml:space="preserve"> is above B</w:t>
      </w:r>
      <w:r w:rsidRPr="5117BC3A">
        <w:rPr>
          <w:rFonts w:eastAsia="Calibri"/>
          <w:vertAlign w:val="subscript"/>
        </w:rPr>
        <w:t>MSY</w:t>
      </w:r>
      <w:r w:rsidRPr="5117BC3A">
        <w:rPr>
          <w:rFonts w:eastAsia="Calibri"/>
        </w:rPr>
        <w:t xml:space="preserve"> with 92% probability (median value of 1.32 times B</w:t>
      </w:r>
      <w:r w:rsidRPr="5117BC3A">
        <w:rPr>
          <w:rFonts w:eastAsia="Calibri"/>
          <w:vertAlign w:val="subscript"/>
        </w:rPr>
        <w:t>MSY</w:t>
      </w:r>
      <w:r w:rsidRPr="5117BC3A">
        <w:rPr>
          <w:rFonts w:eastAsia="Calibri"/>
        </w:rPr>
        <w:t>). The estimated harvest rate (U) of legal-sized Sablefish in 2021 is below the harvest rate at MSY (U</w:t>
      </w:r>
      <w:r w:rsidRPr="5117BC3A">
        <w:rPr>
          <w:rFonts w:eastAsia="Calibri"/>
          <w:vertAlign w:val="subscript"/>
        </w:rPr>
        <w:t>MSY</w:t>
      </w:r>
      <w:r w:rsidRPr="5117BC3A">
        <w:rPr>
          <w:rFonts w:eastAsia="Calibri"/>
        </w:rPr>
        <w:t>) with 94% probability (median value of 0.72 times U</w:t>
      </w:r>
      <w:r w:rsidRPr="5117BC3A">
        <w:rPr>
          <w:rFonts w:eastAsia="Calibri"/>
          <w:vertAlign w:val="subscript"/>
        </w:rPr>
        <w:t>MSY</w:t>
      </w:r>
      <w:r w:rsidRPr="5117BC3A">
        <w:rPr>
          <w:rFonts w:eastAsia="Calibri"/>
        </w:rPr>
        <w:t xml:space="preserve">). </w:t>
      </w:r>
    </w:p>
    <w:p w14:paraId="45039D8E" w14:textId="12859E76" w:rsidR="4464AC94" w:rsidRDefault="1AD6C50E" w:rsidP="5117BC3A">
      <w:pPr>
        <w:pStyle w:val="Body"/>
      </w:pPr>
      <w:r w:rsidRPr="36F5592C">
        <w:rPr>
          <w:rFonts w:eastAsia="Calibri"/>
        </w:rPr>
        <w:t>As part of the 2022 OM update, closed-loop simulations were used to test whether the current MP, with a maximum target legal harvest rate of 5.5%, was able to meet operational fishery objectives under the revised OM scenarios. Alternative versions of the current MP with a range of target harvest rates were also tested. Simulation performance showed that an increase in the current maximum target legal harvest rate up to 7.5% could be considered while still meeting conservation objectives aimed at remaining above the LRP</w:t>
      </w:r>
      <w:r w:rsidR="0A61B2EA" w:rsidRPr="36F5592C">
        <w:rPr>
          <w:rFonts w:eastAsia="Calibri"/>
        </w:rPr>
        <w:t xml:space="preserve"> </w:t>
      </w:r>
      <w:r w:rsidRPr="36F5592C">
        <w:rPr>
          <w:rFonts w:eastAsia="Calibri"/>
        </w:rPr>
        <w:t>and achieving the target reference point.</w:t>
      </w:r>
    </w:p>
    <w:p w14:paraId="3B17C828" w14:textId="1311DB51" w:rsidR="6BA77566" w:rsidRDefault="46CC1935" w:rsidP="5117BC3A">
      <w:pPr>
        <w:pStyle w:val="Body"/>
        <w:rPr>
          <w:rFonts w:eastAsia="Calibri"/>
        </w:rPr>
      </w:pPr>
      <w:r w:rsidRPr="36F5592C">
        <w:rPr>
          <w:rFonts w:eastAsia="Calibri"/>
        </w:rPr>
        <w:t>The 2022 Sablefish OM paper also examined e</w:t>
      </w:r>
      <w:r w:rsidR="1AD6C50E" w:rsidRPr="36F5592C">
        <w:rPr>
          <w:rFonts w:eastAsia="Calibri"/>
        </w:rPr>
        <w:t xml:space="preserve">nvironmental variables (EVs) potentially affecting BC Sablefish population dynamics via pairwise correlations between eight EVs, annual recruitment, and a body condition index. </w:t>
      </w:r>
      <w:r w:rsidR="0ED60026" w:rsidRPr="36F5592C">
        <w:rPr>
          <w:rFonts w:eastAsia="Calibri"/>
        </w:rPr>
        <w:t>While some EV</w:t>
      </w:r>
      <w:r w:rsidR="65C4A4E5" w:rsidRPr="36F5592C">
        <w:rPr>
          <w:rFonts w:eastAsia="Calibri"/>
        </w:rPr>
        <w:t>s</w:t>
      </w:r>
      <w:r w:rsidR="0ED60026" w:rsidRPr="36F5592C">
        <w:rPr>
          <w:rFonts w:eastAsia="Calibri"/>
        </w:rPr>
        <w:t xml:space="preserve"> showed moderate correlations with body condition, n</w:t>
      </w:r>
      <w:r w:rsidR="1AD6C50E" w:rsidRPr="36F5592C">
        <w:rPr>
          <w:rFonts w:eastAsia="Calibri"/>
        </w:rPr>
        <w:t xml:space="preserve">one were strongly correlated to recruitment. </w:t>
      </w:r>
      <w:r w:rsidR="35847DC6" w:rsidRPr="36F5592C">
        <w:rPr>
          <w:rFonts w:eastAsia="Calibri"/>
        </w:rPr>
        <w:t xml:space="preserve">These analyses were an initial exploration of potential links. Future research into environmental drivers of Sablefish recruitment strength in BC </w:t>
      </w:r>
      <w:r w:rsidR="4EEEA782" w:rsidRPr="36F5592C">
        <w:rPr>
          <w:rFonts w:eastAsia="Calibri"/>
        </w:rPr>
        <w:t>will need to</w:t>
      </w:r>
      <w:r w:rsidR="35847DC6" w:rsidRPr="36F5592C">
        <w:rPr>
          <w:rFonts w:eastAsia="Calibri"/>
        </w:rPr>
        <w:t xml:space="preserve"> </w:t>
      </w:r>
      <w:r w:rsidR="7E286BD1" w:rsidRPr="36F5592C">
        <w:rPr>
          <w:rFonts w:eastAsia="Calibri"/>
        </w:rPr>
        <w:t>explore</w:t>
      </w:r>
      <w:r w:rsidR="35847DC6" w:rsidRPr="36F5592C">
        <w:rPr>
          <w:rFonts w:eastAsia="Calibri"/>
        </w:rPr>
        <w:t xml:space="preserve"> more complex models to explain variability as a function of multiple environmental variables operating at various </w:t>
      </w:r>
      <w:proofErr w:type="spellStart"/>
      <w:r w:rsidR="35847DC6" w:rsidRPr="36F5592C">
        <w:rPr>
          <w:rFonts w:eastAsia="Calibri"/>
        </w:rPr>
        <w:t>spatio</w:t>
      </w:r>
      <w:proofErr w:type="spellEnd"/>
      <w:r w:rsidR="35847DC6" w:rsidRPr="36F5592C">
        <w:rPr>
          <w:rFonts w:eastAsia="Calibri"/>
        </w:rPr>
        <w:t>-temporal scales and life history stages.</w:t>
      </w:r>
    </w:p>
    <w:p w14:paraId="137A69E7" w14:textId="761831E0" w:rsidR="4464AC94" w:rsidRDefault="1AD6C50E" w:rsidP="5117BC3A">
      <w:pPr>
        <w:pStyle w:val="Body"/>
      </w:pPr>
      <w:r w:rsidRPr="36F5592C">
        <w:rPr>
          <w:rFonts w:eastAsia="Calibri"/>
        </w:rPr>
        <w:t>The revised operating model continues to assume that the BC Sablefish stock is a closed population, despite evidence of movements among Sablefish stocks in Alaska and US waters south of BC (</w:t>
      </w:r>
      <w:proofErr w:type="spellStart"/>
      <w:r w:rsidRPr="36F5592C">
        <w:rPr>
          <w:rFonts w:eastAsia="Calibri"/>
        </w:rPr>
        <w:t>Hanselman</w:t>
      </w:r>
      <w:proofErr w:type="spellEnd"/>
      <w:r w:rsidRPr="36F5592C">
        <w:rPr>
          <w:rFonts w:eastAsia="Calibri"/>
        </w:rPr>
        <w:t xml:space="preserve"> et al. 2014) and little genetic evidence of population structure across these management regions (</w:t>
      </w:r>
      <w:proofErr w:type="spellStart"/>
      <w:r w:rsidRPr="36F5592C">
        <w:rPr>
          <w:rFonts w:eastAsia="Calibri"/>
        </w:rPr>
        <w:t>Jasonowicz</w:t>
      </w:r>
      <w:proofErr w:type="spellEnd"/>
      <w:r w:rsidRPr="36F5592C">
        <w:rPr>
          <w:rFonts w:eastAsia="Calibri"/>
        </w:rPr>
        <w:t xml:space="preserve"> et al. 2017). These movements may have implications for the assumptions made about Sablefish stock dynamics in BC (i.e., recruitment, productivity) that are not currently captured by the revised OM or reflected in MP performance evaluations. Ongoing collaboration between DFO, NOAA</w:t>
      </w:r>
      <w:r w:rsidR="5C23A6C2" w:rsidRPr="36F5592C">
        <w:rPr>
          <w:rFonts w:eastAsia="Calibri"/>
        </w:rPr>
        <w:t>,</w:t>
      </w:r>
      <w:r w:rsidRPr="36F5592C">
        <w:rPr>
          <w:rFonts w:eastAsia="Calibri"/>
        </w:rPr>
        <w:t xml:space="preserve"> and ADFG is working towards the development of a coastwide Sablefish OM to understand the potential consequences of the mismatch between Sablefish stock structure and management.</w:t>
      </w:r>
    </w:p>
    <w:p w14:paraId="69A7A9FF" w14:textId="77777777" w:rsidR="00486A10" w:rsidRDefault="00486A10" w:rsidP="00035DCF">
      <w:pPr>
        <w:pStyle w:val="Body"/>
        <w:keepNext/>
      </w:pPr>
      <w:r>
        <w:t xml:space="preserve">Literature Cited: </w:t>
      </w:r>
    </w:p>
    <w:p w14:paraId="696A6962" w14:textId="523423EE" w:rsidR="6922D43B" w:rsidRDefault="6922D43B" w:rsidP="5117BC3A">
      <w:pPr>
        <w:pStyle w:val="Citation"/>
      </w:pPr>
      <w:r>
        <w:t xml:space="preserve">DFO. 2023. A revised operating model for </w:t>
      </w:r>
      <w:r w:rsidR="25BD7521">
        <w:t>s</w:t>
      </w:r>
      <w:r>
        <w:t xml:space="preserve">ablefish in British Columbia in 2022. Can. Sci. </w:t>
      </w:r>
      <w:proofErr w:type="spellStart"/>
      <w:r>
        <w:t>Advis</w:t>
      </w:r>
      <w:proofErr w:type="spellEnd"/>
      <w:r>
        <w:t xml:space="preserve">. Sec. Sci. </w:t>
      </w:r>
      <w:proofErr w:type="spellStart"/>
      <w:r>
        <w:t>Advis</w:t>
      </w:r>
      <w:proofErr w:type="spellEnd"/>
      <w:r>
        <w:t>. Rep. 2023/010.</w:t>
      </w:r>
    </w:p>
    <w:p w14:paraId="2D28F647" w14:textId="2C6493F1" w:rsidR="6922D43B" w:rsidRDefault="3E9379B2" w:rsidP="5117BC3A">
      <w:pPr>
        <w:pStyle w:val="Citation"/>
      </w:pPr>
      <w:r>
        <w:t xml:space="preserve">DFO. In press. </w:t>
      </w:r>
      <w:r w:rsidR="576FB12C">
        <w:t>Application of the British Columbia Sablefish (</w:t>
      </w:r>
      <w:r w:rsidR="576FB12C" w:rsidRPr="490425B0">
        <w:rPr>
          <w:i/>
          <w:iCs/>
        </w:rPr>
        <w:t>Anoplopoma fimbria</w:t>
      </w:r>
      <w:r w:rsidR="576FB12C">
        <w:t xml:space="preserve">) Management Procedure for the 2023-24 Fishing Year. DFO Can. Sci. </w:t>
      </w:r>
      <w:proofErr w:type="spellStart"/>
      <w:r w:rsidR="576FB12C">
        <w:t>Advis</w:t>
      </w:r>
      <w:proofErr w:type="spellEnd"/>
      <w:r w:rsidR="576FB12C">
        <w:t>. Sec. Sci. Resp. 2023/009.</w:t>
      </w:r>
    </w:p>
    <w:p w14:paraId="0D1F082C" w14:textId="4AB0E245" w:rsidR="00E878D1" w:rsidRDefault="0369CB3F" w:rsidP="00375E5D">
      <w:pPr>
        <w:pStyle w:val="Citation"/>
      </w:pPr>
      <w:proofErr w:type="spellStart"/>
      <w:r>
        <w:t>H</w:t>
      </w:r>
      <w:r w:rsidR="00486A10">
        <w:t>anselman</w:t>
      </w:r>
      <w:proofErr w:type="spellEnd"/>
      <w:r w:rsidR="00486A10">
        <w:t xml:space="preserve">, D.H., Heifetz, J., </w:t>
      </w:r>
      <w:proofErr w:type="spellStart"/>
      <w:r w:rsidR="00486A10">
        <w:t>Echave</w:t>
      </w:r>
      <w:proofErr w:type="spellEnd"/>
      <w:r w:rsidR="00486A10">
        <w:t>, K.B.</w:t>
      </w:r>
      <w:r w:rsidR="39132733">
        <w:t>,</w:t>
      </w:r>
      <w:r w:rsidR="00486A10">
        <w:t xml:space="preserve"> and </w:t>
      </w:r>
      <w:proofErr w:type="spellStart"/>
      <w:r w:rsidR="00486A10">
        <w:t>Dressel</w:t>
      </w:r>
      <w:proofErr w:type="spellEnd"/>
      <w:r w:rsidR="00486A10">
        <w:t>, S.C., 2014. Move it or lose it: movement and mortality of sablefish tagged in Alaska. Canadian journal of fisheries and aquatic sciences, 72(2), pp.238-251</w:t>
      </w:r>
      <w:r w:rsidR="00E878D1">
        <w:t>.</w:t>
      </w:r>
    </w:p>
    <w:p w14:paraId="6991D966" w14:textId="77777777" w:rsidR="00486A10" w:rsidRPr="00A4733B" w:rsidRDefault="0A730DF7" w:rsidP="00375E5D">
      <w:pPr>
        <w:pStyle w:val="Citation"/>
      </w:pPr>
      <w:proofErr w:type="spellStart"/>
      <w:r>
        <w:lastRenderedPageBreak/>
        <w:t>Jasonowicz</w:t>
      </w:r>
      <w:proofErr w:type="spellEnd"/>
      <w:r>
        <w:t xml:space="preserve">, A.J., Goetz, F.W., Goetz, G.W. and Nichols, K.M., 2016. Love the one you’re with: genomic evidence of </w:t>
      </w:r>
      <w:proofErr w:type="spellStart"/>
      <w:r>
        <w:t>panmixia</w:t>
      </w:r>
      <w:proofErr w:type="spellEnd"/>
      <w:r>
        <w:t xml:space="preserve"> in the sablefish (</w:t>
      </w:r>
      <w:r w:rsidRPr="490425B0">
        <w:rPr>
          <w:i/>
          <w:iCs/>
        </w:rPr>
        <w:t>Anoplopoma fimbria</w:t>
      </w:r>
      <w:r>
        <w:t>). Canadian Journal of Fisheries and Aquatic Sciences, 74(3), pp.377-387.</w:t>
      </w:r>
    </w:p>
    <w:p w14:paraId="10BD76D4" w14:textId="2C113F8E" w:rsidR="136326AC" w:rsidRDefault="6439F38C" w:rsidP="5117BC3A">
      <w:pPr>
        <w:pStyle w:val="Citation"/>
      </w:pPr>
      <w:r>
        <w:t>Johnson, S.D.N., Cox, S.P., Holt, K.R., Lacko, L.C., and Rooper, C.N. In revision. Stock status and management procedure performance for the BC Sablefish (</w:t>
      </w:r>
      <w:r w:rsidRPr="387816AB">
        <w:rPr>
          <w:i/>
          <w:iCs/>
        </w:rPr>
        <w:t>Anoplopoma fimbria</w:t>
      </w:r>
      <w:r>
        <w:t xml:space="preserve">) fishery for 2022/23. Can. Sci. </w:t>
      </w:r>
      <w:proofErr w:type="spellStart"/>
      <w:r>
        <w:t>Advis</w:t>
      </w:r>
      <w:proofErr w:type="spellEnd"/>
      <w:r>
        <w:t>. Sec. Res. Doc.</w:t>
      </w:r>
    </w:p>
    <w:p w14:paraId="2920A888" w14:textId="77777777" w:rsidR="007E5B97" w:rsidRPr="002C0DF4" w:rsidRDefault="007E5B97" w:rsidP="007E5B97">
      <w:pPr>
        <w:pStyle w:val="Heading3"/>
      </w:pPr>
      <w:r>
        <w:t>Management</w:t>
      </w:r>
    </w:p>
    <w:p w14:paraId="16E32653" w14:textId="2CAA3C95" w:rsidR="00486A10" w:rsidRDefault="00486A10" w:rsidP="5117BC3A">
      <w:r>
        <w:t xml:space="preserve">The MP that is currently in place for the </w:t>
      </w:r>
      <w:r w:rsidR="75C5E107">
        <w:t>BC</w:t>
      </w:r>
      <w:r>
        <w:t xml:space="preserve"> Sablefish fishery was </w:t>
      </w:r>
      <w:r w:rsidR="1F1BAE9C">
        <w:t>evaluated as part of the 2022 OM update</w:t>
      </w:r>
      <w:r>
        <w:t xml:space="preserve"> (see Assessment section above). This MP is based on a surplus production model fit to time-series observations of total landed catch, and the fishery independent survey CPUE, to forecast Sablefish biomass for the coming year. The surplus production model outputs are then inputs to a harvest control rule </w:t>
      </w:r>
      <w:r w:rsidR="31D0777E">
        <w:t xml:space="preserve">each year </w:t>
      </w:r>
      <w:r>
        <w:t xml:space="preserve">to calculate </w:t>
      </w:r>
      <w:r w:rsidR="323F4028">
        <w:t xml:space="preserve">a </w:t>
      </w:r>
      <w:r>
        <w:t xml:space="preserve">recommended catch </w:t>
      </w:r>
      <w:r w:rsidR="70DF27D1">
        <w:t xml:space="preserve">limit </w:t>
      </w:r>
      <w:r>
        <w:t xml:space="preserve">of legal Sablefish. </w:t>
      </w:r>
      <w:r w:rsidR="0D03C0A6">
        <w:t>The harvest control rule selected used for annual application starting in 2023-24 has a maximum target harvest rate of 6.4%</w:t>
      </w:r>
      <w:r w:rsidR="2090E304">
        <w:t xml:space="preserve">. </w:t>
      </w:r>
      <w:r w:rsidR="66DB6748">
        <w:t>Application of the Sablefish MSE’s management procedure to develop an annual catch limit recommendation for the 2023-24 Sablefish fishery was documented through a CSAS Science Response (DFO, in press) and will be published on the CSAS website in the coming months.</w:t>
      </w:r>
    </w:p>
    <w:p w14:paraId="19219836" w14:textId="77777777" w:rsidR="00ED16FB" w:rsidRPr="00A4733B" w:rsidRDefault="00ED16FB" w:rsidP="007E5B97"/>
    <w:p w14:paraId="10B0FC18" w14:textId="6DB0B05D" w:rsidR="00ED16FB" w:rsidRPr="009306F6" w:rsidRDefault="00ED16FB" w:rsidP="00ED16FB">
      <w:pPr>
        <w:pStyle w:val="Body"/>
      </w:pPr>
      <w:r>
        <w:t>Commercial TACs and landings for 20</w:t>
      </w:r>
      <w:r w:rsidR="2D3986F7">
        <w:t>2</w:t>
      </w:r>
      <w:r w:rsidR="7FE3559C">
        <w:t>2</w:t>
      </w:r>
      <w:r>
        <w:t xml:space="preserve"> are provided in </w:t>
      </w:r>
      <w:r w:rsidR="001D067D">
        <w:t>Appendix 1</w:t>
      </w:r>
      <w:r>
        <w:t>. To support groundfish research and account for unavoidable mortality incurred during the 20</w:t>
      </w:r>
      <w:r w:rsidR="546A7E2A">
        <w:t>2</w:t>
      </w:r>
      <w:r w:rsidR="0DF9E50F">
        <w:t xml:space="preserve">2 </w:t>
      </w:r>
      <w:r>
        <w:t xml:space="preserve">Groundfish surveys, research catches are allocated before defining the TAC. See </w:t>
      </w:r>
      <w:r w:rsidR="001D067D">
        <w:t>Appendix 1</w:t>
      </w:r>
      <w:r>
        <w:t xml:space="preserve"> for details.</w:t>
      </w:r>
    </w:p>
    <w:p w14:paraId="75498E74" w14:textId="77777777" w:rsidR="002C0DF4" w:rsidRDefault="002C0DF4" w:rsidP="007E5B97">
      <w:pPr>
        <w:pStyle w:val="Heading2"/>
      </w:pPr>
      <w:bookmarkStart w:id="23" w:name="_Toc131161718"/>
      <w:r>
        <w:t>Lingcod</w:t>
      </w:r>
      <w:bookmarkEnd w:id="23"/>
    </w:p>
    <w:p w14:paraId="124C9FC2" w14:textId="77777777" w:rsidR="007E5B97" w:rsidRDefault="007E5B97" w:rsidP="00D560CF">
      <w:pPr>
        <w:pStyle w:val="Heading3"/>
        <w:numPr>
          <w:ilvl w:val="0"/>
          <w:numId w:val="16"/>
        </w:numPr>
      </w:pPr>
      <w:r>
        <w:t>Research</w:t>
      </w:r>
    </w:p>
    <w:p w14:paraId="473B28D1" w14:textId="4D1E7FBE" w:rsidR="002C74D9" w:rsidRPr="00A4733B" w:rsidRDefault="252AC649" w:rsidP="002C74D9">
      <w:pPr>
        <w:pStyle w:val="Body"/>
      </w:pPr>
      <w:r>
        <w:t>Data collection continued in 202</w:t>
      </w:r>
      <w:r w:rsidR="6B2A0763">
        <w:t>2</w:t>
      </w:r>
      <w:r>
        <w:t xml:space="preserve"> through trawl and longline surveys and recreational creel surveys. </w:t>
      </w:r>
      <w:r w:rsidR="4FE8E536">
        <w:t xml:space="preserve">With the suspension of the At Sea Observer program </w:t>
      </w:r>
      <w:r w:rsidR="015A800F">
        <w:t>in 2020</w:t>
      </w:r>
      <w:r w:rsidR="4FE8E536">
        <w:t xml:space="preserve">, </w:t>
      </w:r>
      <w:r>
        <w:t xml:space="preserve">there was no commercial sampling. </w:t>
      </w:r>
      <w:r w:rsidR="63237B0F">
        <w:t>Additional biological samples (length, weight, sex, maturity</w:t>
      </w:r>
      <w:r w:rsidR="12EB3936">
        <w:t>,</w:t>
      </w:r>
      <w:r w:rsidR="63237B0F">
        <w:t xml:space="preserve"> and fins for ageing) were collected on the Outside HBLL survey done in collaboration with industry. We are currently preparing fins for ag</w:t>
      </w:r>
      <w:r w:rsidR="23685631">
        <w:t>e</w:t>
      </w:r>
      <w:r w:rsidR="63237B0F">
        <w:t xml:space="preserve">ing in order to inform survey selectivity in our next stock assessment. </w:t>
      </w:r>
      <w:r w:rsidR="7B985D1B">
        <w:t xml:space="preserve">We are also collaborating with the </w:t>
      </w:r>
      <w:proofErr w:type="spellStart"/>
      <w:r w:rsidR="7B985D1B">
        <w:t>Sclerochronology</w:t>
      </w:r>
      <w:proofErr w:type="spellEnd"/>
      <w:r w:rsidR="7B985D1B">
        <w:t xml:space="preserve"> lab at PBS by collecting paired otolith and fin rays on our surveys in order to compare ageing structures.</w:t>
      </w:r>
    </w:p>
    <w:p w14:paraId="5E3F7C79" w14:textId="77777777" w:rsidR="007E5B97" w:rsidRDefault="007E5B97" w:rsidP="007E5B97">
      <w:pPr>
        <w:pStyle w:val="Heading3"/>
      </w:pPr>
      <w:r>
        <w:t>Assessment</w:t>
      </w:r>
    </w:p>
    <w:p w14:paraId="17BF3931" w14:textId="3C0FA135" w:rsidR="00486A10" w:rsidRPr="00486A10" w:rsidRDefault="18208F71" w:rsidP="00486A10">
      <w:pPr>
        <w:pStyle w:val="Body"/>
      </w:pPr>
      <w:r>
        <w:t>Inside, the waters within the Strait of Georgia, and Outside, the rest of the BC Coast, Lingcod populations are assessed and managed as separate units</w:t>
      </w:r>
      <w:r w:rsidR="2C0719F7">
        <w:t xml:space="preserve">. </w:t>
      </w:r>
      <w:r>
        <w:t>Outside Lingcod were scheduled to be assessed in the spring of 2019; however, the assessment has been pushed back due to other program demands as well as the desire to have some age-data to inform the catchability of the longline surveys</w:t>
      </w:r>
      <w:r w:rsidR="2C0719F7">
        <w:t xml:space="preserve">. </w:t>
      </w:r>
      <w:r>
        <w:t>Fins colle</w:t>
      </w:r>
      <w:r w:rsidR="5B6464FB">
        <w:t xml:space="preserve">cted on the IPHC, </w:t>
      </w:r>
      <w:r w:rsidR="23DAC483">
        <w:t>t</w:t>
      </w:r>
      <w:r w:rsidR="5B6464FB">
        <w:t>rawl s</w:t>
      </w:r>
      <w:r>
        <w:t xml:space="preserve">urveys and Outside HBLL surveys </w:t>
      </w:r>
      <w:r w:rsidR="015A800F">
        <w:t>have</w:t>
      </w:r>
      <w:r>
        <w:t xml:space="preserve"> </w:t>
      </w:r>
      <w:r w:rsidR="4F39BE9E">
        <w:t xml:space="preserve">been </w:t>
      </w:r>
      <w:r w:rsidR="015A800F">
        <w:t xml:space="preserve">processed and an assessment is planned for 2024. </w:t>
      </w:r>
      <w:r>
        <w:t>Inside Lingcod were last assessed in 2014.</w:t>
      </w:r>
    </w:p>
    <w:p w14:paraId="676416AF" w14:textId="77777777" w:rsidR="007E5B97" w:rsidRPr="002C0DF4" w:rsidRDefault="007E5B97" w:rsidP="007E5B97">
      <w:pPr>
        <w:pStyle w:val="Heading3"/>
      </w:pPr>
      <w:r>
        <w:lastRenderedPageBreak/>
        <w:t>Management</w:t>
      </w:r>
    </w:p>
    <w:p w14:paraId="62E2DBDA" w14:textId="4F8D3312" w:rsidR="00ED16FB" w:rsidRPr="009306F6" w:rsidRDefault="00ED16FB" w:rsidP="00ED16FB">
      <w:pPr>
        <w:pStyle w:val="Body"/>
      </w:pPr>
      <w:r>
        <w:t>Commercial TACs and landings for 20</w:t>
      </w:r>
      <w:r w:rsidR="00C562BE">
        <w:t>2</w:t>
      </w:r>
      <w:r w:rsidR="006F1C22">
        <w:t>2</w:t>
      </w:r>
      <w:r>
        <w:t xml:space="preserve"> are provided in </w:t>
      </w:r>
      <w:r w:rsidR="001D067D">
        <w:t>Appendix 1</w:t>
      </w:r>
      <w:r>
        <w:t>. To support groundfish research and account for unavoidable mortality incurred during the 20</w:t>
      </w:r>
      <w:r w:rsidR="006F1C22">
        <w:t>22</w:t>
      </w:r>
      <w:r>
        <w:t xml:space="preserve"> Groundfish surveys, research catches are allocated before defining the TAC. See </w:t>
      </w:r>
      <w:r w:rsidR="001D067D">
        <w:t>Appendix 1</w:t>
      </w:r>
      <w:r>
        <w:t xml:space="preserve"> for details.</w:t>
      </w:r>
    </w:p>
    <w:p w14:paraId="7CAEFDC7" w14:textId="77777777" w:rsidR="002C0DF4" w:rsidRDefault="002C0DF4" w:rsidP="007E5B97">
      <w:pPr>
        <w:pStyle w:val="Heading2"/>
      </w:pPr>
      <w:bookmarkStart w:id="24" w:name="_Toc131161719"/>
      <w:r>
        <w:t>Atka Mackerel</w:t>
      </w:r>
      <w:bookmarkEnd w:id="24"/>
    </w:p>
    <w:p w14:paraId="69016048" w14:textId="77777777" w:rsidR="007E5B97" w:rsidRPr="007E5B97" w:rsidRDefault="002042BC" w:rsidP="002042BC">
      <w:pPr>
        <w:pStyle w:val="Body"/>
      </w:pPr>
      <w:r>
        <w:t>The distribution of Atka mackerel does not extend into the Canadian zone.</w:t>
      </w:r>
    </w:p>
    <w:p w14:paraId="73762B79" w14:textId="77777777" w:rsidR="002C0DF4" w:rsidRDefault="002C0DF4" w:rsidP="007E5B97">
      <w:pPr>
        <w:pStyle w:val="Heading2"/>
      </w:pPr>
      <w:bookmarkStart w:id="25" w:name="_Toc131161720"/>
      <w:r>
        <w:t>Flatfish</w:t>
      </w:r>
      <w:bookmarkEnd w:id="25"/>
    </w:p>
    <w:p w14:paraId="7A5E70E2" w14:textId="77777777" w:rsidR="007E5B97" w:rsidRDefault="007E5B97" w:rsidP="00D560CF">
      <w:pPr>
        <w:pStyle w:val="Heading3"/>
        <w:numPr>
          <w:ilvl w:val="0"/>
          <w:numId w:val="15"/>
        </w:numPr>
      </w:pPr>
      <w:r>
        <w:t>Research</w:t>
      </w:r>
    </w:p>
    <w:p w14:paraId="0F541941" w14:textId="0235EB3E" w:rsidR="002042BC" w:rsidRPr="002042BC" w:rsidRDefault="002042BC" w:rsidP="002042BC">
      <w:pPr>
        <w:pStyle w:val="Body"/>
      </w:pPr>
      <w:r>
        <w:t xml:space="preserve">Ongoing data collection in support of the flatfish research program, inclusive of Arrowtooth Flounder, </w:t>
      </w:r>
      <w:r w:rsidR="00272623">
        <w:t xml:space="preserve">Petrale Sole, Southern </w:t>
      </w:r>
      <w:r>
        <w:t xml:space="preserve">Rock Sole, Dover Sole, and English Sole continued in </w:t>
      </w:r>
      <w:r w:rsidRPr="008854C6">
        <w:t>20</w:t>
      </w:r>
      <w:r w:rsidR="008638F4" w:rsidRPr="008854C6">
        <w:t>2</w:t>
      </w:r>
      <w:r w:rsidR="00315902">
        <w:t>2</w:t>
      </w:r>
      <w:r w:rsidRPr="008854C6">
        <w:t xml:space="preserve"> </w:t>
      </w:r>
      <w:r>
        <w:t>through survey</w:t>
      </w:r>
      <w:r w:rsidR="00272623">
        <w:t>s</w:t>
      </w:r>
      <w:r w:rsidR="00945A53">
        <w:t xml:space="preserve">. </w:t>
      </w:r>
      <w:r w:rsidR="00D043FA">
        <w:t xml:space="preserve">With the suspension of the At Sea Observer program due to COVID-19, </w:t>
      </w:r>
      <w:r w:rsidR="00945A53">
        <w:t>there was no commercial sampling after March 2020.</w:t>
      </w:r>
    </w:p>
    <w:p w14:paraId="488EE5D1" w14:textId="77777777" w:rsidR="007E5B97" w:rsidRDefault="007E5B97" w:rsidP="007E5B97">
      <w:pPr>
        <w:pStyle w:val="Heading3"/>
      </w:pPr>
      <w:r>
        <w:t>Assessment</w:t>
      </w:r>
    </w:p>
    <w:p w14:paraId="2E8ABBF4" w14:textId="77777777" w:rsidR="002042BC" w:rsidRDefault="0E5EC956" w:rsidP="002042BC">
      <w:pPr>
        <w:pStyle w:val="Heading5"/>
      </w:pPr>
      <w:r>
        <w:t>Arrowtooth Flounder</w:t>
      </w:r>
    </w:p>
    <w:p w14:paraId="678F51BD" w14:textId="65BFCAC7" w:rsidR="00E878D1" w:rsidRDefault="6FD4450E" w:rsidP="387816AB">
      <w:pPr>
        <w:pStyle w:val="Body"/>
        <w:rPr>
          <w:color w:val="1D1C1D"/>
        </w:rPr>
      </w:pPr>
      <w:r>
        <w:t xml:space="preserve">In the past decade, markets were established for </w:t>
      </w:r>
      <w:r w:rsidR="5CB1104A">
        <w:t xml:space="preserve">BC </w:t>
      </w:r>
      <w:r>
        <w:t xml:space="preserve">Arrowtooth Flounder fillets that were frozen at sea and catches </w:t>
      </w:r>
      <w:r w:rsidR="4A19619F">
        <w:t>increased peaking in 2014.</w:t>
      </w:r>
      <w:r w:rsidR="5583CCF8">
        <w:t xml:space="preserve"> </w:t>
      </w:r>
      <w:r w:rsidR="23DCC8A0">
        <w:t>The stock was last assessed in 2016</w:t>
      </w:r>
      <w:r w:rsidR="65D9E9F4">
        <w:t xml:space="preserve"> prior to declines seen in several survey indices</w:t>
      </w:r>
      <w:r w:rsidR="23DCC8A0">
        <w:t xml:space="preserve">. In 2022, the </w:t>
      </w:r>
      <w:r w:rsidR="19C67528">
        <w:t xml:space="preserve">Arrowtooth Flounder </w:t>
      </w:r>
      <w:r w:rsidR="2F1918F6">
        <w:t xml:space="preserve">was updated </w:t>
      </w:r>
      <w:r w:rsidR="00171133">
        <w:t xml:space="preserve">using a </w:t>
      </w:r>
      <w:r w:rsidR="00171133" w:rsidRPr="387816AB">
        <w:rPr>
          <w:color w:val="1D1C1D"/>
        </w:rPr>
        <w:t>two-sex two-fleet Bayesian age-structured assessment model fit to catch, survey index, and age-composition data from the 1996-2021 for a single coastwide stock.</w:t>
      </w:r>
      <w:r w:rsidR="31EA7F80" w:rsidRPr="387816AB">
        <w:rPr>
          <w:color w:val="1D1C1D"/>
        </w:rPr>
        <w:t xml:space="preserve"> Catch data prior to 1996 were not used due to unknown levels of releasing at sea prior to the introduction of at-sea observers. Reference points based on maximum sustainable yield (MSY) were strongly impacted by the relationship between the estimates of maturity and commercial age selectivity; reference points were instead calculated with respect to unfished biomass (B</w:t>
      </w:r>
      <w:r w:rsidR="31EA7F80" w:rsidRPr="387816AB">
        <w:rPr>
          <w:color w:val="1D1C1D"/>
          <w:vertAlign w:val="subscript"/>
        </w:rPr>
        <w:t>0</w:t>
      </w:r>
      <w:r w:rsidR="31EA7F80" w:rsidRPr="387816AB">
        <w:rPr>
          <w:color w:val="1D1C1D"/>
        </w:rPr>
        <w:t xml:space="preserve">). </w:t>
      </w:r>
      <w:r w:rsidR="6E5CFF58" w:rsidRPr="387816AB">
        <w:rPr>
          <w:color w:val="1D1C1D"/>
        </w:rPr>
        <w:t xml:space="preserve">The </w:t>
      </w:r>
      <w:r w:rsidR="4C6D9BBE" w:rsidRPr="387816AB">
        <w:rPr>
          <w:color w:val="1D1C1D"/>
        </w:rPr>
        <w:t xml:space="preserve">model </w:t>
      </w:r>
      <w:r w:rsidR="6E5CFF58" w:rsidRPr="387816AB">
        <w:rPr>
          <w:color w:val="1D1C1D"/>
        </w:rPr>
        <w:t xml:space="preserve">estimated a decline in spawning stock biomass </w:t>
      </w:r>
      <w:r w:rsidR="13DA137F" w:rsidRPr="387816AB">
        <w:rPr>
          <w:color w:val="1D1C1D"/>
        </w:rPr>
        <w:t>from shortly after 2010 until around 2020</w:t>
      </w:r>
      <w:r w:rsidR="3BDFE4FB" w:rsidRPr="387816AB">
        <w:rPr>
          <w:color w:val="1D1C1D"/>
        </w:rPr>
        <w:t xml:space="preserve"> and suggested this decline was partly a result of increased fishing mortality and partly a result of low recruitment over the last decade. The stock was estimated to be above its Limit Reference Point</w:t>
      </w:r>
      <w:r w:rsidR="0EA5700C" w:rsidRPr="387816AB">
        <w:rPr>
          <w:color w:val="1D1C1D"/>
        </w:rPr>
        <w:t xml:space="preserve"> with high probability</w:t>
      </w:r>
      <w:r w:rsidR="3BDFE4FB" w:rsidRPr="387816AB">
        <w:rPr>
          <w:color w:val="1D1C1D"/>
        </w:rPr>
        <w:t xml:space="preserve"> but near its Upper Stock </w:t>
      </w:r>
      <w:r w:rsidR="6A0C9646" w:rsidRPr="387816AB">
        <w:rPr>
          <w:color w:val="1D1C1D"/>
        </w:rPr>
        <w:t>Reference</w:t>
      </w:r>
      <w:r w:rsidR="3BDFE4FB" w:rsidRPr="387816AB">
        <w:rPr>
          <w:color w:val="1D1C1D"/>
        </w:rPr>
        <w:t xml:space="preserve"> point</w:t>
      </w:r>
      <w:r w:rsidR="696C1E42" w:rsidRPr="387816AB">
        <w:rPr>
          <w:color w:val="1D1C1D"/>
        </w:rPr>
        <w:t xml:space="preserve"> as of 2022.</w:t>
      </w:r>
      <w:r w:rsidR="78AFAE00" w:rsidRPr="387816AB">
        <w:rPr>
          <w:color w:val="1D1C1D"/>
        </w:rPr>
        <w:t xml:space="preserve"> A Reference Removal Rate was estimated that would be expected to take the stock to its Upper Stock Reference in the long run (50 years).</w:t>
      </w:r>
      <w:hyperlink r:id="rId109" w:history="1"/>
    </w:p>
    <w:p w14:paraId="29D077AC" w14:textId="395117E1" w:rsidR="00272623" w:rsidRDefault="57ED100F" w:rsidP="00272623">
      <w:pPr>
        <w:pStyle w:val="Heading5"/>
      </w:pPr>
      <w:r>
        <w:t>Petrale Sole</w:t>
      </w:r>
    </w:p>
    <w:p w14:paraId="41EBDC75" w14:textId="022A432B" w:rsidR="00272623" w:rsidRPr="00884725" w:rsidRDefault="57ED100F" w:rsidP="00272623">
      <w:pPr>
        <w:pStyle w:val="Body"/>
      </w:pPr>
      <w:r>
        <w:t xml:space="preserve">Petrale </w:t>
      </w:r>
      <w:r w:rsidR="7CD9A2AC">
        <w:t>S</w:t>
      </w:r>
      <w:r>
        <w:t>ole was last assessed in 2007. In response to a request for updated harvest advice from fishery managers, aging of otoliths was completed in 20</w:t>
      </w:r>
      <w:r w:rsidR="311CB194">
        <w:t>20</w:t>
      </w:r>
      <w:r>
        <w:t xml:space="preserve">. </w:t>
      </w:r>
      <w:r w:rsidR="5C9050BB">
        <w:t>Work</w:t>
      </w:r>
      <w:r>
        <w:t xml:space="preserve"> is currently underway to deliver an updated assessment</w:t>
      </w:r>
      <w:r w:rsidR="5C9050BB">
        <w:t xml:space="preserve"> in 2023-24</w:t>
      </w:r>
      <w:r>
        <w:t>.</w:t>
      </w:r>
    </w:p>
    <w:p w14:paraId="07A486C3" w14:textId="77777777" w:rsidR="002042BC" w:rsidRDefault="1833A612" w:rsidP="002042BC">
      <w:pPr>
        <w:pStyle w:val="Heading5"/>
      </w:pPr>
      <w:r>
        <w:t>Southern Rock Sole</w:t>
      </w:r>
    </w:p>
    <w:p w14:paraId="193AC0D3" w14:textId="30FA352A" w:rsidR="002042BC" w:rsidRPr="00884725" w:rsidRDefault="1833A612" w:rsidP="002042BC">
      <w:pPr>
        <w:pStyle w:val="Body"/>
      </w:pPr>
      <w:r>
        <w:t>Southern Rock sole was last assessed in 2013. No request for updated advice has been received</w:t>
      </w:r>
      <w:r w:rsidR="0155C1C7">
        <w:t>.</w:t>
      </w:r>
    </w:p>
    <w:p w14:paraId="24A42A5B" w14:textId="77777777" w:rsidR="00272623" w:rsidRDefault="00272623" w:rsidP="00272623">
      <w:pPr>
        <w:pStyle w:val="Heading5"/>
      </w:pPr>
      <w:r>
        <w:lastRenderedPageBreak/>
        <w:t>Dover Sole</w:t>
      </w:r>
    </w:p>
    <w:p w14:paraId="7381BB2D" w14:textId="4766B1DB" w:rsidR="00272623" w:rsidRPr="00884725" w:rsidRDefault="3A78373D" w:rsidP="00272623">
      <w:pPr>
        <w:pStyle w:val="Body"/>
      </w:pPr>
      <w:r>
        <w:t xml:space="preserve">Dover sole was last assessed in 1999.  Aging of otoliths </w:t>
      </w:r>
      <w:r w:rsidR="14A12BF0">
        <w:t xml:space="preserve">up to 2016 </w:t>
      </w:r>
      <w:r w:rsidR="23345F62">
        <w:t>was completed in</w:t>
      </w:r>
      <w:r w:rsidR="23345F62" w:rsidRPr="1155EF1C">
        <w:t xml:space="preserve"> 2020 </w:t>
      </w:r>
      <w:r>
        <w:t xml:space="preserve">in anticipation of an updated assessment. </w:t>
      </w:r>
    </w:p>
    <w:p w14:paraId="46702704" w14:textId="77777777" w:rsidR="002042BC" w:rsidRPr="00884725" w:rsidRDefault="002042BC" w:rsidP="002042BC">
      <w:pPr>
        <w:pStyle w:val="Heading5"/>
      </w:pPr>
      <w:r>
        <w:t>English Sole</w:t>
      </w:r>
    </w:p>
    <w:p w14:paraId="420EBBEB" w14:textId="22EAC9E9" w:rsidR="002042BC" w:rsidRPr="00884725" w:rsidRDefault="1833A612" w:rsidP="002042BC">
      <w:pPr>
        <w:pStyle w:val="Body"/>
      </w:pPr>
      <w:r>
        <w:t>English sole was also last assessed in 2007</w:t>
      </w:r>
      <w:r w:rsidR="7A9A4D8D">
        <w:t xml:space="preserve">. </w:t>
      </w:r>
      <w:r>
        <w:t>No request for updated advice has been received.</w:t>
      </w:r>
    </w:p>
    <w:p w14:paraId="2075A5C8" w14:textId="77777777" w:rsidR="007E5B97" w:rsidRPr="002C0DF4" w:rsidRDefault="007E5B97" w:rsidP="007E5B97">
      <w:pPr>
        <w:pStyle w:val="Heading3"/>
      </w:pPr>
      <w:r>
        <w:t>Management</w:t>
      </w:r>
    </w:p>
    <w:p w14:paraId="284760E6" w14:textId="640C896E" w:rsidR="00ED16FB" w:rsidRPr="009306F6" w:rsidRDefault="02BAC8CA" w:rsidP="00ED16FB">
      <w:pPr>
        <w:pStyle w:val="Body"/>
      </w:pPr>
      <w:r>
        <w:t xml:space="preserve">Arrowtooth Flounder, </w:t>
      </w:r>
      <w:r w:rsidR="494855DA">
        <w:t xml:space="preserve">Petrale Sole, </w:t>
      </w:r>
      <w:r>
        <w:t>So</w:t>
      </w:r>
      <w:r w:rsidR="494855DA">
        <w:t>u</w:t>
      </w:r>
      <w:r>
        <w:t>thern Rock Sole, Dover sole</w:t>
      </w:r>
      <w:r w:rsidR="494855DA">
        <w:t>, and English Sole</w:t>
      </w:r>
      <w:r>
        <w:t xml:space="preserve"> are all managed by annual coastwide or area specific TACs and harvested primarily by the IVQ multi- species bottom trawl fishery. </w:t>
      </w:r>
      <w:r w:rsidR="35E9848C">
        <w:t>Commercial TACs and landings for 20</w:t>
      </w:r>
      <w:r w:rsidR="4538969D">
        <w:t>2</w:t>
      </w:r>
      <w:r w:rsidR="015A800F">
        <w:t>2</w:t>
      </w:r>
      <w:r w:rsidR="35E9848C">
        <w:t xml:space="preserve"> are provided in </w:t>
      </w:r>
      <w:r w:rsidR="7DDE5EF8">
        <w:t>Appendix 1</w:t>
      </w:r>
      <w:r w:rsidR="35E9848C">
        <w:t xml:space="preserve">. To support groundfish research and account for unavoidable mortality incurred during the </w:t>
      </w:r>
      <w:r w:rsidR="55530321">
        <w:t>202</w:t>
      </w:r>
      <w:r w:rsidR="015A800F">
        <w:t>2</w:t>
      </w:r>
      <w:r w:rsidR="35E9848C">
        <w:t xml:space="preserve"> Groundfish surveys, research catches are allocated before defining the TAC. See </w:t>
      </w:r>
      <w:r w:rsidR="7DDE5EF8">
        <w:t>Appendix 1</w:t>
      </w:r>
      <w:r w:rsidR="35E9848C">
        <w:t xml:space="preserve"> for details.</w:t>
      </w:r>
    </w:p>
    <w:p w14:paraId="37BFC06A" w14:textId="77777777" w:rsidR="002C0DF4" w:rsidRDefault="002C0DF4" w:rsidP="00945A53">
      <w:pPr>
        <w:pStyle w:val="Heading2"/>
      </w:pPr>
      <w:bookmarkStart w:id="26" w:name="_Toc131161721"/>
      <w:r>
        <w:t>Pacific Halibut &amp; IPHC Activities</w:t>
      </w:r>
      <w:bookmarkEnd w:id="26"/>
    </w:p>
    <w:p w14:paraId="25CCD6FE" w14:textId="1E797AB9" w:rsidR="009A484C" w:rsidRDefault="05F796F2" w:rsidP="011D8235">
      <w:pPr>
        <w:rPr>
          <w:rFonts w:eastAsia="Arial" w:cs="Arial"/>
        </w:rPr>
      </w:pPr>
      <w:r>
        <w:t>Catch and b</w:t>
      </w:r>
      <w:r w:rsidR="7FD8DCCB">
        <w:t>iological data were collected in 202</w:t>
      </w:r>
      <w:r w:rsidR="50F8E9B2">
        <w:t>2</w:t>
      </w:r>
      <w:r w:rsidR="7FD8DCCB">
        <w:t xml:space="preserve"> on trawl and longline surveys. With the suspension of the At Sea Observer program (ASOP) due to COVID-19, there has been no commercial sampling since April 2020. Current trawl-based halibut mortality is estimated using area-based average weights that were determined using historical ASOP data. DFO is currently working with industry reps and service providers to develop a </w:t>
      </w:r>
      <w:proofErr w:type="spellStart"/>
      <w:r w:rsidR="7FD8DCCB">
        <w:t>biosampling</w:t>
      </w:r>
      <w:proofErr w:type="spellEnd"/>
      <w:r w:rsidR="7FD8DCCB">
        <w:t xml:space="preserve"> program to address gaps created from the suspension of ASOP; halibut length sampling will be considered along with other species in its development.</w:t>
      </w:r>
      <w:r>
        <w:t xml:space="preserve"> In 2022, DFO collaborated with the Pacific Halibut Management Association to collect biological samples from the</w:t>
      </w:r>
      <w:r w:rsidR="72558822">
        <w:t xml:space="preserve"> IPHC’s Fishery Independent Setline Survey (FISS)</w:t>
      </w:r>
      <w:r>
        <w:t xml:space="preserve"> during offloads. Sampling was completed by technicians from Archipelago Marine Research. Complete catch data by set was also recorded by skippers in logbooks and uploaded to GFFOS. </w:t>
      </w:r>
      <w:r w:rsidR="36E16E55" w:rsidRPr="387816AB">
        <w:rPr>
          <w:rFonts w:eastAsia="Arial" w:cs="Arial"/>
        </w:rPr>
        <w:t>There were a total of 174 sets in Canadian waters with almost 600 rockfish sampled dockside. All set species catch was submitted by the vessels with 439 Yelloweye Rockfish, 95 Quillback Rockfish and 64 Rougheye/ Blackspotted Rockfish samples attached at the fishing set level using a unique colour/ number tag system.</w:t>
      </w:r>
    </w:p>
    <w:p w14:paraId="23FA68C9" w14:textId="543887CF" w:rsidR="009A484C" w:rsidRDefault="009A484C" w:rsidP="002042BC">
      <w:pPr>
        <w:pStyle w:val="Body"/>
      </w:pPr>
    </w:p>
    <w:p w14:paraId="256054AF" w14:textId="386B4F8C" w:rsidR="006844B5" w:rsidRDefault="05F796F2" w:rsidP="002042BC">
      <w:pPr>
        <w:pStyle w:val="Body"/>
      </w:pPr>
      <w:r>
        <w:t>Work was also undertaken to understand how changes to the IPHC’s Fishery Independent Setline Survey (FISS) design and data collection might affect the assessment and management system for six groundfish stocks in BC, including Outside Yelloweye Rockfish (OYE), Outside Quillback Rockfish, Redbanded Rockfish, Lingcod, North Pacific Spiny Dogfis</w:t>
      </w:r>
      <w:r w:rsidR="08FC78A0">
        <w:t>h</w:t>
      </w:r>
      <w:r>
        <w:t>, and Longnose Skate. Specifically, we evaluate</w:t>
      </w:r>
      <w:r w:rsidR="20D780A8">
        <w:t xml:space="preserve"> </w:t>
      </w:r>
      <w:r>
        <w:t>(1)</w:t>
      </w:r>
      <w:r w:rsidR="2521F4B1">
        <w:t xml:space="preserve"> </w:t>
      </w:r>
      <w:r>
        <w:t>changes to the IPHC FISS design that includes subsampling 2B station off the west coast of Vancouver Island (VI) stations, and</w:t>
      </w:r>
      <w:r w:rsidR="7EEE30EB">
        <w:t xml:space="preserve"> </w:t>
      </w:r>
      <w:r>
        <w:t xml:space="preserve">(2) different IPHC FISS data collection scenarios that will affect survey precision for indices and age composition data. We used random resampling to estimate abundance indices for different species and areas with VI station subsampling and estimated the variance of age composition data for different sample sizes via simulation. The indices with VI subsampling had higher variability (mean CVs ranging from 11% to 51%) and bias (mean bias ranging from-14.6%to 12.5%) compared to the historical IPHC indices without VI subsampling. We developed different data scenarios that account for 1) </w:t>
      </w:r>
      <w:r>
        <w:lastRenderedPageBreak/>
        <w:t>and 2), which were used for testing management procedures (MPs) and fitting catch-at-age assessments for OYE via simulation. The increased variability in IPHC indices had a negligible effect on OYE MP performance for long-term biomass objectives and catch metrics for the next 5-10 years (Doherty and Haggarty 2022).</w:t>
      </w:r>
    </w:p>
    <w:p w14:paraId="0E455BCC" w14:textId="77777777" w:rsidR="00686C21" w:rsidRDefault="00686C21" w:rsidP="00686C21">
      <w:pPr>
        <w:ind w:left="720" w:right="720" w:hanging="720"/>
        <w:rPr>
          <w:rStyle w:val="Hyperlink"/>
          <w:rFonts w:ascii="Segoe UI" w:eastAsia="Segoe UI" w:hAnsi="Segoe UI" w:cs="Segoe UI"/>
          <w:sz w:val="18"/>
          <w:szCs w:val="18"/>
        </w:rPr>
      </w:pPr>
      <w:r w:rsidRPr="387816AB">
        <w:rPr>
          <w:rFonts w:eastAsia="Arial" w:cs="Arial"/>
        </w:rPr>
        <w:t xml:space="preserve">Doherty, B. and </w:t>
      </w:r>
      <w:r w:rsidRPr="387816AB">
        <w:rPr>
          <w:rFonts w:eastAsia="Arial" w:cs="Arial"/>
          <w:b/>
          <w:bCs/>
        </w:rPr>
        <w:t>Haggarty, D.R</w:t>
      </w:r>
      <w:r w:rsidRPr="387816AB">
        <w:rPr>
          <w:rFonts w:eastAsia="Arial" w:cs="Arial"/>
        </w:rPr>
        <w:t xml:space="preserve">. 2022. Evaluation of changes to the IPHC Fishery-Independent Setline Survey (FISS) with implications for management of select groundfish species in British Columbia. Can. Tech. Rep. Fish. </w:t>
      </w:r>
      <w:proofErr w:type="spellStart"/>
      <w:r w:rsidRPr="387816AB">
        <w:rPr>
          <w:rFonts w:eastAsia="Arial" w:cs="Arial"/>
        </w:rPr>
        <w:t>Aquat</w:t>
      </w:r>
      <w:proofErr w:type="spellEnd"/>
      <w:r w:rsidRPr="387816AB">
        <w:rPr>
          <w:rFonts w:eastAsia="Arial" w:cs="Arial"/>
        </w:rPr>
        <w:t xml:space="preserve">. Sci. 3483: vi + 64 p. </w:t>
      </w:r>
      <w:hyperlink r:id="rId110" w:history="1">
        <w:r w:rsidRPr="387816AB">
          <w:rPr>
            <w:rStyle w:val="Hyperlink"/>
            <w:rFonts w:eastAsia="Arial" w:cs="Arial"/>
          </w:rPr>
          <w:t>https://waves-vagues.dfo-mpo.gc.ca/library-bibliotheque/41090895.pdf</w:t>
        </w:r>
      </w:hyperlink>
    </w:p>
    <w:p w14:paraId="10E261E1" w14:textId="1C0D05ED" w:rsidR="17FBC57A" w:rsidRDefault="17FBC57A" w:rsidP="387816AB">
      <w:pPr>
        <w:pStyle w:val="Body"/>
      </w:pPr>
      <w:r>
        <w:t xml:space="preserve">Commercial TACs and landings for </w:t>
      </w:r>
      <w:r w:rsidR="41BF1A33">
        <w:t>20</w:t>
      </w:r>
      <w:r w:rsidR="4F319A73">
        <w:t>2</w:t>
      </w:r>
      <w:r w:rsidR="38449742">
        <w:t>2</w:t>
      </w:r>
      <w:r w:rsidR="41BF1A33">
        <w:t xml:space="preserve"> are provided in </w:t>
      </w:r>
      <w:r w:rsidR="4DD6873E">
        <w:t>Appendix 1</w:t>
      </w:r>
      <w:r>
        <w:t>.</w:t>
      </w:r>
    </w:p>
    <w:p w14:paraId="69064063" w14:textId="77777777" w:rsidR="002C0DF4" w:rsidRPr="00272623" w:rsidRDefault="002C0DF4" w:rsidP="007E5B97">
      <w:pPr>
        <w:pStyle w:val="Heading2"/>
      </w:pPr>
      <w:bookmarkStart w:id="27" w:name="_Toc131161722"/>
      <w:r>
        <w:t>Other Groundfish Species</w:t>
      </w:r>
      <w:bookmarkEnd w:id="27"/>
    </w:p>
    <w:p w14:paraId="53E36784" w14:textId="3D1581FC" w:rsidR="00B809D5" w:rsidRPr="00B809D5" w:rsidRDefault="46405DD2" w:rsidP="00B809D5">
      <w:pPr>
        <w:pStyle w:val="Body"/>
      </w:pPr>
      <w:r>
        <w:t>Nothing to report at this time.</w:t>
      </w:r>
      <w:r w:rsidR="00B809D5">
        <w:br/>
      </w:r>
    </w:p>
    <w:p w14:paraId="4773F9A8" w14:textId="77777777" w:rsidR="002042BC" w:rsidRPr="00272623" w:rsidRDefault="1833A612" w:rsidP="00B809D5">
      <w:pPr>
        <w:pStyle w:val="Heading1"/>
      </w:pPr>
      <w:bookmarkStart w:id="28" w:name="_Toc131161723"/>
      <w:r>
        <w:t>Ecosystem Studies</w:t>
      </w:r>
      <w:bookmarkEnd w:id="28"/>
    </w:p>
    <w:p w14:paraId="3629B9D9" w14:textId="132DD90C" w:rsidR="006F1C22" w:rsidRPr="006F1C22" w:rsidRDefault="009438AB" w:rsidP="006F1C22">
      <w:pPr>
        <w:pStyle w:val="Heading5"/>
      </w:pPr>
      <w:r>
        <w:br/>
      </w:r>
      <w:r w:rsidR="0131B4BE">
        <w:t>Groundfish Data Synopsis</w:t>
      </w:r>
    </w:p>
    <w:p w14:paraId="20B884C9" w14:textId="507C90E7" w:rsidR="00050EC9" w:rsidRDefault="00582997" w:rsidP="00050EC9">
      <w:pPr>
        <w:pStyle w:val="Body"/>
      </w:pPr>
      <w:r>
        <w:t xml:space="preserve">The first </w:t>
      </w:r>
      <w:r w:rsidR="00E96DFD">
        <w:t>phase</w:t>
      </w:r>
      <w:r w:rsidR="00050EC9">
        <w:t xml:space="preserve"> consisted of </w:t>
      </w:r>
      <w:r>
        <w:t xml:space="preserve">a groundfish data synopsis, </w:t>
      </w:r>
      <w:r w:rsidR="00050EC9">
        <w:t xml:space="preserve">as described in the 2019 TSC report. The synopsis </w:t>
      </w:r>
      <w:r>
        <w:t>provide</w:t>
      </w:r>
      <w:r w:rsidR="00050EC9">
        <w:t>s</w:t>
      </w:r>
      <w:r>
        <w:t xml:space="preserve"> a visual snapshot of </w:t>
      </w:r>
      <w:r w:rsidR="00050EC9">
        <w:t>temporal trends and spatial distributions of commercial catches and survey indices</w:t>
      </w:r>
      <w:r>
        <w:t>, growth and maturity characteristics, and data availability for over 100 BC groundfish stocks.</w:t>
      </w:r>
      <w:r w:rsidR="00050EC9">
        <w:t xml:space="preserve"> The synopsis was peer reviewed through </w:t>
      </w:r>
      <w:r w:rsidR="00E96DFD">
        <w:t>a</w:t>
      </w:r>
      <w:r w:rsidR="00050EC9">
        <w:t xml:space="preserve"> </w:t>
      </w:r>
      <w:r w:rsidR="00E96DFD">
        <w:t xml:space="preserve">Canadian Science Advisory Secretariat (CSAS) Regional Peer Review (RPR) </w:t>
      </w:r>
      <w:r w:rsidR="009438AB">
        <w:t xml:space="preserve">process </w:t>
      </w:r>
      <w:r w:rsidR="00E96DFD">
        <w:t xml:space="preserve">in 2018 </w:t>
      </w:r>
      <w:r w:rsidR="009438AB">
        <w:t xml:space="preserve">and published in 2019 as a Research Document (Anderson et al. 2019). An article described the approach to a wider audience (Anderson et al. 2020). An updated synopsis with data </w:t>
      </w:r>
      <w:r w:rsidR="006F1C22">
        <w:t xml:space="preserve">up to 2021 was </w:t>
      </w:r>
      <w:r w:rsidR="009438AB">
        <w:t>published</w:t>
      </w:r>
      <w:r w:rsidR="006F1C22">
        <w:t xml:space="preserve"> in 2022 as a </w:t>
      </w:r>
      <w:hyperlink r:id="rId111">
        <w:r w:rsidR="006F1C22" w:rsidRPr="011D8235">
          <w:rPr>
            <w:rStyle w:val="Hyperlink"/>
          </w:rPr>
          <w:t>Science Response</w:t>
        </w:r>
      </w:hyperlink>
      <w:r w:rsidR="006F1C22">
        <w:t xml:space="preserve"> (DFO 2022)</w:t>
      </w:r>
      <w:r w:rsidR="009438AB">
        <w:t>.</w:t>
      </w:r>
      <w:r w:rsidR="002562BA">
        <w:t xml:space="preserve"> </w:t>
      </w:r>
      <w:r w:rsidR="1CED9CD9">
        <w:t>The authors expect to publish an update in 202</w:t>
      </w:r>
      <w:r w:rsidR="00507B3D">
        <w:t>3</w:t>
      </w:r>
      <w:r w:rsidR="1CED9CD9">
        <w:t xml:space="preserve"> as a DFO Technical Report.</w:t>
      </w:r>
      <w:r w:rsidR="002562BA">
        <w:t xml:space="preserve"> The synopsis </w:t>
      </w:r>
      <w:r w:rsidR="006F1C22">
        <w:t xml:space="preserve">code </w:t>
      </w:r>
      <w:r w:rsidR="5F1B4D76">
        <w:t xml:space="preserve">and link to the latest version </w:t>
      </w:r>
      <w:r w:rsidR="206FC716">
        <w:t>are</w:t>
      </w:r>
      <w:r w:rsidR="002562BA">
        <w:t xml:space="preserve"> available on </w:t>
      </w:r>
      <w:hyperlink r:id="rId112">
        <w:r w:rsidR="002562BA" w:rsidRPr="011D8235">
          <w:rPr>
            <w:rStyle w:val="Hyperlink"/>
          </w:rPr>
          <w:t>GitHub</w:t>
        </w:r>
      </w:hyperlink>
      <w:r w:rsidR="002562BA">
        <w:t xml:space="preserve">. </w:t>
      </w:r>
    </w:p>
    <w:p w14:paraId="319826A2" w14:textId="3DAA33C0" w:rsidR="00196C79" w:rsidRPr="00196C79" w:rsidRDefault="00196C79" w:rsidP="00196C79">
      <w:pPr>
        <w:pStyle w:val="Body"/>
        <w:rPr>
          <w:i/>
        </w:rPr>
      </w:pPr>
      <w:r w:rsidRPr="00196C79">
        <w:rPr>
          <w:i/>
        </w:rPr>
        <w:t>Disentangling the impacts of environmental change and commercial fishing on Canadian Groundfish biodiversity</w:t>
      </w:r>
    </w:p>
    <w:p w14:paraId="75F06DD1" w14:textId="71006C32" w:rsidR="00196C79" w:rsidRDefault="6295AAE0" w:rsidP="00196C79">
      <w:pPr>
        <w:pStyle w:val="Body"/>
      </w:pPr>
      <w:r w:rsidRPr="1155EF1C">
        <w:rPr>
          <w:lang w:val="en-US"/>
        </w:rPr>
        <w:t>Using a spatiotemporal multispecies model based on fisheries independent data from the synoptic bottom trawls, Thompson et al</w:t>
      </w:r>
      <w:r w:rsidR="01C493C5" w:rsidRPr="1155EF1C">
        <w:rPr>
          <w:lang w:val="en-US"/>
        </w:rPr>
        <w:t>.</w:t>
      </w:r>
      <w:r w:rsidRPr="1155EF1C">
        <w:rPr>
          <w:lang w:val="en-US"/>
        </w:rPr>
        <w:t xml:space="preserve"> (</w:t>
      </w:r>
      <w:hyperlink r:id="rId113">
        <w:r w:rsidRPr="1155EF1C">
          <w:rPr>
            <w:rStyle w:val="Hyperlink"/>
            <w:lang w:val="en-US"/>
          </w:rPr>
          <w:t>2022</w:t>
        </w:r>
      </w:hyperlink>
      <w:r w:rsidRPr="1155EF1C">
        <w:rPr>
          <w:lang w:val="en-US"/>
        </w:rPr>
        <w:t xml:space="preserve">) found that groundfish species density (number of species per area) and community biomass have increased since 2003. Environmental changes during this period were associated with temporal fluctuations in the biomass of species and the community as a whole. However, environmental changes were less associated with changes in species occurrence. Thus, the estimated increases in species density are not likely to be due to environmental change. Instead, the results are consistent with an ongoing recovery of the demersal fish community from a reduction in commercial fishing intensity from historical levels. These findings provide key insight into the drivers of biodiversity change that can inform ecosystem-based management. The results are important to understanding the joint influence of ongoing environmental change and fishing pressure and emphasizes the value of robust biodiversity monitoring and analyses that jointly account for potential drivers of change. </w:t>
      </w:r>
    </w:p>
    <w:p w14:paraId="33B1DF8F" w14:textId="25D68424" w:rsidR="006F1C22" w:rsidRPr="00196C79" w:rsidRDefault="006F1C22" w:rsidP="00050EC9">
      <w:pPr>
        <w:pStyle w:val="Body"/>
        <w:rPr>
          <w:i/>
        </w:rPr>
      </w:pPr>
      <w:r w:rsidRPr="00196C79">
        <w:rPr>
          <w:i/>
        </w:rPr>
        <w:lastRenderedPageBreak/>
        <w:t>Groundfish Species Distribution Modeling</w:t>
      </w:r>
    </w:p>
    <w:p w14:paraId="2796EFC5" w14:textId="3A0E796B" w:rsidR="006F1C22" w:rsidRDefault="100CCD0F" w:rsidP="00196C79">
      <w:pPr>
        <w:pStyle w:val="Body"/>
      </w:pPr>
      <w:r>
        <w:t>Species distribution models were made for numerous Canadian Groundfish using data from synoptic trawl and longline fishery-independent surveys Species (</w:t>
      </w:r>
      <w:hyperlink r:id="rId114">
        <w:r w:rsidRPr="011D8235">
          <w:rPr>
            <w:rStyle w:val="Hyperlink"/>
          </w:rPr>
          <w:t>Thompson et al. 2023</w:t>
        </w:r>
        <w:r w:rsidR="6B4AA1A9" w:rsidRPr="011D8235">
          <w:rPr>
            <w:rStyle w:val="Hyperlink"/>
          </w:rPr>
          <w:t>a</w:t>
        </w:r>
      </w:hyperlink>
      <w:r>
        <w:t xml:space="preserve">). They demonstrated a method for integrating presence–absence data across surveys and gear types that allows them to predict the coastwide distributions of 65 groundfish species in British Columbia. The model leverages data from multiple surveys to estimate how species respond to environmental gradients while accounting for differences in survey catchability. They found that this method had two main benefits: (1) it increases the accuracy of predictions in data-limited surveys and regions while having negligible impacts on accuracy when data are already sufficient, and (2) it reduces uncertainty, resulting in tighter confidence intervals on predicted occurrences. These benefits are particularly relevant in areas of our coast where our understanding of habitat suitability is limited due to a lack of spatially comprehensive long-term groundfish surveys. The authors also coded a </w:t>
      </w:r>
      <w:hyperlink r:id="rId115">
        <w:r w:rsidRPr="011D8235">
          <w:rPr>
            <w:rStyle w:val="Hyperlink"/>
          </w:rPr>
          <w:t>Shiny App</w:t>
        </w:r>
      </w:hyperlink>
      <w:r>
        <w:t xml:space="preserve"> to plot the species distribution of species of interest. </w:t>
      </w:r>
    </w:p>
    <w:p w14:paraId="17B1EA82" w14:textId="2C0BDA60" w:rsidR="005D0F34" w:rsidRDefault="6823A4AE" w:rsidP="00196C79">
      <w:pPr>
        <w:pStyle w:val="Body"/>
      </w:pPr>
      <w:r>
        <w:t xml:space="preserve">Similar techniques were applied to International Pacific Halibut Commission longline survey data stretching from Alaska to California in order to assess the potential </w:t>
      </w:r>
      <w:r w:rsidR="731AC1CD">
        <w:t xml:space="preserve">distributional changes </w:t>
      </w:r>
      <w:r>
        <w:t>of the species</w:t>
      </w:r>
      <w:r w:rsidR="52D1BA66">
        <w:t xml:space="preserve"> under future climate change scenarios (</w:t>
      </w:r>
      <w:hyperlink r:id="rId116">
        <w:r w:rsidR="30E6D463" w:rsidRPr="387816AB">
          <w:rPr>
            <w:rStyle w:val="Hyperlink"/>
          </w:rPr>
          <w:t>Thompson et al. 2023b</w:t>
        </w:r>
        <w:r w:rsidR="29D64EF7" w:rsidRPr="387816AB">
          <w:rPr>
            <w:rStyle w:val="Hyperlink"/>
          </w:rPr>
          <w:t>)</w:t>
        </w:r>
        <w:r w:rsidR="46A06017" w:rsidRPr="387816AB">
          <w:rPr>
            <w:rStyle w:val="Hyperlink"/>
          </w:rPr>
          <w:t>.</w:t>
        </w:r>
      </w:hyperlink>
      <w:r w:rsidR="29D64EF7">
        <w:t xml:space="preserve"> The results of this modeling </w:t>
      </w:r>
      <w:r w:rsidR="59919F0A">
        <w:t>showed that Pacific halibut appear sensitive to changes in dissolved oxygen, yet relatively tolerant of increases in temperature. The climate projections resulted in decreases in di</w:t>
      </w:r>
      <w:r w:rsidR="39C02DE6">
        <w:t>ssolved oxygen near the seafloor in shallow</w:t>
      </w:r>
      <w:r w:rsidR="08850312">
        <w:t xml:space="preserve"> waters</w:t>
      </w:r>
      <w:r w:rsidR="39C02DE6">
        <w:t xml:space="preserve"> which is likely to decrease the overall abundance of smaller halibut</w:t>
      </w:r>
      <w:r w:rsidR="0608D16C">
        <w:t xml:space="preserve"> by the middle of the century</w:t>
      </w:r>
      <w:r w:rsidR="39C02DE6">
        <w:t>. In contrast, larger halibut, which inhabit</w:t>
      </w:r>
      <w:r w:rsidR="4D6797D7">
        <w:t xml:space="preserve"> deeper waters showed a mixed response to future climate change, but this mostly reflected uncertainty around trends in oxygen concentration at mid-depths (300-600 m).</w:t>
      </w:r>
      <w:r w:rsidR="68055C33">
        <w:t xml:space="preserve"> A complementary analysis was published in by Franco et al</w:t>
      </w:r>
      <w:r w:rsidR="4D6797D7">
        <w:t xml:space="preserve"> </w:t>
      </w:r>
      <w:r w:rsidR="7D8B48CC">
        <w:t>(2022) and indicates that the projected decrease in suitable habitat for halibut will likely continue until the end of the 21</w:t>
      </w:r>
      <w:r w:rsidR="7D8B48CC" w:rsidRPr="387816AB">
        <w:rPr>
          <w:vertAlign w:val="superscript"/>
        </w:rPr>
        <w:t>st</w:t>
      </w:r>
      <w:r w:rsidR="7D8B48CC">
        <w:t xml:space="preserve"> century. </w:t>
      </w:r>
      <w:r w:rsidR="4D6797D7">
        <w:t xml:space="preserve">The </w:t>
      </w:r>
      <w:r w:rsidR="048D34B4">
        <w:t>Thompson et al (202</w:t>
      </w:r>
      <w:r w:rsidR="6FCB5F83">
        <w:t>3b)</w:t>
      </w:r>
      <w:r w:rsidR="048D34B4">
        <w:t xml:space="preserve"> </w:t>
      </w:r>
      <w:r w:rsidR="4D6797D7">
        <w:t xml:space="preserve">paper was </w:t>
      </w:r>
      <w:r w:rsidR="38015325">
        <w:t xml:space="preserve">part of a collection of papers on Pacific halibut that arose from a 2018 PICES workshop held in Victoria BC. </w:t>
      </w:r>
      <w:r w:rsidR="419E05A1">
        <w:t xml:space="preserve">The full issue can be found </w:t>
      </w:r>
      <w:hyperlink r:id="rId117">
        <w:r w:rsidR="419E05A1" w:rsidRPr="387816AB">
          <w:rPr>
            <w:rStyle w:val="Hyperlink"/>
          </w:rPr>
          <w:t>here</w:t>
        </w:r>
      </w:hyperlink>
      <w:r w:rsidR="419E05A1">
        <w:t>.</w:t>
      </w:r>
    </w:p>
    <w:p w14:paraId="211B9E7D" w14:textId="2BB7E8FA" w:rsidR="490425B0" w:rsidRDefault="490425B0" w:rsidP="490425B0">
      <w:pPr>
        <w:pStyle w:val="Body"/>
      </w:pPr>
    </w:p>
    <w:p w14:paraId="0678C4CB" w14:textId="05672053" w:rsidR="4DB3F00F" w:rsidRDefault="4DB3F00F" w:rsidP="387816AB">
      <w:pPr>
        <w:pStyle w:val="Body"/>
        <w:keepNext/>
      </w:pPr>
      <w:r>
        <w:t>Literature Cited:</w:t>
      </w:r>
    </w:p>
    <w:p w14:paraId="276976BB" w14:textId="1FEC56C1" w:rsidR="00E96DFD" w:rsidRDefault="58B6F2C6" w:rsidP="5C92B3F9">
      <w:pPr>
        <w:pStyle w:val="Citation"/>
      </w:pPr>
      <w:r w:rsidRPr="00DF5238">
        <w:rPr>
          <w:b/>
        </w:rPr>
        <w:t xml:space="preserve">Anderson, S.C., Keppel, E.A., </w:t>
      </w:r>
      <w:r w:rsidR="682C1C11" w:rsidRPr="00DF5238">
        <w:rPr>
          <w:b/>
        </w:rPr>
        <w:t xml:space="preserve">and </w:t>
      </w:r>
      <w:r w:rsidRPr="00DF5238">
        <w:rPr>
          <w:b/>
        </w:rPr>
        <w:t>Edwards, A.M</w:t>
      </w:r>
      <w:r>
        <w:t xml:space="preserve">. 2019. A reproducible data synopsis for over 100 species of British Columbia groundfish. DFO Can. Sci. </w:t>
      </w:r>
      <w:proofErr w:type="spellStart"/>
      <w:r>
        <w:t>Advis</w:t>
      </w:r>
      <w:proofErr w:type="spellEnd"/>
      <w:r>
        <w:t xml:space="preserve">. Sec. Res. Doc. 2019/041. vii + 321 p. </w:t>
      </w:r>
      <w:hyperlink r:id="rId118">
        <w:r w:rsidRPr="36F5592C">
          <w:rPr>
            <w:rStyle w:val="Hyperlink"/>
          </w:rPr>
          <w:t>http://www.dfo-mpo.gc.ca/csas-sccs/Publications/ResDocs-DocRech/2019/2019_041-eng.html</w:t>
        </w:r>
      </w:hyperlink>
      <w:r>
        <w:t xml:space="preserve"> </w:t>
      </w:r>
    </w:p>
    <w:p w14:paraId="5DE4E64D" w14:textId="01441594" w:rsidR="00E96DFD" w:rsidRDefault="13A34972" w:rsidP="5C92B3F9">
      <w:pPr>
        <w:pStyle w:val="Citation"/>
      </w:pPr>
      <w:r w:rsidRPr="00DF5238">
        <w:rPr>
          <w:b/>
        </w:rPr>
        <w:t>Anderson, S.C., Keppel,</w:t>
      </w:r>
      <w:r w:rsidR="2046AB86" w:rsidRPr="00DF5238">
        <w:rPr>
          <w:b/>
        </w:rPr>
        <w:t xml:space="preserve"> E.A.,</w:t>
      </w:r>
      <w:r w:rsidR="6365F7B6" w:rsidRPr="00DF5238">
        <w:rPr>
          <w:b/>
        </w:rPr>
        <w:t xml:space="preserve"> and</w:t>
      </w:r>
      <w:r w:rsidRPr="00DF5238">
        <w:rPr>
          <w:b/>
        </w:rPr>
        <w:t xml:space="preserve"> Edwards</w:t>
      </w:r>
      <w:r w:rsidR="2511E932" w:rsidRPr="00DF5238">
        <w:rPr>
          <w:b/>
        </w:rPr>
        <w:t>, A.M</w:t>
      </w:r>
      <w:r w:rsidR="2511E932">
        <w:t>.</w:t>
      </w:r>
      <w:r>
        <w:t xml:space="preserve">. 2020. </w:t>
      </w:r>
      <w:r w:rsidR="51215CF5">
        <w:t xml:space="preserve">Reproducible visualization of raw fisheries data for 113 species improves transparency, assessment efficiency, and monitoring. Fisheries, 45(10):535-543. </w:t>
      </w:r>
      <w:hyperlink r:id="rId119">
        <w:r w:rsidRPr="1155EF1C">
          <w:rPr>
            <w:rStyle w:val="Hyperlink"/>
          </w:rPr>
          <w:t>https://doi.org/10.1002/fsh.10441</w:t>
        </w:r>
      </w:hyperlink>
      <w:r>
        <w:t xml:space="preserve"> </w:t>
      </w:r>
    </w:p>
    <w:p w14:paraId="5496F024" w14:textId="24D41515" w:rsidR="490425B0" w:rsidRDefault="73265CBE" w:rsidP="1A3D8640">
      <w:pPr>
        <w:spacing w:after="240"/>
        <w:ind w:left="720" w:hanging="720"/>
        <w:rPr>
          <w:rFonts w:eastAsiaTheme="minorEastAsia"/>
        </w:rPr>
      </w:pPr>
      <w:r w:rsidRPr="38A1CA3A">
        <w:rPr>
          <w:rFonts w:eastAsiaTheme="minorEastAsia"/>
        </w:rPr>
        <w:t xml:space="preserve">Franco, A.C., Kim, H., </w:t>
      </w:r>
      <w:proofErr w:type="spellStart"/>
      <w:r w:rsidRPr="38A1CA3A">
        <w:rPr>
          <w:rFonts w:eastAsiaTheme="minorEastAsia"/>
        </w:rPr>
        <w:t>Frenzel</w:t>
      </w:r>
      <w:proofErr w:type="spellEnd"/>
      <w:r w:rsidRPr="38A1CA3A">
        <w:rPr>
          <w:rFonts w:eastAsiaTheme="minorEastAsia"/>
        </w:rPr>
        <w:t xml:space="preserve">, H., Deutsch, C., </w:t>
      </w:r>
      <w:proofErr w:type="spellStart"/>
      <w:r w:rsidRPr="00DF5238">
        <w:rPr>
          <w:rFonts w:eastAsiaTheme="minorEastAsia"/>
          <w:b/>
        </w:rPr>
        <w:t>Ianson</w:t>
      </w:r>
      <w:proofErr w:type="spellEnd"/>
      <w:r w:rsidRPr="00DF5238">
        <w:rPr>
          <w:rFonts w:eastAsiaTheme="minorEastAsia"/>
          <w:b/>
        </w:rPr>
        <w:t>, D.,</w:t>
      </w:r>
      <w:r w:rsidRPr="38A1CA3A">
        <w:rPr>
          <w:rFonts w:eastAsiaTheme="minorEastAsia"/>
        </w:rPr>
        <w:t xml:space="preserve"> Sumaila, R.U., </w:t>
      </w:r>
      <w:proofErr w:type="spellStart"/>
      <w:r w:rsidRPr="38A1CA3A">
        <w:rPr>
          <w:rFonts w:eastAsiaTheme="minorEastAsia"/>
        </w:rPr>
        <w:t>Tortell</w:t>
      </w:r>
      <w:proofErr w:type="spellEnd"/>
      <w:r w:rsidRPr="38A1CA3A">
        <w:rPr>
          <w:rFonts w:eastAsiaTheme="minorEastAsia"/>
        </w:rPr>
        <w:t>, P.D., 2022 Impact of warming and deox</w:t>
      </w:r>
      <w:r w:rsidR="5B48D41F" w:rsidRPr="38A1CA3A">
        <w:rPr>
          <w:rFonts w:eastAsiaTheme="minorEastAsia"/>
        </w:rPr>
        <w:t>y</w:t>
      </w:r>
      <w:r w:rsidRPr="38A1CA3A">
        <w:rPr>
          <w:rFonts w:eastAsiaTheme="minorEastAsia"/>
        </w:rPr>
        <w:t>genation on the habitat distribution of Pacific halibut in the Northeast Pacific. Fisheries Oceanography</w:t>
      </w:r>
      <w:r w:rsidR="376572C4" w:rsidRPr="38A1CA3A">
        <w:rPr>
          <w:rFonts w:eastAsiaTheme="minorEastAsia"/>
        </w:rPr>
        <w:t xml:space="preserve">, 31(6): 601-614. </w:t>
      </w:r>
      <w:hyperlink r:id="rId120">
        <w:r w:rsidR="5DFB4725" w:rsidRPr="38A1CA3A">
          <w:rPr>
            <w:rStyle w:val="Hyperlink"/>
            <w:rFonts w:eastAsiaTheme="minorEastAsia"/>
          </w:rPr>
          <w:t>https://doi.org/10.1111/fog.12610</w:t>
        </w:r>
      </w:hyperlink>
    </w:p>
    <w:p w14:paraId="029B97A1" w14:textId="37336CE3" w:rsidR="491B98CF" w:rsidRDefault="491B98CF" w:rsidP="1155EF1C">
      <w:pPr>
        <w:pStyle w:val="Citation"/>
        <w:rPr>
          <w:rStyle w:val="Hyperlink"/>
        </w:rPr>
      </w:pPr>
      <w:r>
        <w:lastRenderedPageBreak/>
        <w:t xml:space="preserve">DFO. 2022. A data synopsis for British Columbia groundfish: 2021 data update. DFO Can. Sci. </w:t>
      </w:r>
      <w:proofErr w:type="spellStart"/>
      <w:r>
        <w:t>Advis</w:t>
      </w:r>
      <w:proofErr w:type="spellEnd"/>
      <w:r>
        <w:t xml:space="preserve">. Sec. Sci. Resp. 2022/020. </w:t>
      </w:r>
      <w:hyperlink r:id="rId121">
        <w:r w:rsidRPr="1155EF1C">
          <w:rPr>
            <w:rStyle w:val="Hyperlink"/>
          </w:rPr>
          <w:t>https://www.dfo-mpo.gc.ca/csas-sccs/Publications/ScR-RS/2022/2022_020-eng.html</w:t>
        </w:r>
      </w:hyperlink>
    </w:p>
    <w:p w14:paraId="3C508FDE" w14:textId="47B48915" w:rsidR="2B143914" w:rsidRPr="00686C21" w:rsidRDefault="2B143914" w:rsidP="1155EF1C">
      <w:pPr>
        <w:pStyle w:val="Citation"/>
      </w:pPr>
      <w:r w:rsidRPr="00DF5238">
        <w:rPr>
          <w:b/>
        </w:rPr>
        <w:t xml:space="preserve">Thompson, P.J., </w:t>
      </w:r>
      <w:r w:rsidRPr="00DF5238">
        <w:rPr>
          <w:b/>
          <w:bCs/>
        </w:rPr>
        <w:t>Anderson, S.C.</w:t>
      </w:r>
      <w:r w:rsidRPr="00DF5238">
        <w:rPr>
          <w:b/>
        </w:rPr>
        <w:t xml:space="preserve">, Nephin, J., </w:t>
      </w:r>
      <w:r w:rsidRPr="00DF5238">
        <w:rPr>
          <w:b/>
          <w:bCs/>
        </w:rPr>
        <w:t>Haggarty, D.R.</w:t>
      </w:r>
      <w:r w:rsidRPr="00DF5238">
        <w:rPr>
          <w:b/>
        </w:rPr>
        <w:t xml:space="preserve"> Peña, M.A., </w:t>
      </w:r>
      <w:r w:rsidRPr="00DF5238">
        <w:rPr>
          <w:b/>
          <w:bCs/>
        </w:rPr>
        <w:t>English, P.A.,</w:t>
      </w:r>
      <w:r w:rsidRPr="00DF5238">
        <w:rPr>
          <w:b/>
        </w:rPr>
        <w:t xml:space="preserve"> Gale, K.S.P., Rubidge, E</w:t>
      </w:r>
      <w:r w:rsidRPr="00686C21">
        <w:t xml:space="preserve">. 2022. Disentangling the impacts of environmental change and commercial fishing on demersal fish biodiversity in a northeast Pacific ecosystem.  Marine Ecology Progress Series. 689:137-154. </w:t>
      </w:r>
      <w:hyperlink r:id="rId122">
        <w:r w:rsidRPr="00686C21">
          <w:rPr>
            <w:rStyle w:val="Hyperlink"/>
          </w:rPr>
          <w:t>https://doi.org/10.3354/meps14034</w:t>
        </w:r>
      </w:hyperlink>
    </w:p>
    <w:p w14:paraId="38EFB24D" w14:textId="6507363D" w:rsidR="2B143914" w:rsidRPr="00686C21" w:rsidRDefault="2B143914" w:rsidP="1155EF1C">
      <w:pPr>
        <w:pStyle w:val="Citation"/>
      </w:pPr>
      <w:r w:rsidRPr="00DF5238">
        <w:rPr>
          <w:b/>
        </w:rPr>
        <w:t xml:space="preserve">Thompson, P.L., </w:t>
      </w:r>
      <w:r w:rsidRPr="00DF5238">
        <w:rPr>
          <w:b/>
          <w:bCs/>
        </w:rPr>
        <w:t>S.C. Anderson</w:t>
      </w:r>
      <w:r w:rsidRPr="00DF5238">
        <w:rPr>
          <w:b/>
        </w:rPr>
        <w:t xml:space="preserve">, J. Nephin, C.K. Robb, B. Proudfoot, A.E. Park, </w:t>
      </w:r>
      <w:r w:rsidRPr="00DF5238">
        <w:rPr>
          <w:b/>
          <w:bCs/>
        </w:rPr>
        <w:t>D.R. Haggarty</w:t>
      </w:r>
      <w:r w:rsidRPr="00DF5238">
        <w:rPr>
          <w:b/>
        </w:rPr>
        <w:t>, E.M. Rubidge.</w:t>
      </w:r>
      <w:r w:rsidRPr="00686C21">
        <w:t xml:space="preserve"> 2023a. Integrating trawl and longline surveys across British Columbia improves groundfish distribution predictions. Can. J. Fish. </w:t>
      </w:r>
      <w:proofErr w:type="spellStart"/>
      <w:r w:rsidRPr="00686C21">
        <w:t>Aquat</w:t>
      </w:r>
      <w:proofErr w:type="spellEnd"/>
      <w:r w:rsidRPr="00686C21">
        <w:t>. Sci. 80(1): 195–210. https://doi.org/10.1139/cjfas-2022-0108.</w:t>
      </w:r>
    </w:p>
    <w:p w14:paraId="7B407AF0" w14:textId="2D077B8D" w:rsidR="2B143914" w:rsidRPr="00686C21" w:rsidRDefault="2B143914" w:rsidP="1155EF1C">
      <w:pPr>
        <w:pStyle w:val="Citation"/>
      </w:pPr>
      <w:r w:rsidRPr="00DF5238">
        <w:rPr>
          <w:b/>
        </w:rPr>
        <w:t xml:space="preserve">Thompson, P.L., </w:t>
      </w:r>
      <w:r w:rsidRPr="00DF5238">
        <w:rPr>
          <w:b/>
          <w:bCs/>
        </w:rPr>
        <w:t>Rooper, C.N.</w:t>
      </w:r>
      <w:r w:rsidRPr="00DF5238">
        <w:rPr>
          <w:b/>
        </w:rPr>
        <w:t>, Nephin, J., Park, A.E., Christian, J.R., Davies, S.C., Hunter, K., Lyons, D.A., Peña, M.A., Proudfoot, B. and Rubidge, E.M.,</w:t>
      </w:r>
      <w:r w:rsidRPr="00686C21">
        <w:t xml:space="preserve"> 2023b. Response of Pacific halibut (</w:t>
      </w:r>
      <w:r w:rsidRPr="00686C21">
        <w:rPr>
          <w:i/>
          <w:iCs/>
        </w:rPr>
        <w:t>Hippoglossus stenolepis</w:t>
      </w:r>
      <w:r w:rsidRPr="00686C21">
        <w:t>) to future climate scenarios in the Northeast Pacific Ocean. Fisheries Research, 258, p.106540. https://doi.org/10.1016/j.fishres.2022.106540</w:t>
      </w:r>
    </w:p>
    <w:p w14:paraId="4A12AD71" w14:textId="77777777" w:rsidR="002042BC" w:rsidRPr="00755C03" w:rsidRDefault="002042BC" w:rsidP="00B809D5">
      <w:pPr>
        <w:pStyle w:val="Heading1"/>
      </w:pPr>
      <w:bookmarkStart w:id="29" w:name="_Toc131161724"/>
      <w:r>
        <w:t>Other related studies</w:t>
      </w:r>
      <w:bookmarkEnd w:id="29"/>
    </w:p>
    <w:p w14:paraId="0A9E73A1" w14:textId="77777777" w:rsidR="00686C21" w:rsidRDefault="00686C21" w:rsidP="00686C21">
      <w:pPr>
        <w:pStyle w:val="Body"/>
      </w:pPr>
      <w:bookmarkStart w:id="30" w:name="_Toc131161725"/>
      <w:r w:rsidRPr="387816AB">
        <w:rPr>
          <w:i/>
          <w:iCs/>
        </w:rPr>
        <w:t>State of the Pacific Ocean Report</w:t>
      </w:r>
    </w:p>
    <w:p w14:paraId="7BC6915F" w14:textId="77777777" w:rsidR="00686C21" w:rsidRDefault="00686C21" w:rsidP="00686C21">
      <w:pPr>
        <w:pStyle w:val="Body"/>
      </w:pPr>
      <w:r>
        <w:t xml:space="preserve">Anderson, English, and Dunic contributed a chapter to the 2023 State of the Pacific Ocean report and presented on the work at the annual meeting. This involved synthesizing the most recent stock status for all assessed stocks since 2010, fitting a state-space time series model to trends in stock status to derive an overall average trend, and combining assessed status time series with recent </w:t>
      </w:r>
      <w:proofErr w:type="spellStart"/>
      <w:r>
        <w:t>geostatistical</w:t>
      </w:r>
      <w:proofErr w:type="spellEnd"/>
      <w:r>
        <w:t xml:space="preserve"> survey indices to provide insight into recent stock trends since stocks were last assessed. The state-space time series modelling indicated that average BC groundfish stock status declined from 1950 to around 2000, and following management changes, has remained relatively stable since. The </w:t>
      </w:r>
      <w:proofErr w:type="spellStart"/>
      <w:r>
        <w:t>geostatistical</w:t>
      </w:r>
      <w:proofErr w:type="spellEnd"/>
      <w:r>
        <w:t xml:space="preserve"> survey modelling revealed several findings. First, survey indices increased for ~70% of stocks over the last two decades, remained neutral for ~15%, and declined for ~15% of stocks. Second, over the last 5-7 years, all assessed shelf rockfish (Bocaccio, Canary, Redstripe, Silvergray, Widow, Yellowtail) and several slope rockfish increased in surveyed biomass. Over the last 5-10 years, survey indexes also increased for several flatfish (Petrale, English, Rex, and Dover Sole) but declined for Arrowtooth Flounder. Third, despite low levels of fishing mortality compared to historical levels, survey indices for North Pacific Spiny Dogfish stocks had the steepest declines across all stocks.</w:t>
      </w:r>
    </w:p>
    <w:p w14:paraId="0BC3D7F6" w14:textId="77777777" w:rsidR="00686C21" w:rsidRDefault="00686C21" w:rsidP="00686C21">
      <w:pPr>
        <w:pStyle w:val="Body"/>
        <w:rPr>
          <w:i/>
          <w:iCs/>
        </w:rPr>
      </w:pPr>
      <w:r w:rsidRPr="387816AB">
        <w:rPr>
          <w:i/>
          <w:iCs/>
        </w:rPr>
        <w:t>Hook Competition</w:t>
      </w:r>
    </w:p>
    <w:p w14:paraId="7340A1F3" w14:textId="6E009BF1" w:rsidR="00686C21" w:rsidRDefault="00686C21" w:rsidP="00686C21">
      <w:pPr>
        <w:rPr>
          <w:rFonts w:eastAsiaTheme="minorEastAsia"/>
        </w:rPr>
      </w:pPr>
      <w:r w:rsidRPr="011D8235">
        <w:rPr>
          <w:rFonts w:eastAsiaTheme="minorEastAsia"/>
        </w:rPr>
        <w:t xml:space="preserve">Competition for bait on a finite number of hooks leads to biased estimates of relative abundance. If 1000 baited hooks are deployed and all the hooks catch a fish it is important to account for the fish that would have been caught if more hooks had been used. Additionally, fish that are not as quick to get to the baits as the fish that were caught can affect relative abundance estimates. Watson et al. (2023) developed a new statistical method for dealing with </w:t>
      </w:r>
      <w:r w:rsidRPr="011D8235">
        <w:rPr>
          <w:rFonts w:eastAsiaTheme="minorEastAsia"/>
        </w:rPr>
        <w:lastRenderedPageBreak/>
        <w:t>this long-standing problem. This method treats some observations as right-censored, such that observed catch counts are considered as a lower bound on what would have been observed in the absence of hook competition, outperformed previous methods. By using simulation experiments and applying it to data from Canadian waters, from the International Pacific Halibut Commission fishery-independent setline survey, they found that it can greatly change estimates of fish abundance. It can halve them or even double them compared to existing methods. Template R code is provided for users to apply the method to their own data.</w:t>
      </w:r>
    </w:p>
    <w:p w14:paraId="286B5826" w14:textId="77777777" w:rsidR="00DF5238" w:rsidRDefault="00DF5238" w:rsidP="00686C21">
      <w:pPr>
        <w:rPr>
          <w:rFonts w:eastAsiaTheme="minorEastAsia"/>
        </w:rPr>
      </w:pPr>
    </w:p>
    <w:p w14:paraId="1722B2AE" w14:textId="77777777" w:rsidR="00DF5238" w:rsidRDefault="00DF5238" w:rsidP="00DF5238">
      <w:pPr>
        <w:pStyle w:val="Body"/>
        <w:keepNext/>
      </w:pPr>
      <w:r>
        <w:t>Literature Cited:</w:t>
      </w:r>
    </w:p>
    <w:p w14:paraId="26392EA4" w14:textId="57791543" w:rsidR="00686C21" w:rsidRDefault="00686C21" w:rsidP="00DF5238">
      <w:pPr>
        <w:pStyle w:val="Citation"/>
      </w:pPr>
      <w:r w:rsidRPr="00DF5238">
        <w:rPr>
          <w:b/>
        </w:rPr>
        <w:t>Watson, J., A.M. Edwards</w:t>
      </w:r>
      <w:r w:rsidRPr="00686C21">
        <w:t>, and M. Auger-</w:t>
      </w:r>
      <w:proofErr w:type="spellStart"/>
      <w:r w:rsidRPr="00686C21">
        <w:t>Méthé</w:t>
      </w:r>
      <w:proofErr w:type="spellEnd"/>
      <w:r w:rsidRPr="00686C21">
        <w:t>. 2023. A statistical censoring approach accounts for hook competition in abundance indices from longline surveys. Canadian Journal of Fisheries and Aquatic Sciences, 80:468-486.</w:t>
      </w:r>
      <w:r>
        <w:t xml:space="preserve"> </w:t>
      </w:r>
      <w:hyperlink r:id="rId123" w:history="1">
        <w:hyperlink r:id="rId124" w:history="1">
          <w:r>
            <w:t>https://cdnsciencepub.com/doi/10.1139/cjfas-2022-0159</w:t>
          </w:r>
        </w:hyperlink>
      </w:hyperlink>
    </w:p>
    <w:p w14:paraId="5B31A0E7" w14:textId="56516334" w:rsidR="00261957" w:rsidRDefault="00261957">
      <w:pPr>
        <w:spacing w:after="160"/>
        <w:rPr>
          <w:b/>
        </w:rPr>
      </w:pPr>
      <w:r>
        <w:rPr>
          <w:b/>
        </w:rPr>
        <w:br w:type="page"/>
      </w:r>
    </w:p>
    <w:p w14:paraId="71496E5D" w14:textId="5589E593" w:rsidR="002042BC" w:rsidRDefault="2B26C4A9" w:rsidP="011D8235">
      <w:pPr>
        <w:pStyle w:val="Heading1"/>
      </w:pPr>
      <w:r>
        <w:lastRenderedPageBreak/>
        <w:t>Publications</w:t>
      </w:r>
      <w:bookmarkEnd w:id="30"/>
    </w:p>
    <w:p w14:paraId="1B94F5E6" w14:textId="140717B4" w:rsidR="78BEFFB3" w:rsidRDefault="68D65D1B" w:rsidP="011D8235">
      <w:pPr>
        <w:pStyle w:val="Heading2"/>
        <w:numPr>
          <w:ilvl w:val="0"/>
          <w:numId w:val="21"/>
        </w:numPr>
      </w:pPr>
      <w:bookmarkStart w:id="31" w:name="_Toc131161726"/>
      <w:r>
        <w:t>Primary Publications</w:t>
      </w:r>
      <w:bookmarkEnd w:id="31"/>
      <w:r w:rsidR="78BEFFB3">
        <w:br/>
      </w:r>
    </w:p>
    <w:p w14:paraId="0217013E" w14:textId="2E9A3C7E" w:rsidR="6176E355" w:rsidRDefault="246341B1" w:rsidP="387816AB">
      <w:pPr>
        <w:pStyle w:val="Body"/>
        <w:ind w:left="720" w:hanging="720"/>
      </w:pPr>
      <w:r>
        <w:t>Ban, N.C., Miltner</w:t>
      </w:r>
      <w:r w:rsidR="0CDD291E">
        <w:t>, C.</w:t>
      </w:r>
      <w:r>
        <w:t>, Matthews</w:t>
      </w:r>
      <w:r w:rsidR="7DAE0209">
        <w:t>, C.</w:t>
      </w:r>
      <w:r>
        <w:t>, Ankenman</w:t>
      </w:r>
      <w:r w:rsidR="5F5869D7">
        <w:t>, M.</w:t>
      </w:r>
      <w:r>
        <w:t>, Stelte</w:t>
      </w:r>
      <w:r w:rsidR="1F88CC9F">
        <w:t>, S.</w:t>
      </w:r>
      <w:r>
        <w:t xml:space="preserve">, </w:t>
      </w:r>
      <w:r w:rsidRPr="1155EF1C">
        <w:rPr>
          <w:b/>
          <w:bCs/>
        </w:rPr>
        <w:t>Haggarty</w:t>
      </w:r>
      <w:r>
        <w:t>,</w:t>
      </w:r>
      <w:r w:rsidR="49EE7808">
        <w:t xml:space="preserve"> </w:t>
      </w:r>
      <w:r w:rsidR="49EE7808" w:rsidRPr="1155EF1C">
        <w:rPr>
          <w:b/>
          <w:bCs/>
        </w:rPr>
        <w:t>D.</w:t>
      </w:r>
      <w:r w:rsidR="49EE7808">
        <w:t>,</w:t>
      </w:r>
      <w:r>
        <w:t xml:space="preserve"> Davies,</w:t>
      </w:r>
      <w:r w:rsidR="055C4927">
        <w:t xml:space="preserve"> H.L.,</w:t>
      </w:r>
      <w:r>
        <w:t xml:space="preserve"> Venturelli</w:t>
      </w:r>
      <w:r w:rsidR="5F73481E">
        <w:t>, P.A.</w:t>
      </w:r>
      <w:r>
        <w:t>, Juanes</w:t>
      </w:r>
      <w:r w:rsidR="1E1BA5B4">
        <w:t>, F</w:t>
      </w:r>
      <w:r w:rsidR="52A6E461">
        <w:t>.</w:t>
      </w:r>
      <w:r>
        <w:t xml:space="preserve"> 2022. Decrease in recreational fisher compliance during the COVID-19 pandemic: the case of Rockfish Conservation Areas. ICES Journal of Marine Science. 79 (8): 2277-2285. https://doi.org/10.1093/icesjms/fsac160</w:t>
      </w:r>
    </w:p>
    <w:p w14:paraId="33E69A79" w14:textId="5C74765E" w:rsidR="0A7CC1D1" w:rsidRDefault="04078A2C" w:rsidP="387816AB">
      <w:pPr>
        <w:pStyle w:val="Body"/>
        <w:ind w:left="720" w:hanging="720"/>
      </w:pPr>
      <w:r>
        <w:t xml:space="preserve">Barnes, C.L., Essington, T.E., </w:t>
      </w:r>
      <w:proofErr w:type="spellStart"/>
      <w:r>
        <w:t>Pirtle</w:t>
      </w:r>
      <w:proofErr w:type="spellEnd"/>
      <w:r>
        <w:t xml:space="preserve">, J.L., </w:t>
      </w:r>
      <w:r w:rsidRPr="1155EF1C">
        <w:rPr>
          <w:b/>
          <w:bCs/>
        </w:rPr>
        <w:t>Rooper, C.N.</w:t>
      </w:r>
      <w:r>
        <w:t xml:space="preserve">, </w:t>
      </w:r>
      <w:proofErr w:type="spellStart"/>
      <w:r>
        <w:t>Laman</w:t>
      </w:r>
      <w:proofErr w:type="spellEnd"/>
      <w:r>
        <w:t xml:space="preserve">, E.A., </w:t>
      </w:r>
      <w:proofErr w:type="spellStart"/>
      <w:r>
        <w:t>Holsman</w:t>
      </w:r>
      <w:proofErr w:type="spellEnd"/>
      <w:r>
        <w:t>, K.K., Aydin, K.Y.</w:t>
      </w:r>
      <w:r w:rsidR="7FD247B1">
        <w:t>,</w:t>
      </w:r>
      <w:r>
        <w:t xml:space="preserve"> and Thorson, J.T. 2022</w:t>
      </w:r>
      <w:r w:rsidR="28FE5A60">
        <w:t>.</w:t>
      </w:r>
      <w:r>
        <w:t xml:space="preserve"> Climate-informed models benefit hindcasting but present challenges when forecasting species–habitat associations. </w:t>
      </w:r>
      <w:proofErr w:type="spellStart"/>
      <w:r>
        <w:t>Ecography</w:t>
      </w:r>
      <w:proofErr w:type="spellEnd"/>
      <w:r w:rsidR="2DF12CCE">
        <w:t>.</w:t>
      </w:r>
      <w:r>
        <w:t xml:space="preserve"> e06189. https://doi.org/10.1111/ecog.06189</w:t>
      </w:r>
    </w:p>
    <w:p w14:paraId="6EB02D4C" w14:textId="3146E6FB" w:rsidR="7448F11E" w:rsidRDefault="79709CFF" w:rsidP="387816AB">
      <w:pPr>
        <w:pStyle w:val="Body"/>
        <w:ind w:left="720" w:hanging="720"/>
      </w:pPr>
      <w:r>
        <w:t xml:space="preserve">Brodie, S., Smith J.A., </w:t>
      </w:r>
      <w:proofErr w:type="spellStart"/>
      <w:r>
        <w:t>Muhling</w:t>
      </w:r>
      <w:proofErr w:type="spellEnd"/>
      <w:r>
        <w:t xml:space="preserve">, B.A., Kaplan, I., Barnett, L.A.K., Carroll, G., Fiedler, P., </w:t>
      </w:r>
      <w:proofErr w:type="spellStart"/>
      <w:r>
        <w:t>Bograd</w:t>
      </w:r>
      <w:proofErr w:type="spellEnd"/>
      <w:r>
        <w:t xml:space="preserve">, S.J., Hazen, E.L., </w:t>
      </w:r>
      <w:proofErr w:type="spellStart"/>
      <w:r>
        <w:t>Jacox</w:t>
      </w:r>
      <w:proofErr w:type="spellEnd"/>
      <w:r>
        <w:t xml:space="preserve">, M.G., Andrews, K.S., Barnes, C.L., Crozier, L., </w:t>
      </w:r>
      <w:proofErr w:type="spellStart"/>
      <w:r>
        <w:t>Fiechter</w:t>
      </w:r>
      <w:proofErr w:type="spellEnd"/>
      <w:r>
        <w:t xml:space="preserve">, J., </w:t>
      </w:r>
      <w:proofErr w:type="spellStart"/>
      <w:r>
        <w:t>Fredston</w:t>
      </w:r>
      <w:proofErr w:type="spellEnd"/>
      <w:r>
        <w:t xml:space="preserve">, A., </w:t>
      </w:r>
      <w:proofErr w:type="spellStart"/>
      <w:r>
        <w:t>Haltuch</w:t>
      </w:r>
      <w:proofErr w:type="spellEnd"/>
      <w:r>
        <w:t xml:space="preserve">, M.A., Harvey, C., Holmes, E., Karp, M.A., Liu, O.R., </w:t>
      </w:r>
      <w:proofErr w:type="spellStart"/>
      <w:r>
        <w:t>Malick</w:t>
      </w:r>
      <w:proofErr w:type="spellEnd"/>
      <w:r>
        <w:t xml:space="preserve">, M.J., </w:t>
      </w:r>
      <w:proofErr w:type="spellStart"/>
      <w:r>
        <w:t>Pozo-Buil</w:t>
      </w:r>
      <w:proofErr w:type="spellEnd"/>
      <w:r>
        <w:t xml:space="preserve">, M., </w:t>
      </w:r>
      <w:proofErr w:type="spellStart"/>
      <w:r>
        <w:t>Richerson</w:t>
      </w:r>
      <w:proofErr w:type="spellEnd"/>
      <w:r>
        <w:t xml:space="preserve">, K., </w:t>
      </w:r>
      <w:r w:rsidRPr="1155EF1C">
        <w:rPr>
          <w:b/>
          <w:bCs/>
        </w:rPr>
        <w:t>Rooper, C.N.</w:t>
      </w:r>
      <w:r>
        <w:t xml:space="preserve">, </w:t>
      </w:r>
      <w:proofErr w:type="spellStart"/>
      <w:r>
        <w:t>Samhouri</w:t>
      </w:r>
      <w:proofErr w:type="spellEnd"/>
      <w:r>
        <w:t xml:space="preserve">, J., </w:t>
      </w:r>
      <w:proofErr w:type="spellStart"/>
      <w:r>
        <w:t>Seary</w:t>
      </w:r>
      <w:proofErr w:type="spellEnd"/>
      <w:r>
        <w:t xml:space="preserve">, R., Selden, R.L., Thompson, A.R., Thorson, J.T., </w:t>
      </w:r>
      <w:proofErr w:type="spellStart"/>
      <w:r>
        <w:t>Tommasi</w:t>
      </w:r>
      <w:proofErr w:type="spellEnd"/>
      <w:r>
        <w:t xml:space="preserve">, D., Ward, E.J., </w:t>
      </w:r>
      <w:r w:rsidR="1C7A4946">
        <w:t xml:space="preserve">and </w:t>
      </w:r>
      <w:proofErr w:type="spellStart"/>
      <w:r>
        <w:t>Zabel</w:t>
      </w:r>
      <w:proofErr w:type="spellEnd"/>
      <w:r>
        <w:t>, R., 2022. Recommendations for quantifying and reducing uncertainty in climate projections of species distributions. Global Change Biology</w:t>
      </w:r>
      <w:r w:rsidR="390D8854">
        <w:t>.</w:t>
      </w:r>
      <w:r w:rsidR="332E76B5">
        <w:t xml:space="preserve"> 28(22): 6586-6601. https://doi.org/10.1111/gcb.16371</w:t>
      </w:r>
    </w:p>
    <w:p w14:paraId="6C9BDCB4" w14:textId="6B960689" w:rsidR="2EACDE9C" w:rsidRDefault="2EACDE9C" w:rsidP="387816AB">
      <w:pPr>
        <w:pStyle w:val="Citation"/>
      </w:pPr>
      <w:r>
        <w:t xml:space="preserve">Campbell, J. Yakimishyn, J., </w:t>
      </w:r>
      <w:r w:rsidRPr="387816AB">
        <w:rPr>
          <w:b/>
          <w:bCs/>
        </w:rPr>
        <w:t>Haggarty, D.R.</w:t>
      </w:r>
      <w:r>
        <w:t>, Juanes, F., Dudas, S. 2023. Citizen Science Surveys Provide Novel Nearshore Data. Fisheries. 48: 8-19. https://doi.org/10.1002/fsh.10831.</w:t>
      </w:r>
    </w:p>
    <w:p w14:paraId="6BF61218" w14:textId="4C969CD9" w:rsidR="00E151CF" w:rsidRDefault="317D4FF7" w:rsidP="5C92B3F9">
      <w:pPr>
        <w:pStyle w:val="Citation"/>
      </w:pPr>
      <w:r>
        <w:t>Commander, C.J.C, Barnett,</w:t>
      </w:r>
      <w:r w:rsidR="4F115AB6">
        <w:t xml:space="preserve"> L.A.K.,</w:t>
      </w:r>
      <w:r>
        <w:t xml:space="preserve"> Ward,</w:t>
      </w:r>
      <w:r w:rsidR="3FE79EBF">
        <w:t xml:space="preserve"> E.J.,</w:t>
      </w:r>
      <w:r>
        <w:t xml:space="preserve"> </w:t>
      </w:r>
      <w:r w:rsidRPr="1155EF1C">
        <w:rPr>
          <w:b/>
          <w:bCs/>
        </w:rPr>
        <w:t>Anderson</w:t>
      </w:r>
      <w:r>
        <w:t>,</w:t>
      </w:r>
      <w:r w:rsidR="7BBD44A5">
        <w:t xml:space="preserve"> </w:t>
      </w:r>
      <w:r w:rsidR="7BBD44A5" w:rsidRPr="1155EF1C">
        <w:rPr>
          <w:b/>
          <w:bCs/>
        </w:rPr>
        <w:t>S.C.,</w:t>
      </w:r>
      <w:r>
        <w:t xml:space="preserve"> </w:t>
      </w:r>
      <w:r w:rsidR="3A8BBB6C">
        <w:t xml:space="preserve">and </w:t>
      </w:r>
      <w:r>
        <w:t>Essington</w:t>
      </w:r>
      <w:r w:rsidR="27116E10">
        <w:t>, T.E</w:t>
      </w:r>
      <w:r>
        <w:t xml:space="preserve">. 2022. The shadow model: how and why small choices in spatially explicit species distribution models affect predictions. </w:t>
      </w:r>
      <w:proofErr w:type="spellStart"/>
      <w:r>
        <w:t>PeerJ</w:t>
      </w:r>
      <w:proofErr w:type="spellEnd"/>
      <w:r>
        <w:t>. 10: e12783. https://doi.org/10.7717/peerj.12783.</w:t>
      </w:r>
    </w:p>
    <w:p w14:paraId="5AF72970" w14:textId="603CBE00" w:rsidR="66B2A1CF" w:rsidRDefault="4F905B1E" w:rsidP="387816AB">
      <w:pPr>
        <w:pStyle w:val="Citation"/>
      </w:pPr>
      <w:r>
        <w:t xml:space="preserve">Davies, H.L., Gross, S., </w:t>
      </w:r>
      <w:r w:rsidRPr="1155EF1C">
        <w:rPr>
          <w:b/>
          <w:bCs/>
        </w:rPr>
        <w:t>Haggarty, D.R.</w:t>
      </w:r>
      <w:r>
        <w:t>, and Juanes, F. 2022. Conserving Rockfishes: Barotrauma and Descending Devices in the Northeast Pacific. Fisheries</w:t>
      </w:r>
      <w:r w:rsidR="26C16455">
        <w:t>.</w:t>
      </w:r>
      <w:r>
        <w:t xml:space="preserve"> 47(9): 406-411. https://doi.org/10.1002/fsh.10810</w:t>
      </w:r>
    </w:p>
    <w:p w14:paraId="35EF69D6" w14:textId="129D75CC" w:rsidR="490425B0" w:rsidRDefault="0A618458" w:rsidP="1155EF1C">
      <w:pPr>
        <w:pStyle w:val="Citation"/>
      </w:pPr>
      <w:r>
        <w:t>Essington, T.E.</w:t>
      </w:r>
      <w:r w:rsidR="27CAD212">
        <w:t>,</w:t>
      </w:r>
      <w:r>
        <w:t xml:space="preserve"> </w:t>
      </w:r>
      <w:r w:rsidRPr="38A1CA3A">
        <w:rPr>
          <w:b/>
          <w:bCs/>
        </w:rPr>
        <w:t>Anderson</w:t>
      </w:r>
      <w:r>
        <w:t xml:space="preserve">, </w:t>
      </w:r>
      <w:r w:rsidR="2C925381" w:rsidRPr="38A1CA3A">
        <w:rPr>
          <w:b/>
          <w:bCs/>
        </w:rPr>
        <w:t>S.C.</w:t>
      </w:r>
      <w:r w:rsidR="2C925381">
        <w:t xml:space="preserve">, </w:t>
      </w:r>
      <w:r>
        <w:t>Barnett,</w:t>
      </w:r>
      <w:r w:rsidR="40C46754">
        <w:t xml:space="preserve"> L.A.K.,</w:t>
      </w:r>
      <w:r>
        <w:t xml:space="preserve"> Berger,</w:t>
      </w:r>
      <w:r w:rsidR="04EDFD8B">
        <w:t xml:space="preserve"> H.M.,</w:t>
      </w:r>
      <w:r>
        <w:t xml:space="preserve"> </w:t>
      </w:r>
      <w:proofErr w:type="spellStart"/>
      <w:r>
        <w:t>Siedlecki</w:t>
      </w:r>
      <w:proofErr w:type="spellEnd"/>
      <w:r>
        <w:t>,</w:t>
      </w:r>
      <w:r w:rsidR="4A817612">
        <w:t xml:space="preserve"> S.A.,</w:t>
      </w:r>
      <w:r>
        <w:t xml:space="preserve"> </w:t>
      </w:r>
      <w:r w:rsidR="6A4A02B1">
        <w:t xml:space="preserve">and </w:t>
      </w:r>
      <w:r>
        <w:t>Ward</w:t>
      </w:r>
      <w:r w:rsidR="51396DAA">
        <w:t>, E.J</w:t>
      </w:r>
      <w:r>
        <w:t xml:space="preserve">. 2022. Advancing statistical models to reveal the effect of dissolved oxygen on the spatial distribution of marine taxa using thresholds and a physiologically based index. </w:t>
      </w:r>
      <w:proofErr w:type="spellStart"/>
      <w:r>
        <w:t>Ecography</w:t>
      </w:r>
      <w:proofErr w:type="spellEnd"/>
      <w:r w:rsidR="02DDB658">
        <w:t>.</w:t>
      </w:r>
      <w:r>
        <w:t xml:space="preserve"> 2022(8): e06249. </w:t>
      </w:r>
      <w:hyperlink r:id="rId125">
        <w:r w:rsidRPr="38A1CA3A">
          <w:rPr>
            <w:rStyle w:val="Hyperlink"/>
          </w:rPr>
          <w:t>https://doi.org/10.1111/ecog.06249</w:t>
        </w:r>
      </w:hyperlink>
      <w:r>
        <w:t>.</w:t>
      </w:r>
    </w:p>
    <w:p w14:paraId="5A4ECD26" w14:textId="50F987B6" w:rsidR="6716AD1B" w:rsidRDefault="6716AD1B" w:rsidP="38A1CA3A">
      <w:pPr>
        <w:spacing w:after="240"/>
        <w:ind w:left="720" w:hanging="720"/>
        <w:rPr>
          <w:rFonts w:eastAsiaTheme="minorEastAsia"/>
        </w:rPr>
      </w:pPr>
      <w:r w:rsidRPr="38A1CA3A">
        <w:rPr>
          <w:rFonts w:eastAsiaTheme="minorEastAsia"/>
        </w:rPr>
        <w:t xml:space="preserve">Gale, K.S.P., </w:t>
      </w:r>
      <w:r w:rsidRPr="38A1CA3A">
        <w:rPr>
          <w:rFonts w:eastAsiaTheme="minorEastAsia"/>
          <w:b/>
          <w:bCs/>
        </w:rPr>
        <w:t>Forrest, R.E.</w:t>
      </w:r>
      <w:r w:rsidRPr="38A1CA3A">
        <w:rPr>
          <w:rFonts w:eastAsiaTheme="minorEastAsia"/>
        </w:rPr>
        <w:t>,</w:t>
      </w:r>
      <w:r w:rsidRPr="38A1CA3A">
        <w:rPr>
          <w:rFonts w:eastAsiaTheme="minorEastAsia"/>
          <w:b/>
          <w:bCs/>
        </w:rPr>
        <w:t xml:space="preserve"> Rooper, C.N.</w:t>
      </w:r>
      <w:r w:rsidRPr="38A1CA3A">
        <w:rPr>
          <w:rFonts w:eastAsiaTheme="minorEastAsia"/>
        </w:rPr>
        <w:t>, Nephin, J., Wallace, S., Driscoll, J., and Rubidge, E. 2022. Evaluation of collaboratively-developed management measures to reduce coral and sponge bycatch in a fully-monitored multispecies trawl fishery. Canadian Journal of Fisheries and Aquatic Sciences. cjfas-2021-0274. https://doi.org/10.1139/cjfas-2021-0274</w:t>
      </w:r>
    </w:p>
    <w:p w14:paraId="0CC7A7A1" w14:textId="79C03285" w:rsidR="31265392" w:rsidRDefault="6D379848" w:rsidP="5C92B3F9">
      <w:pPr>
        <w:pStyle w:val="Citation"/>
      </w:pPr>
      <w:proofErr w:type="spellStart"/>
      <w:r>
        <w:lastRenderedPageBreak/>
        <w:t>Hunsicker</w:t>
      </w:r>
      <w:proofErr w:type="spellEnd"/>
      <w:r>
        <w:t>, M.E., Ward,</w:t>
      </w:r>
      <w:r w:rsidR="6F3B312D">
        <w:t xml:space="preserve"> E.J.,</w:t>
      </w:r>
      <w:r>
        <w:t xml:space="preserve"> </w:t>
      </w:r>
      <w:proofErr w:type="spellStart"/>
      <w:r>
        <w:t>Litzow</w:t>
      </w:r>
      <w:proofErr w:type="spellEnd"/>
      <w:r>
        <w:t xml:space="preserve">, </w:t>
      </w:r>
      <w:r w:rsidR="37E6F135">
        <w:t>M.A.,</w:t>
      </w:r>
      <w:r w:rsidR="37E6F135" w:rsidRPr="38A1CA3A">
        <w:rPr>
          <w:b/>
          <w:bCs/>
        </w:rPr>
        <w:t xml:space="preserve"> </w:t>
      </w:r>
      <w:r w:rsidRPr="38A1CA3A">
        <w:rPr>
          <w:b/>
          <w:bCs/>
        </w:rPr>
        <w:t>Anderson</w:t>
      </w:r>
      <w:r w:rsidR="74704593" w:rsidRPr="38A1CA3A">
        <w:rPr>
          <w:b/>
          <w:bCs/>
        </w:rPr>
        <w:t>, S.C.</w:t>
      </w:r>
      <w:r>
        <w:t>, Harvey,</w:t>
      </w:r>
      <w:r w:rsidR="2FD45EE0">
        <w:t xml:space="preserve"> C.J.,</w:t>
      </w:r>
      <w:r>
        <w:t xml:space="preserve"> Field</w:t>
      </w:r>
      <w:r w:rsidR="4D50E709">
        <w:t>, J.C.</w:t>
      </w:r>
      <w:r>
        <w:t>, Gao</w:t>
      </w:r>
      <w:r w:rsidR="087DF088">
        <w:t>, J.</w:t>
      </w:r>
      <w:r>
        <w:t xml:space="preserve">, </w:t>
      </w:r>
      <w:proofErr w:type="spellStart"/>
      <w:r>
        <w:t>Jacox</w:t>
      </w:r>
      <w:proofErr w:type="spellEnd"/>
      <w:r w:rsidR="23825E74">
        <w:t>, M.G.</w:t>
      </w:r>
      <w:r>
        <w:t xml:space="preserve">, </w:t>
      </w:r>
      <w:proofErr w:type="spellStart"/>
      <w:r>
        <w:t>Melin</w:t>
      </w:r>
      <w:proofErr w:type="spellEnd"/>
      <w:r w:rsidR="0C88BE3C">
        <w:t>, S.</w:t>
      </w:r>
      <w:r>
        <w:t>, Thompson</w:t>
      </w:r>
      <w:r w:rsidR="5A93624D">
        <w:t>, A.R.</w:t>
      </w:r>
      <w:r>
        <w:t>,</w:t>
      </w:r>
      <w:r w:rsidR="454BAA7B">
        <w:t xml:space="preserve"> and</w:t>
      </w:r>
      <w:r>
        <w:t xml:space="preserve"> </w:t>
      </w:r>
      <w:proofErr w:type="spellStart"/>
      <w:r>
        <w:t>Warzybok</w:t>
      </w:r>
      <w:proofErr w:type="spellEnd"/>
      <w:r w:rsidR="03CC8DE0">
        <w:t>, P.</w:t>
      </w:r>
      <w:r>
        <w:t xml:space="preserve"> Tracking and forecasting community responses to climate perturbations in the California Current Ecosystem. PLOS Climate. 1(3): e0000014. </w:t>
      </w:r>
      <w:hyperlink r:id="rId126" w:history="1">
        <w:r w:rsidRPr="38A1CA3A">
          <w:rPr>
            <w:rStyle w:val="Hyperlink"/>
          </w:rPr>
          <w:t>https://doi.org/10.1371/journal.pclm.0000014</w:t>
        </w:r>
      </w:hyperlink>
      <w:r>
        <w:t>.</w:t>
      </w:r>
    </w:p>
    <w:p w14:paraId="7363605A" w14:textId="211A08AE" w:rsidR="00E151CF" w:rsidRDefault="195F3CF4" w:rsidP="00E151CF">
      <w:pPr>
        <w:pStyle w:val="Citation"/>
      </w:pPr>
      <w:r>
        <w:t xml:space="preserve">Love, M.S., </w:t>
      </w:r>
      <w:proofErr w:type="spellStart"/>
      <w:r>
        <w:t>Bizzarro</w:t>
      </w:r>
      <w:proofErr w:type="spellEnd"/>
      <w:r>
        <w:t xml:space="preserve">, J.J., </w:t>
      </w:r>
      <w:r w:rsidRPr="1155EF1C">
        <w:rPr>
          <w:b/>
          <w:bCs/>
        </w:rPr>
        <w:t>Cornthwaite, M</w:t>
      </w:r>
      <w:r>
        <w:t xml:space="preserve">., </w:t>
      </w:r>
      <w:proofErr w:type="spellStart"/>
      <w:r>
        <w:t>Frable</w:t>
      </w:r>
      <w:proofErr w:type="spellEnd"/>
      <w:r>
        <w:t>, B.W.</w:t>
      </w:r>
      <w:r w:rsidR="21CD2182">
        <w:t>,</w:t>
      </w:r>
      <w:r>
        <w:t xml:space="preserve"> </w:t>
      </w:r>
      <w:r w:rsidR="69EA609A">
        <w:t>and</w:t>
      </w:r>
      <w:r>
        <w:t xml:space="preserve"> </w:t>
      </w:r>
      <w:proofErr w:type="spellStart"/>
      <w:r>
        <w:t>Maslenikov</w:t>
      </w:r>
      <w:proofErr w:type="spellEnd"/>
      <w:r>
        <w:t>, K.P. 2021</w:t>
      </w:r>
      <w:r w:rsidR="0E634046">
        <w:t>.</w:t>
      </w:r>
      <w:r>
        <w:t xml:space="preserve"> Checklist of marine and estuarine fishes from the Alaska-Yukon Border, Beaufort Sea, to Cabo San Lucas, Mexico</w:t>
      </w:r>
      <w:r w:rsidR="0F0C04B7">
        <w:t xml:space="preserve">. </w:t>
      </w:r>
      <w:proofErr w:type="spellStart"/>
      <w:r>
        <w:t>Zootaxa</w:t>
      </w:r>
      <w:proofErr w:type="spellEnd"/>
      <w:r w:rsidR="4CD9BA03">
        <w:t>.</w:t>
      </w:r>
      <w:r>
        <w:t xml:space="preserve"> 5053(1)</w:t>
      </w:r>
      <w:r w:rsidR="2347A12F">
        <w:t xml:space="preserve">: 1-285 </w:t>
      </w:r>
      <w:r>
        <w:t>.</w:t>
      </w:r>
    </w:p>
    <w:p w14:paraId="01FEDBBD" w14:textId="6CE1D4A7" w:rsidR="15AACD00" w:rsidRDefault="1C5C9189" w:rsidP="387816AB">
      <w:pPr>
        <w:pStyle w:val="Citation"/>
      </w:pPr>
      <w:proofErr w:type="spellStart"/>
      <w:r>
        <w:t>Planas</w:t>
      </w:r>
      <w:proofErr w:type="spellEnd"/>
      <w:r>
        <w:t xml:space="preserve"> J.V., </w:t>
      </w:r>
      <w:r w:rsidRPr="1155EF1C">
        <w:rPr>
          <w:b/>
          <w:bCs/>
        </w:rPr>
        <w:t>Rooper C.N.</w:t>
      </w:r>
      <w:r>
        <w:t>, and Kruse G.H. 2022. Integrating biological research, fisheries science and management of Pacific halibut (</w:t>
      </w:r>
      <w:r w:rsidRPr="1155EF1C">
        <w:rPr>
          <w:i/>
          <w:iCs/>
        </w:rPr>
        <w:t>Hippoglossus stenolepis</w:t>
      </w:r>
      <w:r>
        <w:t>) across the North Pacific Ocean. Fisheries Research</w:t>
      </w:r>
      <w:r w:rsidR="41FA478E">
        <w:t>.</w:t>
      </w:r>
      <w:r>
        <w:t xml:space="preserve"> 259: 106559. </w:t>
      </w:r>
      <w:r w:rsidR="1F2CD536">
        <w:t>https://doi.org/10.1016/j.fishres.2022.106559</w:t>
      </w:r>
    </w:p>
    <w:p w14:paraId="4863C052" w14:textId="6D25B22B" w:rsidR="32980953" w:rsidRDefault="32980953" w:rsidP="387816AB">
      <w:pPr>
        <w:pStyle w:val="Citation"/>
      </w:pPr>
      <w:proofErr w:type="spellStart"/>
      <w:r>
        <w:t>Shotwell</w:t>
      </w:r>
      <w:proofErr w:type="spellEnd"/>
      <w:r>
        <w:t xml:space="preserve">, S.K., J.L. </w:t>
      </w:r>
      <w:proofErr w:type="spellStart"/>
      <w:r>
        <w:t>Pirtle</w:t>
      </w:r>
      <w:proofErr w:type="spellEnd"/>
      <w:r>
        <w:t xml:space="preserve">, J.T. Watson, A. </w:t>
      </w:r>
      <w:proofErr w:type="spellStart"/>
      <w:r>
        <w:t>Deary</w:t>
      </w:r>
      <w:proofErr w:type="spellEnd"/>
      <w:r>
        <w:t xml:space="preserve">, M. Doyle, S. </w:t>
      </w:r>
      <w:proofErr w:type="spellStart"/>
      <w:r>
        <w:t>Barbeaux</w:t>
      </w:r>
      <w:proofErr w:type="spellEnd"/>
      <w:r>
        <w:t xml:space="preserve">, M. Dorn, G.A. Gibson, E. Goldstein, D.H. </w:t>
      </w:r>
      <w:proofErr w:type="spellStart"/>
      <w:r>
        <w:t>Hanselman</w:t>
      </w:r>
      <w:proofErr w:type="spellEnd"/>
      <w:r>
        <w:t xml:space="preserve">, A.J. Hermann, P.J.F. </w:t>
      </w:r>
      <w:proofErr w:type="spellStart"/>
      <w:r>
        <w:t>Hulson</w:t>
      </w:r>
      <w:proofErr w:type="spellEnd"/>
      <w:r>
        <w:t xml:space="preserve">, B. Laurel, J. Moss, O. </w:t>
      </w:r>
      <w:proofErr w:type="spellStart"/>
      <w:r>
        <w:t>Ormseth</w:t>
      </w:r>
      <w:proofErr w:type="spellEnd"/>
      <w:r>
        <w:t xml:space="preserve">, D. Robinson, L. Rogers, </w:t>
      </w:r>
      <w:r w:rsidRPr="387816AB">
        <w:rPr>
          <w:b/>
          <w:bCs/>
        </w:rPr>
        <w:t>C. Rooper</w:t>
      </w:r>
      <w:r>
        <w:t xml:space="preserve">, I. Spies, W. </w:t>
      </w:r>
      <w:proofErr w:type="spellStart"/>
      <w:r>
        <w:t>Strasburger</w:t>
      </w:r>
      <w:proofErr w:type="spellEnd"/>
      <w:r>
        <w:t xml:space="preserve">, R. </w:t>
      </w:r>
      <w:proofErr w:type="spellStart"/>
      <w:r>
        <w:t>Suryan</w:t>
      </w:r>
      <w:proofErr w:type="spellEnd"/>
      <w:r>
        <w:t xml:space="preserve">, J.J. </w:t>
      </w:r>
      <w:proofErr w:type="spellStart"/>
      <w:r>
        <w:t>Vollenweider</w:t>
      </w:r>
      <w:proofErr w:type="spellEnd"/>
      <w:r>
        <w:t>. 2022. Using integrated ecosystem research to develop informed stock-specific indicators for next generation stock assessment. Deep-Sea Research II. 198. http://dx.doi.org/10.1016/j.dsr2.2022.105070</w:t>
      </w:r>
    </w:p>
    <w:p w14:paraId="5C05A9EC" w14:textId="34DDE46A" w:rsidR="00CF3B66" w:rsidRPr="000C3246" w:rsidRDefault="62C3632E" w:rsidP="00607061">
      <w:pPr>
        <w:pStyle w:val="Citation"/>
      </w:pPr>
      <w:r>
        <w:t>Thompson, P.J.</w:t>
      </w:r>
      <w:r w:rsidR="58C63964">
        <w:t>,</w:t>
      </w:r>
      <w:r>
        <w:t xml:space="preserve"> </w:t>
      </w:r>
      <w:r w:rsidRPr="1155EF1C">
        <w:rPr>
          <w:b/>
          <w:bCs/>
        </w:rPr>
        <w:t>Anderson, S.</w:t>
      </w:r>
      <w:r w:rsidR="65B21CA3" w:rsidRPr="1155EF1C">
        <w:rPr>
          <w:b/>
          <w:bCs/>
        </w:rPr>
        <w:t>C</w:t>
      </w:r>
      <w:r w:rsidRPr="1155EF1C">
        <w:rPr>
          <w:b/>
          <w:bCs/>
        </w:rPr>
        <w:t>.</w:t>
      </w:r>
      <w:r>
        <w:t xml:space="preserve">, Nephin, J., </w:t>
      </w:r>
      <w:r w:rsidRPr="1155EF1C">
        <w:rPr>
          <w:b/>
          <w:bCs/>
        </w:rPr>
        <w:t>Haggarty, D.R.</w:t>
      </w:r>
      <w:r>
        <w:t xml:space="preserve"> Peña, M.A., </w:t>
      </w:r>
      <w:r w:rsidRPr="1155EF1C">
        <w:rPr>
          <w:b/>
          <w:bCs/>
        </w:rPr>
        <w:t>English, P.A.,</w:t>
      </w:r>
      <w:r>
        <w:t xml:space="preserve"> Gale, K.S.P., </w:t>
      </w:r>
      <w:r w:rsidR="26D60E86">
        <w:t xml:space="preserve">and </w:t>
      </w:r>
      <w:r>
        <w:t xml:space="preserve">Rubidge, E. </w:t>
      </w:r>
      <w:r w:rsidR="46EBAE70">
        <w:t>2022</w:t>
      </w:r>
      <w:r>
        <w:t>. Disentangling the impacts of environmental change and commercial fishing on demersal fish biodiversity in a northeast Pacific ecosystem.</w:t>
      </w:r>
      <w:r w:rsidR="6C0460DD">
        <w:t xml:space="preserve"> </w:t>
      </w:r>
      <w:r w:rsidR="1DF2E640">
        <w:t xml:space="preserve"> Marine Ecology Progress Series. 689:137-154. </w:t>
      </w:r>
      <w:hyperlink r:id="rId127">
        <w:r w:rsidR="1DF2E640" w:rsidRPr="1155EF1C">
          <w:rPr>
            <w:rStyle w:val="Hyperlink"/>
          </w:rPr>
          <w:t>https://doi.org/10.3354/meps14034</w:t>
        </w:r>
      </w:hyperlink>
    </w:p>
    <w:p w14:paraId="726F6FE9" w14:textId="6EDB3008" w:rsidR="74506D5A" w:rsidRDefault="13526447" w:rsidP="5C92B3F9">
      <w:pPr>
        <w:pStyle w:val="Citation"/>
      </w:pPr>
      <w:r>
        <w:t xml:space="preserve">Thompson, P.L., </w:t>
      </w:r>
      <w:r w:rsidRPr="1155EF1C">
        <w:rPr>
          <w:b/>
          <w:bCs/>
        </w:rPr>
        <w:t>Anderson</w:t>
      </w:r>
      <w:r>
        <w:t>,</w:t>
      </w:r>
      <w:r w:rsidR="7A0A3E18">
        <w:t xml:space="preserve"> </w:t>
      </w:r>
      <w:r w:rsidR="7A0A3E18" w:rsidRPr="1155EF1C">
        <w:rPr>
          <w:b/>
          <w:bCs/>
        </w:rPr>
        <w:t>S.C.</w:t>
      </w:r>
      <w:r w:rsidR="7A0A3E18">
        <w:t>,</w:t>
      </w:r>
      <w:r>
        <w:t xml:space="preserve"> Nephin</w:t>
      </w:r>
      <w:r w:rsidR="6B2C9A54">
        <w:t>, J.</w:t>
      </w:r>
      <w:r>
        <w:t>, Robb</w:t>
      </w:r>
      <w:r w:rsidR="28A5FD0B">
        <w:t>, C.K.</w:t>
      </w:r>
      <w:r>
        <w:t>, Proudfoot</w:t>
      </w:r>
      <w:r w:rsidR="52516DB1">
        <w:t>, B.</w:t>
      </w:r>
      <w:r>
        <w:t>, Park</w:t>
      </w:r>
      <w:r w:rsidR="569C93F9">
        <w:t>, A.E.</w:t>
      </w:r>
      <w:r>
        <w:t xml:space="preserve">, </w:t>
      </w:r>
      <w:r w:rsidRPr="1155EF1C">
        <w:rPr>
          <w:b/>
          <w:bCs/>
        </w:rPr>
        <w:t>Haggarty</w:t>
      </w:r>
      <w:r w:rsidR="0FC80EB9" w:rsidRPr="1155EF1C">
        <w:rPr>
          <w:b/>
          <w:bCs/>
        </w:rPr>
        <w:t>, D.R.</w:t>
      </w:r>
      <w:r>
        <w:t xml:space="preserve">, </w:t>
      </w:r>
      <w:r w:rsidR="78C76849">
        <w:t>and</w:t>
      </w:r>
      <w:r>
        <w:t xml:space="preserve"> Rubidge</w:t>
      </w:r>
      <w:r w:rsidR="3F8CF3B0">
        <w:t>, E.M</w:t>
      </w:r>
      <w:r>
        <w:t>. 2023</w:t>
      </w:r>
      <w:r w:rsidR="5D917714">
        <w:t>a</w:t>
      </w:r>
      <w:r>
        <w:t xml:space="preserve">. Integrating trawl and longline surveys across British Columbia improves groundfish distribution predictions. </w:t>
      </w:r>
      <w:r w:rsidR="32E0F49D">
        <w:t>Canadian Journal of Fisheries and Aquatic Sciences.</w:t>
      </w:r>
      <w:hyperlink r:id="rId128" w:history="1"/>
      <w:r>
        <w:t xml:space="preserve"> 80(1): 195–210. https://doi.org/10.1139/cjfas-2022-0108.</w:t>
      </w:r>
    </w:p>
    <w:p w14:paraId="64469A4F" w14:textId="748EB6BB" w:rsidR="31F41E6C" w:rsidRDefault="5D573E5F" w:rsidP="011D8235">
      <w:pPr>
        <w:pStyle w:val="Citation"/>
      </w:pPr>
      <w:r>
        <w:t xml:space="preserve">Thompson, P.L., </w:t>
      </w:r>
      <w:r w:rsidRPr="1155EF1C">
        <w:rPr>
          <w:b/>
          <w:bCs/>
        </w:rPr>
        <w:t>Rooper, C.N.</w:t>
      </w:r>
      <w:r>
        <w:t>, Nephin, J., Park, A.E., Christian, J.R., Davies, S.C., Hunter, K., Lyons, D.A., Peña, M.A., Proudfoot, B. and Rubidge, E.M., 2023</w:t>
      </w:r>
      <w:r w:rsidR="4DB8E6D6">
        <w:t>b</w:t>
      </w:r>
      <w:r>
        <w:t>. Response of Pacific halibut (</w:t>
      </w:r>
      <w:r w:rsidRPr="1155EF1C">
        <w:rPr>
          <w:i/>
          <w:iCs/>
        </w:rPr>
        <w:t>Hippoglossus stenolepis</w:t>
      </w:r>
      <w:r>
        <w:t>) to future climate scenarios in the Northeast Pacific Ocean. Fisheries Research</w:t>
      </w:r>
      <w:r w:rsidR="39861419">
        <w:t>.</w:t>
      </w:r>
      <w:r>
        <w:t xml:space="preserve"> 258</w:t>
      </w:r>
      <w:r w:rsidR="15884500">
        <w:t xml:space="preserve">: </w:t>
      </w:r>
      <w:r>
        <w:t>106540.</w:t>
      </w:r>
      <w:r w:rsidR="57C4ECB5">
        <w:t xml:space="preserve"> https://doi.org/10.1016/j.fishres.2022.106540</w:t>
      </w:r>
    </w:p>
    <w:p w14:paraId="43856B29" w14:textId="7B3C1780" w:rsidR="74506D5A" w:rsidRDefault="13526447" w:rsidP="5C92B3F9">
      <w:pPr>
        <w:pStyle w:val="Citation"/>
      </w:pPr>
      <w:r>
        <w:t>Ward, E.J., Barnett,</w:t>
      </w:r>
      <w:r w:rsidR="2B137676">
        <w:t xml:space="preserve"> L.A.K.,</w:t>
      </w:r>
      <w:r>
        <w:t xml:space="preserve"> </w:t>
      </w:r>
      <w:r w:rsidRPr="1155EF1C">
        <w:rPr>
          <w:b/>
          <w:bCs/>
        </w:rPr>
        <w:t>Anderson</w:t>
      </w:r>
      <w:r w:rsidR="6011600B" w:rsidRPr="1155EF1C">
        <w:rPr>
          <w:b/>
          <w:bCs/>
        </w:rPr>
        <w:t>, S.C.</w:t>
      </w:r>
      <w:r w:rsidR="6011600B">
        <w:t>,</w:t>
      </w:r>
      <w:r>
        <w:t xml:space="preserve"> Commander</w:t>
      </w:r>
      <w:r w:rsidR="7AAD27C3">
        <w:t>, C.J.C.</w:t>
      </w:r>
      <w:r>
        <w:t>,</w:t>
      </w:r>
      <w:r w:rsidR="4F2327B9">
        <w:t xml:space="preserve"> and</w:t>
      </w:r>
      <w:r>
        <w:t xml:space="preserve"> Essington</w:t>
      </w:r>
      <w:r w:rsidR="24CB366F">
        <w:t>, T.E</w:t>
      </w:r>
      <w:r>
        <w:t>. 2022. Incorporating non-stationary spatial variability into dynamic species distribution models. ICES Journal of Marine Science. 79(9): 2422-2429. https://doi.org/10.1093/icesjms/fsac179.</w:t>
      </w:r>
    </w:p>
    <w:p w14:paraId="0F08974B" w14:textId="2F850F4E" w:rsidR="48C54E12" w:rsidRDefault="22714B40" w:rsidP="490425B0">
      <w:pPr>
        <w:pStyle w:val="Citation"/>
      </w:pPr>
      <w:r>
        <w:t>Ward, E.J.,</w:t>
      </w:r>
      <w:r w:rsidR="0237A0B3">
        <w:t xml:space="preserve"> </w:t>
      </w:r>
      <w:r w:rsidRPr="1155EF1C">
        <w:rPr>
          <w:b/>
          <w:bCs/>
        </w:rPr>
        <w:t>Anderson</w:t>
      </w:r>
      <w:r w:rsidR="1C9FFD90" w:rsidRPr="1155EF1C">
        <w:rPr>
          <w:b/>
          <w:bCs/>
        </w:rPr>
        <w:t>, S.C.</w:t>
      </w:r>
      <w:r>
        <w:t xml:space="preserve">, </w:t>
      </w:r>
      <w:proofErr w:type="spellStart"/>
      <w:r>
        <w:t>Hunsicker</w:t>
      </w:r>
      <w:proofErr w:type="spellEnd"/>
      <w:r w:rsidR="5F60B31C">
        <w:t>, M.D.</w:t>
      </w:r>
      <w:r>
        <w:t xml:space="preserve">, and M.A. </w:t>
      </w:r>
      <w:proofErr w:type="spellStart"/>
      <w:r>
        <w:t>Litzow</w:t>
      </w:r>
      <w:proofErr w:type="spellEnd"/>
      <w:r>
        <w:t>. 2022. Smoothed dynamic factor analysis for identifying trends in multivariate time series. Methods in Ecology and Evolution. 13(4):</w:t>
      </w:r>
      <w:r w:rsidR="789173DD">
        <w:t xml:space="preserve"> </w:t>
      </w:r>
      <w:r>
        <w:t>908-918. https://doi.org/10.1111/2041-210X.13788.</w:t>
      </w:r>
    </w:p>
    <w:p w14:paraId="34F76D31" w14:textId="35F2FBF3" w:rsidR="5C92B3F9" w:rsidRDefault="07E498DA" w:rsidP="5C92B3F9">
      <w:pPr>
        <w:pStyle w:val="Citation"/>
      </w:pPr>
      <w:r>
        <w:t xml:space="preserve">Watson, J., </w:t>
      </w:r>
      <w:r w:rsidRPr="1155EF1C">
        <w:rPr>
          <w:b/>
          <w:bCs/>
        </w:rPr>
        <w:t>Edwards</w:t>
      </w:r>
      <w:r w:rsidR="6CCCF7EF" w:rsidRPr="1155EF1C">
        <w:rPr>
          <w:b/>
          <w:bCs/>
        </w:rPr>
        <w:t>, A.M.</w:t>
      </w:r>
      <w:hyperlink r:id="rId129" w:history="1"/>
      <w:r>
        <w:t>, and Auger-</w:t>
      </w:r>
      <w:proofErr w:type="spellStart"/>
      <w:r>
        <w:t>Méthé</w:t>
      </w:r>
      <w:proofErr w:type="spellEnd"/>
      <w:r w:rsidR="4DFB2AF0">
        <w:t xml:space="preserve">, </w:t>
      </w:r>
      <w:hyperlink r:id="rId130" w:history="1"/>
      <w:r w:rsidR="4DFB2AF0">
        <w:t>M.</w:t>
      </w:r>
      <w:hyperlink r:id="rId131" w:history="1"/>
      <w:r>
        <w:t xml:space="preserve">. 2023. A statistical censoring approach accounts for hook competition in abundance indices from longline surveys. Canadian </w:t>
      </w:r>
      <w:r>
        <w:lastRenderedPageBreak/>
        <w:t>Journal of Fisheries and Aquatic Sciences</w:t>
      </w:r>
      <w:r w:rsidR="24AF67B4">
        <w:t>.</w:t>
      </w:r>
      <w:r>
        <w:t xml:space="preserve"> 80:468-486. </w:t>
      </w:r>
      <w:hyperlink r:id="rId132" w:history="1">
        <w:hyperlink r:id="rId133" w:history="1">
          <w:r>
            <w:t>https://cdnsciencepub.com/doi/10.1139/cjfas-2022-0159</w:t>
          </w:r>
        </w:hyperlink>
      </w:hyperlink>
    </w:p>
    <w:p w14:paraId="2BAFF39D" w14:textId="5B329B92" w:rsidR="002757FE" w:rsidRDefault="002042BC" w:rsidP="1A3D8640">
      <w:pPr>
        <w:pStyle w:val="Heading2"/>
      </w:pPr>
      <w:bookmarkStart w:id="32" w:name="_Toc131161727"/>
      <w:r>
        <w:t>Other Publications</w:t>
      </w:r>
      <w:bookmarkEnd w:id="32"/>
      <w:r w:rsidR="002757FE">
        <w:br/>
      </w:r>
    </w:p>
    <w:p w14:paraId="49BB2A88" w14:textId="7598527C" w:rsidR="796C36E6" w:rsidRDefault="62139776" w:rsidP="011D8235">
      <w:pPr>
        <w:pStyle w:val="Citation"/>
        <w:rPr>
          <w:lang w:val="en-US"/>
        </w:rPr>
      </w:pPr>
      <w:r w:rsidRPr="011D8235">
        <w:rPr>
          <w:b/>
          <w:bCs/>
          <w:lang w:val="en-US"/>
        </w:rPr>
        <w:t>Anderson, S.C.</w:t>
      </w:r>
      <w:r w:rsidRPr="011D8235">
        <w:rPr>
          <w:lang w:val="en-US"/>
        </w:rPr>
        <w:t xml:space="preserve">, E.J. Ward, </w:t>
      </w:r>
      <w:r w:rsidRPr="011D8235">
        <w:rPr>
          <w:b/>
          <w:bCs/>
          <w:lang w:val="en-US"/>
        </w:rPr>
        <w:t>P.A. English</w:t>
      </w:r>
      <w:r w:rsidRPr="011D8235">
        <w:rPr>
          <w:lang w:val="en-US"/>
        </w:rPr>
        <w:t xml:space="preserve">, L.A.K. Barnett. 2022 </w:t>
      </w:r>
      <w:proofErr w:type="spellStart"/>
      <w:r w:rsidRPr="011D8235">
        <w:rPr>
          <w:lang w:val="en-US"/>
        </w:rPr>
        <w:t>sdmTMB</w:t>
      </w:r>
      <w:proofErr w:type="spellEnd"/>
      <w:r w:rsidRPr="011D8235">
        <w:rPr>
          <w:lang w:val="en-US"/>
        </w:rPr>
        <w:t xml:space="preserve">: an R package for fast, flexible, and user-friendly generalized linear mixed effects models with spatial and spatiotemporal random fields. </w:t>
      </w:r>
      <w:proofErr w:type="spellStart"/>
      <w:r w:rsidRPr="011D8235">
        <w:rPr>
          <w:lang w:val="en-US"/>
        </w:rPr>
        <w:t>bioRxiv</w:t>
      </w:r>
      <w:proofErr w:type="spellEnd"/>
      <w:r w:rsidRPr="011D8235">
        <w:rPr>
          <w:lang w:val="en-US"/>
        </w:rPr>
        <w:t xml:space="preserve"> 2022.03.24.485545. https://doi.org/10.1101/2022.03.24.485545.  </w:t>
      </w:r>
    </w:p>
    <w:p w14:paraId="747DCBA1" w14:textId="2F8EF130" w:rsidR="4102B7BF" w:rsidRDefault="441D4E38" w:rsidP="011D8235">
      <w:pPr>
        <w:pStyle w:val="Citation"/>
      </w:pPr>
      <w:r>
        <w:t xml:space="preserve">Berger, A.M., </w:t>
      </w:r>
      <w:r w:rsidRPr="387816AB">
        <w:rPr>
          <w:b/>
          <w:bCs/>
        </w:rPr>
        <w:t>C.J. Grandin</w:t>
      </w:r>
      <w:r>
        <w:t xml:space="preserve">, K.F. Johnson and </w:t>
      </w:r>
      <w:r w:rsidRPr="387816AB">
        <w:rPr>
          <w:b/>
          <w:bCs/>
        </w:rPr>
        <w:t>A.M. Edwards</w:t>
      </w:r>
      <w:r>
        <w:t xml:space="preserve">. 2023. Status of the Pacific Hake (whiting) stock in U.S. and Canadian waters in 2023. Prepared by the Joint Technical Committee of the U.S. and Canada Pacific Hake/Whiting Agreement, National Marine Fisheries Service and Fisheries and Oceans Canada. 208 p. </w:t>
      </w:r>
      <w:hyperlink r:id="rId134">
        <w:r w:rsidRPr="387816AB">
          <w:rPr>
            <w:rStyle w:val="Hyperlink"/>
          </w:rPr>
          <w:t>https://media.fisheries.noaa.gov/2023-02/2023-hake-assessment-post-srg_web.pdf</w:t>
        </w:r>
      </w:hyperlink>
    </w:p>
    <w:p w14:paraId="68161D8B" w14:textId="0736D263" w:rsidR="634EE274" w:rsidRDefault="634EE274" w:rsidP="387816AB">
      <w:pPr>
        <w:pStyle w:val="Citation"/>
      </w:pPr>
      <w:r w:rsidRPr="38A1CA3A">
        <w:rPr>
          <w:b/>
          <w:bCs/>
        </w:rPr>
        <w:t>Cornthwaite, A.M.</w:t>
      </w:r>
      <w:r>
        <w:t xml:space="preserve">, King, J.R., Bresch, M.J., and </w:t>
      </w:r>
      <w:r w:rsidRPr="38A1CA3A">
        <w:rPr>
          <w:b/>
          <w:bCs/>
        </w:rPr>
        <w:t>Granum, L.J.</w:t>
      </w:r>
      <w:r>
        <w:t xml:space="preserve"> 2022. Pacific Spiny Dogfish (</w:t>
      </w:r>
      <w:r w:rsidRPr="38A1CA3A">
        <w:rPr>
          <w:i/>
          <w:iCs/>
        </w:rPr>
        <w:t>Squalus suckleyi</w:t>
      </w:r>
      <w:r>
        <w:t xml:space="preserve">) longline survey in the Strait of Georgia, October 2-13, 2014. Can. </w:t>
      </w:r>
      <w:proofErr w:type="spellStart"/>
      <w:r>
        <w:t>Manuscr</w:t>
      </w:r>
      <w:proofErr w:type="spellEnd"/>
      <w:r>
        <w:t xml:space="preserve">. Rep. Fish. </w:t>
      </w:r>
      <w:proofErr w:type="spellStart"/>
      <w:r>
        <w:t>Aquat</w:t>
      </w:r>
      <w:proofErr w:type="spellEnd"/>
      <w:r>
        <w:t>. Sci. 3246: v + 19 p.</w:t>
      </w:r>
    </w:p>
    <w:p w14:paraId="585E2083" w14:textId="06CA2A5C" w:rsidR="00927A3B" w:rsidRDefault="00F4C38C" w:rsidP="00CF3B66">
      <w:pPr>
        <w:pStyle w:val="Citation"/>
      </w:pPr>
      <w:r>
        <w:t>DFO. 2022</w:t>
      </w:r>
      <w:r w:rsidR="65A6A510">
        <w:t>a</w:t>
      </w:r>
      <w:r>
        <w:t>. Update of the 2019 Bocaccio (</w:t>
      </w:r>
      <w:r w:rsidRPr="1155EF1C">
        <w:rPr>
          <w:i/>
          <w:iCs/>
        </w:rPr>
        <w:t>Sebastes paucispinis</w:t>
      </w:r>
      <w:r>
        <w:t xml:space="preserve">) stock assessment for British Columbia in 2021. DFO Can. Sci. </w:t>
      </w:r>
      <w:proofErr w:type="spellStart"/>
      <w:r>
        <w:t>Advis</w:t>
      </w:r>
      <w:proofErr w:type="spellEnd"/>
      <w:r>
        <w:t>. Sec. Sci. Resp. 2022/001.</w:t>
      </w:r>
    </w:p>
    <w:p w14:paraId="0C9294C0" w14:textId="3AFC4891" w:rsidR="56BB5B51" w:rsidRDefault="54C00676" w:rsidP="387816AB">
      <w:pPr>
        <w:pStyle w:val="Citation"/>
      </w:pPr>
      <w:r>
        <w:t>DFO. 2022</w:t>
      </w:r>
      <w:r w:rsidR="66FB174A">
        <w:t>b</w:t>
      </w:r>
      <w:r>
        <w:t>. Yellowmouth Rockfish (</w:t>
      </w:r>
      <w:r w:rsidRPr="1155EF1C">
        <w:rPr>
          <w:i/>
          <w:iCs/>
        </w:rPr>
        <w:t>Sebastes reedi</w:t>
      </w:r>
      <w:r>
        <w:t xml:space="preserve">) Stock Assessment for British Columbia in 2021. DFO Can. Sci. </w:t>
      </w:r>
      <w:proofErr w:type="spellStart"/>
      <w:r>
        <w:t>Advis</w:t>
      </w:r>
      <w:proofErr w:type="spellEnd"/>
      <w:r>
        <w:t xml:space="preserve">. Sec. Sci. </w:t>
      </w:r>
      <w:proofErr w:type="spellStart"/>
      <w:r>
        <w:t>Advis</w:t>
      </w:r>
      <w:proofErr w:type="spellEnd"/>
      <w:r>
        <w:t>. Rep. 2022/001.</w:t>
      </w:r>
    </w:p>
    <w:p w14:paraId="1DBCC62E" w14:textId="39565131" w:rsidR="14B5FDFE" w:rsidRDefault="372F11CB" w:rsidP="387816AB">
      <w:pPr>
        <w:pStyle w:val="Citation"/>
      </w:pPr>
      <w:r>
        <w:t>DFO. 2022</w:t>
      </w:r>
      <w:r w:rsidR="703FC498">
        <w:t>c</w:t>
      </w:r>
      <w:r>
        <w:t xml:space="preserve">. A data synopsis for British Columbia groundfish: 2021 data update. DFO Can. Sci. </w:t>
      </w:r>
      <w:proofErr w:type="spellStart"/>
      <w:r>
        <w:t>Advis</w:t>
      </w:r>
      <w:proofErr w:type="spellEnd"/>
      <w:r>
        <w:t xml:space="preserve">. Sec. Sci. Resp. 2022/020. </w:t>
      </w:r>
      <w:hyperlink r:id="rId135">
        <w:r w:rsidRPr="1155EF1C">
          <w:rPr>
            <w:rStyle w:val="Hyperlink"/>
          </w:rPr>
          <w:t>https://www.dfo-mpo.gc.ca/csas-sccs/Publications/ScR-RS/2022/2022_020-eng.html</w:t>
        </w:r>
      </w:hyperlink>
    </w:p>
    <w:p w14:paraId="27A37AF0" w14:textId="0EE5EF58" w:rsidR="1677D76D" w:rsidRDefault="660CD355" w:rsidP="387816AB">
      <w:pPr>
        <w:pStyle w:val="Citation"/>
      </w:pPr>
      <w:r>
        <w:t>DFO. 2023</w:t>
      </w:r>
      <w:r w:rsidR="5A37B94C">
        <w:t>a</w:t>
      </w:r>
      <w:r>
        <w:t>. Canary Rockfish (</w:t>
      </w:r>
      <w:r w:rsidRPr="1155EF1C">
        <w:rPr>
          <w:i/>
          <w:iCs/>
        </w:rPr>
        <w:t>Sebastes pinniger</w:t>
      </w:r>
      <w:r>
        <w:t xml:space="preserve">) Stock Assessment for British Columbia in 2022. DFO Can. Sci. </w:t>
      </w:r>
      <w:proofErr w:type="spellStart"/>
      <w:r>
        <w:t>Advis</w:t>
      </w:r>
      <w:proofErr w:type="spellEnd"/>
      <w:r>
        <w:t xml:space="preserve">. Sec. Sci. </w:t>
      </w:r>
      <w:proofErr w:type="spellStart"/>
      <w:r>
        <w:t>Advis</w:t>
      </w:r>
      <w:proofErr w:type="spellEnd"/>
      <w:r>
        <w:t>. Rep. 2023/002.</w:t>
      </w:r>
    </w:p>
    <w:p w14:paraId="4352C168" w14:textId="0F417BF3" w:rsidR="3E01EFC6" w:rsidRDefault="470DCF42" w:rsidP="387816AB">
      <w:pPr>
        <w:pStyle w:val="Citation"/>
      </w:pPr>
      <w:r>
        <w:t>DFO. 2023</w:t>
      </w:r>
      <w:r w:rsidR="4B308D88">
        <w:t>b</w:t>
      </w:r>
      <w:r>
        <w:t>. Recovery Potential Assessment for Yelloweye Rockfish (</w:t>
      </w:r>
      <w:r w:rsidRPr="1155EF1C">
        <w:rPr>
          <w:i/>
          <w:iCs/>
        </w:rPr>
        <w:t>Sebastes ruberrimus</w:t>
      </w:r>
      <w:r>
        <w:t xml:space="preserve">) in British Columbia. DFO Can. Sci. </w:t>
      </w:r>
      <w:proofErr w:type="spellStart"/>
      <w:r>
        <w:t>Advis</w:t>
      </w:r>
      <w:proofErr w:type="spellEnd"/>
      <w:r>
        <w:t>. Sec. Sci. Resp. 2023/003.</w:t>
      </w:r>
    </w:p>
    <w:p w14:paraId="24E8974A" w14:textId="5A3983DF" w:rsidR="435ABEC5" w:rsidRDefault="5A2251E1" w:rsidP="387816AB">
      <w:pPr>
        <w:pStyle w:val="Citation"/>
      </w:pPr>
      <w:r>
        <w:t>DFO. 202</w:t>
      </w:r>
      <w:r w:rsidR="159BD7FC">
        <w:t>c</w:t>
      </w:r>
      <w:r>
        <w:t xml:space="preserve">. A Revised Operating Model for Sablefish in British Columbia in 2022. DFO Can. Sci. </w:t>
      </w:r>
      <w:proofErr w:type="spellStart"/>
      <w:r>
        <w:t>Advis</w:t>
      </w:r>
      <w:proofErr w:type="spellEnd"/>
      <w:r>
        <w:t xml:space="preserve">. Sec. Sci. </w:t>
      </w:r>
      <w:proofErr w:type="spellStart"/>
      <w:r>
        <w:t>Advis</w:t>
      </w:r>
      <w:proofErr w:type="spellEnd"/>
      <w:r>
        <w:t>. Rep. 2023/010.</w:t>
      </w:r>
    </w:p>
    <w:p w14:paraId="37CF8035" w14:textId="3E69FBE9" w:rsidR="5C6AC53F" w:rsidRDefault="09BE9655" w:rsidP="011D8235">
      <w:pPr>
        <w:ind w:left="720" w:right="720" w:hanging="720"/>
        <w:rPr>
          <w:rStyle w:val="Hyperlink"/>
          <w:rFonts w:ascii="Segoe UI" w:eastAsia="Segoe UI" w:hAnsi="Segoe UI" w:cs="Segoe UI"/>
          <w:sz w:val="18"/>
          <w:szCs w:val="18"/>
        </w:rPr>
      </w:pPr>
      <w:r w:rsidRPr="387816AB">
        <w:rPr>
          <w:rFonts w:eastAsia="Arial" w:cs="Arial"/>
        </w:rPr>
        <w:t xml:space="preserve">Doherty, B. and </w:t>
      </w:r>
      <w:r w:rsidRPr="387816AB">
        <w:rPr>
          <w:rFonts w:eastAsia="Arial" w:cs="Arial"/>
          <w:b/>
          <w:bCs/>
        </w:rPr>
        <w:t>Haggarty, D.R</w:t>
      </w:r>
      <w:r w:rsidRPr="387816AB">
        <w:rPr>
          <w:rFonts w:eastAsia="Arial" w:cs="Arial"/>
        </w:rPr>
        <w:t xml:space="preserve">. 2022. Evaluation of changes to the IPHC Fishery-Independent Setline Survey (FISS) with implications for management of select groundfish species in British Columbia. Can. Tech. Rep. Fish. </w:t>
      </w:r>
      <w:proofErr w:type="spellStart"/>
      <w:r w:rsidRPr="387816AB">
        <w:rPr>
          <w:rFonts w:eastAsia="Arial" w:cs="Arial"/>
        </w:rPr>
        <w:t>Aquat</w:t>
      </w:r>
      <w:proofErr w:type="spellEnd"/>
      <w:r w:rsidRPr="387816AB">
        <w:rPr>
          <w:rFonts w:eastAsia="Arial" w:cs="Arial"/>
        </w:rPr>
        <w:t xml:space="preserve">. Sci. 3483: vi + 64 p. </w:t>
      </w:r>
      <w:hyperlink r:id="rId136" w:history="1">
        <w:r w:rsidRPr="387816AB">
          <w:rPr>
            <w:rStyle w:val="Hyperlink"/>
            <w:rFonts w:eastAsia="Arial" w:cs="Arial"/>
          </w:rPr>
          <w:t>https://waves-vagues.dfo-mpo.gc.ca/library-bibliotheque/41090895.pdf</w:t>
        </w:r>
      </w:hyperlink>
    </w:p>
    <w:p w14:paraId="737E9080" w14:textId="6E0BAD32" w:rsidR="387816AB" w:rsidRDefault="387816AB" w:rsidP="387816AB">
      <w:pPr>
        <w:ind w:left="720" w:hanging="720"/>
        <w:rPr>
          <w:rFonts w:cs="Arial"/>
          <w:b/>
          <w:bCs/>
        </w:rPr>
      </w:pPr>
    </w:p>
    <w:p w14:paraId="1001E0C4" w14:textId="202E6FB6" w:rsidR="4BB19926" w:rsidRDefault="4BB19926" w:rsidP="387816AB">
      <w:pPr>
        <w:ind w:left="720" w:hanging="720"/>
        <w:rPr>
          <w:rFonts w:cs="Arial"/>
        </w:rPr>
      </w:pPr>
      <w:r w:rsidRPr="387816AB">
        <w:rPr>
          <w:rFonts w:cs="Arial"/>
          <w:b/>
          <w:bCs/>
        </w:rPr>
        <w:t>Haggarty, D.R.</w:t>
      </w:r>
      <w:r w:rsidRPr="387816AB">
        <w:rPr>
          <w:rFonts w:cs="Arial"/>
        </w:rPr>
        <w:t xml:space="preserve">, Huynh, Q.C., </w:t>
      </w:r>
      <w:r w:rsidRPr="387816AB">
        <w:rPr>
          <w:rFonts w:cs="Arial"/>
          <w:b/>
          <w:bCs/>
        </w:rPr>
        <w:t>Forrest, R.E.</w:t>
      </w:r>
      <w:r w:rsidRPr="387816AB">
        <w:rPr>
          <w:rFonts w:cs="Arial"/>
        </w:rPr>
        <w:t xml:space="preserve">, </w:t>
      </w:r>
      <w:r w:rsidRPr="387816AB">
        <w:rPr>
          <w:rFonts w:cs="Arial"/>
          <w:b/>
          <w:bCs/>
        </w:rPr>
        <w:t>Anderson, S.C.</w:t>
      </w:r>
      <w:r w:rsidRPr="387816AB">
        <w:rPr>
          <w:rFonts w:cs="Arial"/>
        </w:rPr>
        <w:t xml:space="preserve">, Bresch, M.J., and </w:t>
      </w:r>
      <w:r w:rsidRPr="387816AB">
        <w:rPr>
          <w:rFonts w:cs="Arial"/>
          <w:b/>
          <w:bCs/>
        </w:rPr>
        <w:t>Keppel, E.A.</w:t>
      </w:r>
      <w:r w:rsidRPr="387816AB">
        <w:rPr>
          <w:rFonts w:cs="Arial"/>
        </w:rPr>
        <w:t xml:space="preserve"> In press. Evaluation of potential rebuilding strategies for Inside Yelloweye Rockfish </w:t>
      </w:r>
      <w:r w:rsidRPr="387816AB">
        <w:rPr>
          <w:rFonts w:cs="Arial"/>
        </w:rPr>
        <w:lastRenderedPageBreak/>
        <w:t>(</w:t>
      </w:r>
      <w:r w:rsidRPr="387816AB">
        <w:rPr>
          <w:rFonts w:cs="Arial"/>
          <w:i/>
          <w:iCs/>
        </w:rPr>
        <w:t>Sebastes ruberrimus</w:t>
      </w:r>
      <w:r w:rsidRPr="387816AB">
        <w:rPr>
          <w:rFonts w:cs="Arial"/>
        </w:rPr>
        <w:t xml:space="preserve">) in British Columbia. DFO Can. </w:t>
      </w:r>
      <w:r w:rsidR="00261957">
        <w:rPr>
          <w:rFonts w:cs="Arial"/>
        </w:rPr>
        <w:t xml:space="preserve">Sci. </w:t>
      </w:r>
      <w:proofErr w:type="spellStart"/>
      <w:r w:rsidR="00261957">
        <w:rPr>
          <w:rFonts w:cs="Arial"/>
        </w:rPr>
        <w:t>Advis</w:t>
      </w:r>
      <w:proofErr w:type="spellEnd"/>
      <w:r w:rsidR="00261957">
        <w:rPr>
          <w:rFonts w:cs="Arial"/>
        </w:rPr>
        <w:t>. Sec. Res. Doc. 2021/0008</w:t>
      </w:r>
      <w:r w:rsidRPr="387816AB">
        <w:rPr>
          <w:rFonts w:cs="Arial"/>
        </w:rPr>
        <w:t>. vi + 142 p.</w:t>
      </w:r>
    </w:p>
    <w:p w14:paraId="4357E4CA" w14:textId="7FC81124" w:rsidR="387816AB" w:rsidRDefault="387816AB" w:rsidP="387816AB">
      <w:pPr>
        <w:ind w:left="720" w:right="720" w:hanging="720"/>
        <w:rPr>
          <w:rFonts w:eastAsia="Arial" w:cs="Arial"/>
        </w:rPr>
      </w:pPr>
    </w:p>
    <w:p w14:paraId="27A031D3" w14:textId="463EA589" w:rsidR="674CD1AE" w:rsidRDefault="674CD1AE" w:rsidP="387816AB">
      <w:pPr>
        <w:ind w:left="720" w:right="720" w:hanging="720"/>
        <w:rPr>
          <w:rFonts w:eastAsia="Arial" w:cs="Arial"/>
        </w:rPr>
      </w:pPr>
      <w:r w:rsidRPr="387816AB">
        <w:rPr>
          <w:rFonts w:eastAsia="Arial" w:cs="Arial"/>
          <w:b/>
          <w:bCs/>
        </w:rPr>
        <w:t>Haggarty, D.R.</w:t>
      </w:r>
      <w:r w:rsidRPr="387816AB">
        <w:rPr>
          <w:rFonts w:eastAsia="Arial" w:cs="Arial"/>
        </w:rPr>
        <w:t xml:space="preserve">, </w:t>
      </w:r>
      <w:r w:rsidRPr="387816AB">
        <w:rPr>
          <w:rFonts w:eastAsia="Arial" w:cs="Arial"/>
          <w:b/>
          <w:bCs/>
        </w:rPr>
        <w:t>Siegle, M.R.</w:t>
      </w:r>
      <w:r w:rsidRPr="387816AB">
        <w:rPr>
          <w:rFonts w:eastAsia="Arial" w:cs="Arial"/>
        </w:rPr>
        <w:t xml:space="preserve">, Litt, M.A., and Huynh, Q. 2022. Quillback Rockfish Fishery and Conservation Objectives Workshop Summary Report. Can. Tech. Rep. Fish. </w:t>
      </w:r>
      <w:proofErr w:type="spellStart"/>
      <w:r w:rsidRPr="387816AB">
        <w:rPr>
          <w:rFonts w:eastAsia="Arial" w:cs="Arial"/>
        </w:rPr>
        <w:t>Aquat</w:t>
      </w:r>
      <w:proofErr w:type="spellEnd"/>
      <w:r w:rsidRPr="387816AB">
        <w:rPr>
          <w:rFonts w:eastAsia="Arial" w:cs="Arial"/>
        </w:rPr>
        <w:t>. Sci. 3488: viii + 56 p.</w:t>
      </w:r>
    </w:p>
    <w:p w14:paraId="77FD68EA" w14:textId="6A57BDFD" w:rsidR="387816AB" w:rsidRDefault="387816AB" w:rsidP="387816AB">
      <w:pPr>
        <w:ind w:left="720" w:right="720" w:hanging="720"/>
        <w:rPr>
          <w:rFonts w:eastAsia="Arial" w:cs="Arial"/>
        </w:rPr>
      </w:pPr>
    </w:p>
    <w:p w14:paraId="771E3120" w14:textId="427522EF" w:rsidR="6AF1D07B" w:rsidRDefault="4F7F1106" w:rsidP="387816AB">
      <w:pPr>
        <w:ind w:left="720" w:right="720" w:hanging="720"/>
      </w:pPr>
      <w:r w:rsidRPr="00261957">
        <w:rPr>
          <w:rFonts w:eastAsia="Arial" w:cs="Arial"/>
          <w:b/>
        </w:rPr>
        <w:t>Lacko, L.C., Acheson, S.M.</w:t>
      </w:r>
      <w:r w:rsidR="6F4842EE" w:rsidRPr="00261957">
        <w:rPr>
          <w:rFonts w:eastAsia="Arial" w:cs="Arial"/>
          <w:b/>
        </w:rPr>
        <w:t>,</w:t>
      </w:r>
      <w:r w:rsidRPr="00261957">
        <w:rPr>
          <w:rFonts w:eastAsia="Arial" w:cs="Arial"/>
          <w:b/>
        </w:rPr>
        <w:t xml:space="preserve"> </w:t>
      </w:r>
      <w:r w:rsidRPr="1155EF1C">
        <w:rPr>
          <w:rFonts w:eastAsia="Arial" w:cs="Arial"/>
        </w:rPr>
        <w:t xml:space="preserve">and </w:t>
      </w:r>
      <w:r w:rsidRPr="1155EF1C">
        <w:rPr>
          <w:rFonts w:eastAsia="Arial" w:cs="Arial"/>
          <w:b/>
          <w:bCs/>
        </w:rPr>
        <w:t>Holt, K.R.</w:t>
      </w:r>
      <w:r w:rsidRPr="1155EF1C">
        <w:rPr>
          <w:rFonts w:eastAsia="Arial" w:cs="Arial"/>
        </w:rPr>
        <w:t xml:space="preserve"> 2023. Summary of the annual 2021 Sablefish (</w:t>
      </w:r>
      <w:r w:rsidRPr="1155EF1C">
        <w:rPr>
          <w:rFonts w:eastAsia="Arial" w:cs="Arial"/>
          <w:i/>
          <w:iCs/>
        </w:rPr>
        <w:t>Anoplopoma fimbria</w:t>
      </w:r>
      <w:r w:rsidRPr="1155EF1C">
        <w:rPr>
          <w:rFonts w:eastAsia="Arial" w:cs="Arial"/>
        </w:rPr>
        <w:t xml:space="preserve">) trap survey, October 6 - November 21, 2021. Can. Tech. Rep. Fish. </w:t>
      </w:r>
      <w:proofErr w:type="spellStart"/>
      <w:r w:rsidRPr="1155EF1C">
        <w:rPr>
          <w:rFonts w:eastAsia="Arial" w:cs="Arial"/>
        </w:rPr>
        <w:t>Aquat</w:t>
      </w:r>
      <w:proofErr w:type="spellEnd"/>
      <w:r w:rsidRPr="1155EF1C">
        <w:rPr>
          <w:rFonts w:eastAsia="Arial" w:cs="Arial"/>
        </w:rPr>
        <w:t>. Sci. 3530: vii + 48 p.</w:t>
      </w:r>
    </w:p>
    <w:p w14:paraId="40A58BE5" w14:textId="2EAAB0F0" w:rsidR="011D8235" w:rsidRDefault="011D8235" w:rsidP="011D8235">
      <w:pPr>
        <w:ind w:left="720" w:right="720" w:hanging="720"/>
        <w:rPr>
          <w:rFonts w:eastAsia="Arial" w:cs="Arial"/>
        </w:rPr>
      </w:pPr>
    </w:p>
    <w:p w14:paraId="53956D7E" w14:textId="3B21B441" w:rsidR="380DEDD1" w:rsidRDefault="577F72CF" w:rsidP="5C92B3F9">
      <w:pPr>
        <w:pStyle w:val="Citation"/>
      </w:pPr>
      <w:r>
        <w:t xml:space="preserve">Lindmark, M., </w:t>
      </w:r>
      <w:r w:rsidRPr="387816AB">
        <w:rPr>
          <w:b/>
          <w:bCs/>
        </w:rPr>
        <w:t>S.C. Anderson</w:t>
      </w:r>
      <w:r>
        <w:t xml:space="preserve">, M. </w:t>
      </w:r>
      <w:proofErr w:type="spellStart"/>
      <w:r>
        <w:t>Gogina</w:t>
      </w:r>
      <w:proofErr w:type="spellEnd"/>
      <w:r>
        <w:t xml:space="preserve">, </w:t>
      </w:r>
      <w:r w:rsidR="3F5736DA">
        <w:t xml:space="preserve">and </w:t>
      </w:r>
      <w:r>
        <w:t xml:space="preserve">M. </w:t>
      </w:r>
      <w:proofErr w:type="spellStart"/>
      <w:r>
        <w:t>Casini</w:t>
      </w:r>
      <w:proofErr w:type="spellEnd"/>
      <w:r>
        <w:t xml:space="preserve">. 2022. Evaluating drivers of spatiotemporal individual condition of a bottom-associated marine fish. </w:t>
      </w:r>
      <w:proofErr w:type="spellStart"/>
      <w:r>
        <w:t>bioRxiv</w:t>
      </w:r>
      <w:proofErr w:type="spellEnd"/>
      <w:r>
        <w:t xml:space="preserve"> 2022.04.19.488709. https://doi.org/10.1101/2022.04.19.488709.</w:t>
      </w:r>
    </w:p>
    <w:p w14:paraId="32B1EC83" w14:textId="4F207E75" w:rsidR="01FFA3F7" w:rsidRDefault="01FFA3F7" w:rsidP="387816AB">
      <w:pPr>
        <w:pStyle w:val="Citation"/>
      </w:pPr>
      <w:proofErr w:type="spellStart"/>
      <w:r>
        <w:t>Robichaud</w:t>
      </w:r>
      <w:proofErr w:type="spellEnd"/>
      <w:r>
        <w:t xml:space="preserve">, D. and </w:t>
      </w:r>
      <w:r w:rsidRPr="387816AB">
        <w:rPr>
          <w:b/>
          <w:bCs/>
        </w:rPr>
        <w:t>Haggarty, D.R.</w:t>
      </w:r>
      <w:r>
        <w:t xml:space="preserve"> 2022. Comparison of rockfish and lingcod catch estimates from internet recreational effort and catch (iREC) and creel surveys. Can. Tech. Rep. Fish. </w:t>
      </w:r>
      <w:proofErr w:type="spellStart"/>
      <w:r>
        <w:t>Aquat</w:t>
      </w:r>
      <w:proofErr w:type="spellEnd"/>
      <w:r>
        <w:t>. Sci. 3500: v + 46 p.</w:t>
      </w:r>
    </w:p>
    <w:p w14:paraId="39D0C31F" w14:textId="50D37FA9" w:rsidR="26473DC1" w:rsidRDefault="26473DC1" w:rsidP="387816AB">
      <w:pPr>
        <w:pStyle w:val="Citation"/>
      </w:pPr>
      <w:r w:rsidRPr="387816AB">
        <w:rPr>
          <w:b/>
          <w:bCs/>
        </w:rPr>
        <w:t>Siegle, M.</w:t>
      </w:r>
      <w:r>
        <w:t xml:space="preserve">, </w:t>
      </w:r>
      <w:r w:rsidRPr="387816AB">
        <w:rPr>
          <w:b/>
          <w:bCs/>
        </w:rPr>
        <w:t>D.R. Haggarty</w:t>
      </w:r>
      <w:r>
        <w:t>, Q. Huynh, B. Doherty, and J. Banning. 2022. Recovery Potential Assessment for Yelloweye Rockfish (</w:t>
      </w:r>
      <w:r w:rsidRPr="387816AB">
        <w:rPr>
          <w:i/>
          <w:iCs/>
        </w:rPr>
        <w:t>Sebastes ruberrimus</w:t>
      </w:r>
      <w:r>
        <w:t xml:space="preserve">) in British Columbia. DFO Can. Sci. </w:t>
      </w:r>
      <w:proofErr w:type="spellStart"/>
      <w:r>
        <w:t>Advis</w:t>
      </w:r>
      <w:proofErr w:type="spellEnd"/>
      <w:r>
        <w:t>. Sec. Sci. Resp. 2022/</w:t>
      </w:r>
      <w:proofErr w:type="spellStart"/>
      <w:r>
        <w:t>nnn</w:t>
      </w:r>
      <w:proofErr w:type="spellEnd"/>
      <w:r>
        <w:t>.</w:t>
      </w:r>
    </w:p>
    <w:p w14:paraId="4D5AF761" w14:textId="0529BA34" w:rsidR="1738BBCC" w:rsidRDefault="1738BBCC" w:rsidP="387816AB">
      <w:pPr>
        <w:pStyle w:val="Citation"/>
      </w:pPr>
      <w:r w:rsidRPr="387816AB">
        <w:t xml:space="preserve">Starr, P.J. and </w:t>
      </w:r>
      <w:r w:rsidRPr="387816AB">
        <w:rPr>
          <w:b/>
          <w:bCs/>
        </w:rPr>
        <w:t>Haigh, R</w:t>
      </w:r>
      <w:r w:rsidRPr="387816AB">
        <w:t>. 2022. Bocaccio (</w:t>
      </w:r>
      <w:r w:rsidRPr="387816AB">
        <w:rPr>
          <w:i/>
          <w:iCs/>
        </w:rPr>
        <w:t>Sebastes paucispinis</w:t>
      </w:r>
      <w:r w:rsidRPr="387816AB">
        <w:t xml:space="preserve">) stock assessment for British Columbia in 2019, including guidance for rebuilding plans. DFO Can. Sci. </w:t>
      </w:r>
      <w:proofErr w:type="spellStart"/>
      <w:r w:rsidRPr="387816AB">
        <w:t>Advis</w:t>
      </w:r>
      <w:proofErr w:type="spellEnd"/>
      <w:r w:rsidRPr="387816AB">
        <w:t>. Sec. Res. Doc. In press</w:t>
      </w:r>
    </w:p>
    <w:p w14:paraId="76F7B3C9" w14:textId="1AA06AAB" w:rsidR="1738BBCC" w:rsidRDefault="1738BBCC" w:rsidP="387816AB">
      <w:pPr>
        <w:pStyle w:val="Citation"/>
      </w:pPr>
      <w:r w:rsidRPr="387816AB">
        <w:t xml:space="preserve">Starr, P.J. and </w:t>
      </w:r>
      <w:r w:rsidRPr="387816AB">
        <w:rPr>
          <w:b/>
          <w:bCs/>
        </w:rPr>
        <w:t>Haigh, R.</w:t>
      </w:r>
      <w:r w:rsidRPr="387816AB">
        <w:t xml:space="preserve"> 2022. Yellowmouth Rockfish (</w:t>
      </w:r>
      <w:r w:rsidRPr="387816AB">
        <w:rPr>
          <w:i/>
          <w:iCs/>
        </w:rPr>
        <w:t>Sebastes reedi</w:t>
      </w:r>
      <w:r w:rsidRPr="387816AB">
        <w:t xml:space="preserve">) stock assessment for British Columbia in 2021. DFO Can. Sci. </w:t>
      </w:r>
      <w:proofErr w:type="spellStart"/>
      <w:r w:rsidRPr="387816AB">
        <w:t>Advis</w:t>
      </w:r>
      <w:proofErr w:type="spellEnd"/>
      <w:r w:rsidRPr="387816AB">
        <w:t>. Sec. Res. Doc. 2022/010. viii + 288 p.</w:t>
      </w:r>
    </w:p>
    <w:p w14:paraId="136B8B22" w14:textId="2208CF4B" w:rsidR="69D08510" w:rsidRDefault="69D08510" w:rsidP="387816AB">
      <w:pPr>
        <w:ind w:left="720" w:right="720" w:hanging="720"/>
      </w:pPr>
      <w:r w:rsidRPr="00261957">
        <w:rPr>
          <w:rFonts w:eastAsia="Arial" w:cs="Arial"/>
          <w:b/>
        </w:rPr>
        <w:t>Williams, D.C.</w:t>
      </w:r>
      <w:r w:rsidRPr="387816AB">
        <w:rPr>
          <w:rFonts w:eastAsia="Arial" w:cs="Arial"/>
        </w:rPr>
        <w:t xml:space="preserve"> and </w:t>
      </w:r>
      <w:r w:rsidRPr="387816AB">
        <w:rPr>
          <w:rFonts w:eastAsia="Arial" w:cs="Arial"/>
          <w:b/>
          <w:bCs/>
        </w:rPr>
        <w:t>Haggarty, D</w:t>
      </w:r>
      <w:r w:rsidRPr="387816AB">
        <w:rPr>
          <w:rFonts w:eastAsia="Arial" w:cs="Arial"/>
        </w:rPr>
        <w:t xml:space="preserve">. 2022. Summary of the 2021 Hard Bottom Longline Inside Surveys in British Columbia. Can. </w:t>
      </w:r>
      <w:proofErr w:type="spellStart"/>
      <w:r w:rsidRPr="387816AB">
        <w:rPr>
          <w:rFonts w:eastAsia="Arial" w:cs="Arial"/>
        </w:rPr>
        <w:t>Manuscr</w:t>
      </w:r>
      <w:proofErr w:type="spellEnd"/>
      <w:r w:rsidRPr="387816AB">
        <w:rPr>
          <w:rFonts w:eastAsia="Arial" w:cs="Arial"/>
        </w:rPr>
        <w:t xml:space="preserve">. Rep. Fish. </w:t>
      </w:r>
      <w:proofErr w:type="spellStart"/>
      <w:r w:rsidRPr="387816AB">
        <w:rPr>
          <w:rFonts w:eastAsia="Arial" w:cs="Arial"/>
        </w:rPr>
        <w:t>Aquat</w:t>
      </w:r>
      <w:proofErr w:type="spellEnd"/>
      <w:r w:rsidRPr="387816AB">
        <w:rPr>
          <w:rFonts w:eastAsia="Arial" w:cs="Arial"/>
        </w:rPr>
        <w:t>. Sci. 3245: v + 31 p.</w:t>
      </w:r>
    </w:p>
    <w:p w14:paraId="793EA682" w14:textId="370F0C9B" w:rsidR="387816AB" w:rsidRDefault="387816AB" w:rsidP="387816AB">
      <w:pPr>
        <w:pStyle w:val="Citation"/>
      </w:pPr>
    </w:p>
    <w:p w14:paraId="648F6011" w14:textId="2D1EE387" w:rsidR="00025F4F" w:rsidRPr="00BD0316" w:rsidRDefault="003B6356" w:rsidP="00025F4F">
      <w:pPr>
        <w:pStyle w:val="Citation"/>
        <w:sectPr w:rsidR="00025F4F" w:rsidRPr="00BD0316" w:rsidSect="00E254CA">
          <w:headerReference w:type="default" r:id="rId137"/>
          <w:footerReference w:type="default" r:id="rId138"/>
          <w:pgSz w:w="12240" w:h="15840"/>
          <w:pgMar w:top="1440" w:right="1440" w:bottom="1440" w:left="1440" w:header="720" w:footer="720" w:gutter="0"/>
          <w:pgNumType w:start="1"/>
          <w:cols w:space="720"/>
          <w:docGrid w:linePitch="360"/>
        </w:sectPr>
      </w:pPr>
      <w:r>
        <w:t xml:space="preserve"> </w:t>
      </w:r>
    </w:p>
    <w:p w14:paraId="499209DD" w14:textId="2BB0D338" w:rsidR="00DF2505" w:rsidRPr="00233598" w:rsidRDefault="30D89CE9" w:rsidP="5ABB0D50">
      <w:pPr>
        <w:pStyle w:val="AppendixHeading1"/>
        <w:numPr>
          <w:ilvl w:val="0"/>
          <w:numId w:val="0"/>
        </w:numPr>
        <w:rPr>
          <w:color w:val="auto"/>
        </w:rPr>
      </w:pPr>
      <w:bookmarkStart w:id="33" w:name="_bookmark57"/>
      <w:bookmarkStart w:id="34" w:name="_Toc131161728"/>
      <w:bookmarkEnd w:id="33"/>
      <w:r>
        <w:lastRenderedPageBreak/>
        <w:t xml:space="preserve">Appendix </w:t>
      </w:r>
      <w:r w:rsidR="4DD6873E">
        <w:t>1</w:t>
      </w:r>
      <w:r>
        <w:t xml:space="preserve">: </w:t>
      </w:r>
      <w:r w:rsidR="3B94E0C8">
        <w:t>British Columbia commercial groundfish TACs, l</w:t>
      </w:r>
      <w:r w:rsidR="38D22474">
        <w:t>andings</w:t>
      </w:r>
      <w:r w:rsidR="3B94E0C8">
        <w:t xml:space="preserve">, and research allocations for </w:t>
      </w:r>
      <w:r w:rsidR="3B94E0C8" w:rsidRPr="387816AB">
        <w:rPr>
          <w:color w:val="auto"/>
        </w:rPr>
        <w:t>20</w:t>
      </w:r>
      <w:r w:rsidR="2796ABE4" w:rsidRPr="387816AB">
        <w:rPr>
          <w:color w:val="auto"/>
        </w:rPr>
        <w:t>2</w:t>
      </w:r>
      <w:r w:rsidR="7A60FC37" w:rsidRPr="387816AB">
        <w:rPr>
          <w:color w:val="auto"/>
        </w:rPr>
        <w:t>2</w:t>
      </w:r>
      <w:r w:rsidR="3B94E0C8" w:rsidRPr="387816AB">
        <w:rPr>
          <w:color w:val="auto"/>
        </w:rPr>
        <w:t>.</w:t>
      </w:r>
      <w:bookmarkEnd w:id="34"/>
    </w:p>
    <w:p w14:paraId="67CE14D0" w14:textId="1096EE5B" w:rsidR="00DF2505" w:rsidRPr="00DF2505" w:rsidRDefault="5BE8A2E8" w:rsidP="006478F5">
      <w:pPr>
        <w:pStyle w:val="Caption"/>
      </w:pPr>
      <w:r>
        <w:t xml:space="preserve">Table 1. British Columbia Groundfish Total Allowable Catch (TAC) and commercial landings in metric tonnes (t) for </w:t>
      </w:r>
      <w:r w:rsidR="13AD58FC">
        <w:t xml:space="preserve">the </w:t>
      </w:r>
      <w:r>
        <w:t>20</w:t>
      </w:r>
      <w:r w:rsidR="6C78F4E3">
        <w:t>2</w:t>
      </w:r>
      <w:r w:rsidR="18F43BA0">
        <w:t>2</w:t>
      </w:r>
      <w:r w:rsidR="13AD58FC">
        <w:t xml:space="preserve"> fishing year</w:t>
      </w:r>
      <w:r>
        <w:t>.  Except where noted, TACs are from the 20</w:t>
      </w:r>
      <w:r w:rsidR="16C493DA">
        <w:t>2</w:t>
      </w:r>
      <w:r w:rsidR="14BC1211">
        <w:t>2</w:t>
      </w:r>
      <w:r w:rsidR="16C493DA">
        <w:t xml:space="preserve"> </w:t>
      </w:r>
      <w:r>
        <w:t>Groundfish Integrated Fisheries Management Plan (</w:t>
      </w:r>
      <w:hyperlink r:id="rId139">
        <w:r w:rsidR="6CE53ABA" w:rsidRPr="490425B0">
          <w:rPr>
            <w:rStyle w:val="Hyperlink"/>
          </w:rPr>
          <w:t>https://waves-vagues.dfo-mpo.gc.ca/Library/40990151.pdf</w:t>
        </w:r>
      </w:hyperlink>
      <w:r>
        <w:t xml:space="preserve">). </w:t>
      </w:r>
      <w:r w:rsidR="13AD58FC">
        <w:t>Landings are from the Dockside Monitoring Program.</w:t>
      </w:r>
    </w:p>
    <w:tbl>
      <w:tblPr>
        <w:tblW w:w="13000" w:type="dxa"/>
        <w:tblLook w:val="04A0" w:firstRow="1" w:lastRow="0" w:firstColumn="1" w:lastColumn="0" w:noHBand="0" w:noVBand="1"/>
      </w:tblPr>
      <w:tblGrid>
        <w:gridCol w:w="3600"/>
        <w:gridCol w:w="1995"/>
        <w:gridCol w:w="1317"/>
        <w:gridCol w:w="1522"/>
        <w:gridCol w:w="1522"/>
        <w:gridCol w:w="1522"/>
        <w:gridCol w:w="1522"/>
      </w:tblGrid>
      <w:tr w:rsidR="006D221A" w:rsidRPr="004E1074" w14:paraId="1C092D54" w14:textId="77777777" w:rsidTr="490425B0">
        <w:trPr>
          <w:tblHeader/>
        </w:trPr>
        <w:tc>
          <w:tcPr>
            <w:tcW w:w="3600" w:type="dxa"/>
            <w:vMerge w:val="restart"/>
            <w:tcBorders>
              <w:top w:val="single" w:sz="4" w:space="0" w:color="auto"/>
              <w:left w:val="single" w:sz="4" w:space="0" w:color="auto"/>
              <w:right w:val="single" w:sz="4" w:space="0" w:color="auto"/>
            </w:tcBorders>
            <w:shd w:val="clear" w:color="auto" w:fill="auto"/>
            <w:noWrap/>
            <w:vAlign w:val="center"/>
            <w:hideMark/>
          </w:tcPr>
          <w:p w14:paraId="3608E434" w14:textId="77777777" w:rsidR="006D221A" w:rsidRPr="002C2ECB" w:rsidRDefault="006D221A" w:rsidP="002A17D1">
            <w:pPr>
              <w:rPr>
                <w:rFonts w:eastAsia="Times New Roman" w:cs="Arial"/>
                <w:b/>
                <w:bCs/>
                <w:color w:val="000000"/>
              </w:rPr>
            </w:pPr>
            <w:r w:rsidRPr="004E1074">
              <w:rPr>
                <w:rFonts w:eastAsia="Times New Roman" w:cs="Arial"/>
                <w:b/>
                <w:bCs/>
                <w:color w:val="000000"/>
              </w:rPr>
              <w:t>Species or Species Group</w:t>
            </w:r>
          </w:p>
        </w:tc>
        <w:tc>
          <w:tcPr>
            <w:tcW w:w="33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94FF" w14:textId="77777777" w:rsidR="006D221A" w:rsidRPr="002C2ECB" w:rsidRDefault="006D221A" w:rsidP="00E54742">
            <w:pPr>
              <w:jc w:val="center"/>
              <w:rPr>
                <w:rFonts w:eastAsia="Times New Roman" w:cs="Arial"/>
                <w:b/>
                <w:color w:val="000000"/>
              </w:rPr>
            </w:pPr>
            <w:r w:rsidRPr="004E1074">
              <w:rPr>
                <w:rFonts w:eastAsia="Times New Roman" w:cs="Arial"/>
                <w:b/>
                <w:bCs/>
                <w:color w:val="000000"/>
              </w:rPr>
              <w:t>Trawl Sector</w:t>
            </w:r>
            <w:r w:rsidRPr="002C2ECB">
              <w:rPr>
                <w:rFonts w:eastAsia="Times New Roman" w:cs="Arial"/>
                <w:b/>
                <w:bCs/>
                <w:color w:val="000000"/>
              </w:rPr>
              <w:t xml:space="preserve"> </w:t>
            </w:r>
            <w:r w:rsidRPr="004E1074">
              <w:rPr>
                <w:rFonts w:eastAsia="Times New Roman" w:cs="Arial"/>
                <w:b/>
                <w:bCs/>
                <w:color w:val="000000"/>
              </w:rPr>
              <w:t>(t)</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278B8" w14:textId="77777777" w:rsidR="006D221A" w:rsidRPr="002C2ECB" w:rsidRDefault="006D221A" w:rsidP="00E54742">
            <w:pPr>
              <w:jc w:val="center"/>
              <w:rPr>
                <w:rFonts w:eastAsia="Times New Roman" w:cs="Arial"/>
                <w:b/>
                <w:color w:val="000000"/>
              </w:rPr>
            </w:pPr>
            <w:r w:rsidRPr="004E1074">
              <w:rPr>
                <w:rFonts w:eastAsia="Times New Roman" w:cs="Arial"/>
                <w:b/>
                <w:bCs/>
                <w:color w:val="000000"/>
              </w:rPr>
              <w:t>Combined Line Sectors (t)</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9F2B3" w14:textId="77777777" w:rsidR="006D221A" w:rsidRPr="004E1074" w:rsidRDefault="006D221A" w:rsidP="00E54742">
            <w:pPr>
              <w:jc w:val="center"/>
              <w:rPr>
                <w:rFonts w:eastAsia="Times New Roman" w:cs="Arial"/>
                <w:b/>
                <w:color w:val="000000"/>
              </w:rPr>
            </w:pPr>
            <w:r w:rsidRPr="004E1074">
              <w:rPr>
                <w:rFonts w:eastAsia="Times New Roman" w:cs="Arial"/>
                <w:b/>
                <w:color w:val="000000"/>
              </w:rPr>
              <w:t>Total (t)</w:t>
            </w:r>
          </w:p>
        </w:tc>
      </w:tr>
      <w:tr w:rsidR="006D221A" w:rsidRPr="004E1074" w14:paraId="55B84919" w14:textId="77777777" w:rsidTr="490425B0">
        <w:trPr>
          <w:tblHeader/>
        </w:trPr>
        <w:tc>
          <w:tcPr>
            <w:tcW w:w="3600" w:type="dxa"/>
            <w:vMerge/>
            <w:noWrap/>
            <w:vAlign w:val="center"/>
            <w:hideMark/>
          </w:tcPr>
          <w:p w14:paraId="2328BB07" w14:textId="77777777" w:rsidR="006D221A" w:rsidRPr="002C2ECB" w:rsidRDefault="006D221A" w:rsidP="002A17D1">
            <w:pPr>
              <w:rPr>
                <w:rFonts w:eastAsia="Times New Roman" w:cs="Arial"/>
                <w:b/>
                <w:bCs/>
                <w:color w:val="000000"/>
              </w:rPr>
            </w:pP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CDB9C" w14:textId="77777777" w:rsidR="006D221A" w:rsidRPr="002C2ECB" w:rsidRDefault="006D221A" w:rsidP="00E54742">
            <w:pPr>
              <w:jc w:val="center"/>
              <w:rPr>
                <w:rFonts w:eastAsia="Times New Roman" w:cs="Arial"/>
                <w:b/>
                <w:bCs/>
                <w:color w:val="000000"/>
              </w:rPr>
            </w:pPr>
            <w:r w:rsidRPr="002C2ECB">
              <w:rPr>
                <w:rFonts w:eastAsia="Times New Roman" w:cs="Arial"/>
                <w:b/>
                <w:bCs/>
                <w:color w:val="000000"/>
              </w:rPr>
              <w:t>TAC</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2B60E" w14:textId="77777777" w:rsidR="006D221A" w:rsidRPr="002C2ECB" w:rsidRDefault="006D221A" w:rsidP="00E54742">
            <w:pPr>
              <w:jc w:val="center"/>
              <w:rPr>
                <w:rFonts w:eastAsia="Times New Roman" w:cs="Arial"/>
                <w:b/>
                <w:bCs/>
                <w:color w:val="000000"/>
              </w:rPr>
            </w:pPr>
            <w:r w:rsidRPr="002C2ECB">
              <w:rPr>
                <w:rFonts w:eastAsia="Times New Roman" w:cs="Arial"/>
                <w:b/>
                <w:bCs/>
                <w:color w:val="000000"/>
              </w:rPr>
              <w:t>Landings</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F468F" w14:textId="77777777" w:rsidR="006D221A" w:rsidRPr="002C2ECB" w:rsidRDefault="006D221A" w:rsidP="00E54742">
            <w:pPr>
              <w:jc w:val="center"/>
              <w:rPr>
                <w:rFonts w:eastAsia="Times New Roman" w:cs="Arial"/>
                <w:b/>
                <w:bCs/>
                <w:color w:val="000000"/>
              </w:rPr>
            </w:pPr>
            <w:r w:rsidRPr="002C2ECB">
              <w:rPr>
                <w:rFonts w:eastAsia="Times New Roman" w:cs="Arial"/>
                <w:b/>
                <w:bCs/>
                <w:color w:val="000000"/>
              </w:rPr>
              <w:t>TAC</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712B" w14:textId="77777777" w:rsidR="006D221A" w:rsidRPr="002C2ECB" w:rsidRDefault="006D221A" w:rsidP="00E54742">
            <w:pPr>
              <w:jc w:val="center"/>
              <w:rPr>
                <w:rFonts w:eastAsia="Times New Roman" w:cs="Arial"/>
                <w:b/>
                <w:bCs/>
                <w:color w:val="000000"/>
              </w:rPr>
            </w:pPr>
            <w:r w:rsidRPr="002C2ECB">
              <w:rPr>
                <w:rFonts w:eastAsia="Times New Roman" w:cs="Arial"/>
                <w:b/>
                <w:bCs/>
                <w:color w:val="000000"/>
              </w:rPr>
              <w:t>Landings</w:t>
            </w:r>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14:paraId="7A730EAA" w14:textId="77777777" w:rsidR="006D221A" w:rsidRPr="002C2ECB" w:rsidRDefault="006D221A" w:rsidP="00E54742">
            <w:pPr>
              <w:jc w:val="center"/>
              <w:rPr>
                <w:rFonts w:eastAsia="Times New Roman" w:cs="Arial"/>
                <w:b/>
                <w:bCs/>
                <w:color w:val="000000"/>
              </w:rPr>
            </w:pPr>
            <w:r w:rsidRPr="002C2ECB">
              <w:rPr>
                <w:rFonts w:eastAsia="Times New Roman" w:cs="Arial"/>
                <w:b/>
                <w:bCs/>
                <w:color w:val="000000"/>
              </w:rPr>
              <w:t>TAC</w:t>
            </w:r>
          </w:p>
        </w:tc>
        <w:tc>
          <w:tcPr>
            <w:tcW w:w="1522" w:type="dxa"/>
            <w:tcBorders>
              <w:top w:val="single" w:sz="4" w:space="0" w:color="auto"/>
              <w:left w:val="nil"/>
              <w:bottom w:val="single" w:sz="4" w:space="0" w:color="auto"/>
              <w:right w:val="single" w:sz="4" w:space="0" w:color="auto"/>
            </w:tcBorders>
            <w:vAlign w:val="center"/>
          </w:tcPr>
          <w:p w14:paraId="01A47269" w14:textId="77777777" w:rsidR="006D221A" w:rsidRPr="004E1074" w:rsidRDefault="006D221A" w:rsidP="00E54742">
            <w:pPr>
              <w:jc w:val="center"/>
              <w:rPr>
                <w:rFonts w:eastAsia="Times New Roman" w:cs="Arial"/>
                <w:b/>
                <w:bCs/>
                <w:color w:val="000000"/>
              </w:rPr>
            </w:pPr>
            <w:r w:rsidRPr="002C2ECB">
              <w:rPr>
                <w:rFonts w:eastAsia="Times New Roman" w:cs="Arial"/>
                <w:b/>
                <w:bCs/>
                <w:color w:val="000000"/>
              </w:rPr>
              <w:t>Landings</w:t>
            </w:r>
          </w:p>
        </w:tc>
      </w:tr>
      <w:tr w:rsidR="006D221A" w:rsidRPr="00E54742" w14:paraId="3A2B2DED"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DBE69" w14:textId="77777777" w:rsidR="006D221A" w:rsidRPr="00233598" w:rsidRDefault="006D221A" w:rsidP="002A17D1">
            <w:pPr>
              <w:rPr>
                <w:rFonts w:eastAsia="Times New Roman" w:cs="Arial"/>
                <w:i/>
              </w:rPr>
            </w:pPr>
            <w:r w:rsidRPr="00233598">
              <w:rPr>
                <w:rFonts w:eastAsia="Times New Roman" w:cs="Arial"/>
                <w:i/>
              </w:rPr>
              <w:t>Sharks And Skates</w:t>
            </w: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AC6DA" w14:textId="77777777" w:rsidR="006D221A" w:rsidRPr="00233598" w:rsidRDefault="006D221A" w:rsidP="00E54742">
            <w:pPr>
              <w:jc w:val="center"/>
              <w:rPr>
                <w:rFonts w:eastAsia="Times New Roman" w:cs="Arial"/>
                <w:i/>
              </w:rPr>
            </w:pP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A98D6" w14:textId="77777777" w:rsidR="006D221A" w:rsidRPr="00233598" w:rsidRDefault="006D221A" w:rsidP="00E54742">
            <w:pPr>
              <w:jc w:val="center"/>
              <w:rPr>
                <w:rFonts w:eastAsia="Times New Roman" w:cs="Arial"/>
                <w:i/>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A1408" w14:textId="77777777" w:rsidR="006D221A" w:rsidRPr="00233598" w:rsidRDefault="006D221A" w:rsidP="00E54742">
            <w:pPr>
              <w:jc w:val="center"/>
              <w:rPr>
                <w:rFonts w:eastAsia="Times New Roman" w:cs="Arial"/>
                <w:i/>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49383" w14:textId="77777777" w:rsidR="006D221A" w:rsidRPr="00233598" w:rsidRDefault="006D221A" w:rsidP="00E54742">
            <w:pPr>
              <w:jc w:val="center"/>
              <w:rPr>
                <w:rFonts w:eastAsia="Times New Roman" w:cs="Arial"/>
                <w:i/>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AC41" w14:textId="77777777" w:rsidR="006D221A" w:rsidRPr="00233598" w:rsidRDefault="006D221A" w:rsidP="00E54742">
            <w:pPr>
              <w:jc w:val="center"/>
              <w:rPr>
                <w:rFonts w:eastAsia="Times New Roman" w:cs="Arial"/>
                <w:i/>
              </w:rPr>
            </w:pPr>
          </w:p>
        </w:tc>
        <w:tc>
          <w:tcPr>
            <w:tcW w:w="1522" w:type="dxa"/>
            <w:tcBorders>
              <w:top w:val="single" w:sz="4" w:space="0" w:color="auto"/>
              <w:left w:val="single" w:sz="4" w:space="0" w:color="auto"/>
              <w:bottom w:val="single" w:sz="4" w:space="0" w:color="auto"/>
              <w:right w:val="single" w:sz="4" w:space="0" w:color="auto"/>
            </w:tcBorders>
            <w:vAlign w:val="center"/>
          </w:tcPr>
          <w:p w14:paraId="12A4EA11" w14:textId="77777777" w:rsidR="006D221A" w:rsidRPr="00233598" w:rsidRDefault="006D221A" w:rsidP="00E54742">
            <w:pPr>
              <w:jc w:val="center"/>
              <w:rPr>
                <w:rFonts w:eastAsia="Times New Roman" w:cs="Arial"/>
                <w:i/>
              </w:rPr>
            </w:pPr>
          </w:p>
        </w:tc>
      </w:tr>
      <w:tr w:rsidR="00F6538B" w:rsidRPr="001B000F" w14:paraId="400F57FF"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65DB6" w14:textId="282BD689" w:rsidR="00F6538B" w:rsidRPr="00233598" w:rsidRDefault="00F6538B" w:rsidP="00F6538B">
            <w:pPr>
              <w:ind w:left="432"/>
              <w:rPr>
                <w:rFonts w:eastAsia="Times New Roman" w:cs="Arial"/>
              </w:rPr>
            </w:pPr>
            <w:r w:rsidRPr="00233598">
              <w:rPr>
                <w:rFonts w:eastAsia="Times New Roman" w:cs="Arial"/>
              </w:rPr>
              <w:t>North Pacific Spiny Dogfish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A75A9" w14:textId="17B73C69" w:rsidR="478F00B7" w:rsidRDefault="7134F639" w:rsidP="490425B0">
            <w:pPr>
              <w:spacing w:line="257" w:lineRule="auto"/>
              <w:jc w:val="center"/>
              <w:rPr>
                <w:rFonts w:eastAsia="Arial" w:cs="Arial"/>
              </w:rPr>
            </w:pPr>
            <w:r w:rsidRPr="490425B0">
              <w:rPr>
                <w:rFonts w:eastAsia="Arial" w:cs="Arial"/>
              </w:rPr>
              <w:t>4,480</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EC718" w14:textId="08D45736" w:rsidR="490425B0" w:rsidRDefault="490425B0" w:rsidP="490425B0">
            <w:pPr>
              <w:spacing w:line="257" w:lineRule="auto"/>
              <w:jc w:val="center"/>
              <w:rPr>
                <w:rFonts w:eastAsia="Arial" w:cs="Arial"/>
              </w:rPr>
            </w:pPr>
            <w:r w:rsidRPr="490425B0">
              <w:rPr>
                <w:rFonts w:eastAsia="Arial" w:cs="Arial"/>
              </w:rPr>
              <w:t>109</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7B163" w14:textId="0940522C" w:rsidR="478F00B7" w:rsidRDefault="7134F639" w:rsidP="490425B0">
            <w:pPr>
              <w:spacing w:line="257" w:lineRule="auto"/>
              <w:jc w:val="center"/>
              <w:rPr>
                <w:rFonts w:eastAsia="Arial" w:cs="Arial"/>
              </w:rPr>
            </w:pPr>
            <w:r w:rsidRPr="490425B0">
              <w:rPr>
                <w:rFonts w:eastAsia="Arial" w:cs="Arial"/>
              </w:rPr>
              <w:t>9,520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0D663" w14:textId="09563DD8"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CDA4E" w14:textId="18DF26B6" w:rsidR="478F00B7" w:rsidRDefault="7134F639" w:rsidP="490425B0">
            <w:pPr>
              <w:spacing w:line="257" w:lineRule="auto"/>
              <w:jc w:val="center"/>
              <w:rPr>
                <w:rFonts w:eastAsia="Arial" w:cs="Arial"/>
              </w:rPr>
            </w:pPr>
            <w:r w:rsidRPr="490425B0">
              <w:rPr>
                <w:rFonts w:eastAsia="Arial" w:cs="Arial"/>
              </w:rPr>
              <w:t>14,000</w:t>
            </w:r>
          </w:p>
        </w:tc>
        <w:tc>
          <w:tcPr>
            <w:tcW w:w="1522" w:type="dxa"/>
            <w:tcBorders>
              <w:top w:val="single" w:sz="4" w:space="0" w:color="auto"/>
              <w:left w:val="single" w:sz="4" w:space="0" w:color="auto"/>
              <w:bottom w:val="single" w:sz="4" w:space="0" w:color="auto"/>
              <w:right w:val="single" w:sz="4" w:space="0" w:color="auto"/>
            </w:tcBorders>
            <w:vAlign w:val="center"/>
          </w:tcPr>
          <w:p w14:paraId="5935F6A3" w14:textId="7E30A7F2" w:rsidR="490425B0" w:rsidRDefault="490425B0" w:rsidP="490425B0">
            <w:pPr>
              <w:spacing w:line="257" w:lineRule="auto"/>
              <w:jc w:val="center"/>
              <w:rPr>
                <w:rFonts w:eastAsia="Arial" w:cs="Arial"/>
              </w:rPr>
            </w:pPr>
            <w:r w:rsidRPr="490425B0">
              <w:rPr>
                <w:rFonts w:eastAsia="Arial" w:cs="Arial"/>
              </w:rPr>
              <w:t>109</w:t>
            </w:r>
          </w:p>
        </w:tc>
      </w:tr>
      <w:tr w:rsidR="00F6538B" w:rsidRPr="004E1074" w14:paraId="5F3B7440"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E5F28" w14:textId="60D40386" w:rsidR="00F6538B" w:rsidRPr="00233598" w:rsidRDefault="00F6538B" w:rsidP="00F6538B">
            <w:pPr>
              <w:ind w:left="432"/>
              <w:rPr>
                <w:rFonts w:eastAsia="Times New Roman" w:cs="Arial"/>
              </w:rPr>
            </w:pPr>
            <w:r w:rsidRPr="00233598">
              <w:rPr>
                <w:rFonts w:eastAsia="Times New Roman" w:cs="Arial"/>
              </w:rPr>
              <w:t>Big Skate</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0C1C0" w14:textId="3E008C36" w:rsidR="478F00B7" w:rsidRDefault="7134F639" w:rsidP="490425B0">
            <w:pPr>
              <w:spacing w:line="257" w:lineRule="auto"/>
              <w:jc w:val="center"/>
              <w:rPr>
                <w:rFonts w:eastAsia="Arial" w:cs="Arial"/>
              </w:rPr>
            </w:pPr>
            <w:r w:rsidRPr="490425B0">
              <w:rPr>
                <w:rFonts w:eastAsia="Arial" w:cs="Arial"/>
              </w:rPr>
              <w:t>914</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5A28" w14:textId="6A8767B3" w:rsidR="490425B0" w:rsidRDefault="490425B0" w:rsidP="490425B0">
            <w:pPr>
              <w:spacing w:line="257" w:lineRule="auto"/>
              <w:jc w:val="center"/>
              <w:rPr>
                <w:rFonts w:eastAsia="Arial" w:cs="Arial"/>
              </w:rPr>
            </w:pPr>
            <w:r w:rsidRPr="490425B0">
              <w:rPr>
                <w:rFonts w:eastAsia="Arial" w:cs="Arial"/>
              </w:rPr>
              <w:t>202</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E3DE8" w14:textId="72C62EBB" w:rsidR="478F00B7" w:rsidRDefault="7134F639" w:rsidP="490425B0">
            <w:pPr>
              <w:spacing w:line="257" w:lineRule="auto"/>
              <w:jc w:val="center"/>
              <w:rPr>
                <w:rFonts w:eastAsia="Arial" w:cs="Arial"/>
              </w:rPr>
            </w:pPr>
            <w:r w:rsidRPr="490425B0">
              <w:rPr>
                <w:rFonts w:eastAsia="Arial" w:cs="Arial"/>
              </w:rPr>
              <w:t>117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A566E" w14:textId="0548AF1F" w:rsidR="490425B0" w:rsidRDefault="490425B0" w:rsidP="490425B0">
            <w:pPr>
              <w:spacing w:line="257" w:lineRule="auto"/>
              <w:jc w:val="center"/>
              <w:rPr>
                <w:rFonts w:eastAsia="Arial" w:cs="Arial"/>
              </w:rPr>
            </w:pPr>
            <w:r w:rsidRPr="490425B0">
              <w:rPr>
                <w:rFonts w:eastAsia="Arial" w:cs="Arial"/>
              </w:rPr>
              <w:t>12</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F0268" w14:textId="43B65E7A" w:rsidR="478F00B7" w:rsidRDefault="7134F639" w:rsidP="490425B0">
            <w:pPr>
              <w:spacing w:line="257" w:lineRule="auto"/>
              <w:jc w:val="center"/>
              <w:rPr>
                <w:rFonts w:eastAsia="Arial" w:cs="Arial"/>
              </w:rPr>
            </w:pPr>
            <w:r w:rsidRPr="490425B0">
              <w:rPr>
                <w:rFonts w:eastAsia="Arial" w:cs="Arial"/>
              </w:rPr>
              <w:t>1,031</w:t>
            </w:r>
          </w:p>
        </w:tc>
        <w:tc>
          <w:tcPr>
            <w:tcW w:w="1522" w:type="dxa"/>
            <w:tcBorders>
              <w:top w:val="single" w:sz="4" w:space="0" w:color="auto"/>
              <w:left w:val="single" w:sz="4" w:space="0" w:color="auto"/>
              <w:bottom w:val="single" w:sz="4" w:space="0" w:color="auto"/>
              <w:right w:val="single" w:sz="4" w:space="0" w:color="auto"/>
            </w:tcBorders>
            <w:vAlign w:val="center"/>
          </w:tcPr>
          <w:p w14:paraId="09B3FCF3" w14:textId="236F880E" w:rsidR="490425B0" w:rsidRDefault="490425B0" w:rsidP="490425B0">
            <w:pPr>
              <w:spacing w:line="257" w:lineRule="auto"/>
              <w:jc w:val="center"/>
              <w:rPr>
                <w:rFonts w:eastAsia="Arial" w:cs="Arial"/>
              </w:rPr>
            </w:pPr>
            <w:r w:rsidRPr="490425B0">
              <w:rPr>
                <w:rFonts w:eastAsia="Arial" w:cs="Arial"/>
              </w:rPr>
              <w:t>214</w:t>
            </w:r>
          </w:p>
        </w:tc>
      </w:tr>
      <w:tr w:rsidR="00F6538B" w:rsidRPr="004E1074" w14:paraId="68260180"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38E0" w14:textId="1F0887D0" w:rsidR="00F6538B" w:rsidRPr="00233598" w:rsidRDefault="00F6538B" w:rsidP="00F6538B">
            <w:pPr>
              <w:ind w:left="432"/>
              <w:rPr>
                <w:rFonts w:eastAsia="Times New Roman" w:cs="Arial"/>
              </w:rPr>
            </w:pPr>
            <w:r w:rsidRPr="00233598">
              <w:rPr>
                <w:rFonts w:eastAsia="Times New Roman" w:cs="Arial"/>
              </w:rPr>
              <w:t>Longnose Skate</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545CE" w14:textId="60062486" w:rsidR="478F00B7" w:rsidRDefault="7134F639" w:rsidP="490425B0">
            <w:pPr>
              <w:spacing w:line="257" w:lineRule="auto"/>
              <w:jc w:val="center"/>
              <w:rPr>
                <w:rFonts w:eastAsia="Arial" w:cs="Arial"/>
              </w:rPr>
            </w:pPr>
            <w:r w:rsidRPr="490425B0">
              <w:rPr>
                <w:rFonts w:eastAsia="Arial" w:cs="Arial"/>
              </w:rPr>
              <w:t>138</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2C4FC" w14:textId="304F2E0F" w:rsidR="490425B0" w:rsidRDefault="490425B0" w:rsidP="490425B0">
            <w:pPr>
              <w:spacing w:line="257" w:lineRule="auto"/>
              <w:jc w:val="center"/>
              <w:rPr>
                <w:rFonts w:eastAsia="Arial" w:cs="Arial"/>
              </w:rPr>
            </w:pPr>
            <w:r w:rsidRPr="490425B0">
              <w:rPr>
                <w:rFonts w:eastAsia="Arial" w:cs="Arial"/>
              </w:rPr>
              <w:t>72</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E200C" w14:textId="2E9D53EF" w:rsidR="478F00B7" w:rsidRDefault="7134F639" w:rsidP="490425B0">
            <w:pPr>
              <w:spacing w:line="257" w:lineRule="auto"/>
              <w:jc w:val="center"/>
              <w:rPr>
                <w:rFonts w:eastAsia="Arial" w:cs="Arial"/>
              </w:rPr>
            </w:pPr>
            <w:r w:rsidRPr="490425B0">
              <w:rPr>
                <w:rFonts w:eastAsia="Arial" w:cs="Arial"/>
              </w:rPr>
              <w:t>263</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ACF75" w14:textId="7715C168" w:rsidR="490425B0" w:rsidRDefault="490425B0" w:rsidP="490425B0">
            <w:pPr>
              <w:spacing w:line="257" w:lineRule="auto"/>
              <w:jc w:val="center"/>
              <w:rPr>
                <w:rFonts w:eastAsia="Arial" w:cs="Arial"/>
              </w:rPr>
            </w:pPr>
            <w:r w:rsidRPr="490425B0">
              <w:rPr>
                <w:rFonts w:eastAsia="Arial" w:cs="Arial"/>
              </w:rPr>
              <w:t>71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3DA8F" w14:textId="64C99E4C" w:rsidR="478F00B7" w:rsidRDefault="7134F639" w:rsidP="490425B0">
            <w:pPr>
              <w:spacing w:line="257" w:lineRule="auto"/>
              <w:jc w:val="center"/>
              <w:rPr>
                <w:rFonts w:eastAsia="Arial" w:cs="Arial"/>
              </w:rPr>
            </w:pPr>
            <w:r w:rsidRPr="490425B0">
              <w:rPr>
                <w:rFonts w:eastAsia="Arial" w:cs="Arial"/>
              </w:rPr>
              <w:t>401</w:t>
            </w:r>
          </w:p>
        </w:tc>
        <w:tc>
          <w:tcPr>
            <w:tcW w:w="1522" w:type="dxa"/>
            <w:tcBorders>
              <w:top w:val="single" w:sz="4" w:space="0" w:color="auto"/>
              <w:left w:val="single" w:sz="4" w:space="0" w:color="auto"/>
              <w:bottom w:val="single" w:sz="4" w:space="0" w:color="auto"/>
              <w:right w:val="single" w:sz="4" w:space="0" w:color="auto"/>
            </w:tcBorders>
            <w:vAlign w:val="center"/>
          </w:tcPr>
          <w:p w14:paraId="1104CD7A" w14:textId="4C9AB8D5" w:rsidR="490425B0" w:rsidRDefault="490425B0" w:rsidP="490425B0">
            <w:pPr>
              <w:spacing w:line="257" w:lineRule="auto"/>
              <w:jc w:val="center"/>
              <w:rPr>
                <w:rFonts w:eastAsia="Arial" w:cs="Arial"/>
              </w:rPr>
            </w:pPr>
            <w:r w:rsidRPr="490425B0">
              <w:rPr>
                <w:rFonts w:eastAsia="Arial" w:cs="Arial"/>
              </w:rPr>
              <w:t>143</w:t>
            </w:r>
          </w:p>
        </w:tc>
      </w:tr>
      <w:tr w:rsidR="00F6538B" w:rsidRPr="004E1074" w14:paraId="5215FC72"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6C345" w14:textId="2DE3FFE7" w:rsidR="00F6538B" w:rsidRPr="00233598" w:rsidRDefault="00F6538B" w:rsidP="00F6538B">
            <w:pPr>
              <w:rPr>
                <w:rFonts w:eastAsia="Times New Roman" w:cs="Arial"/>
              </w:rPr>
            </w:pPr>
            <w:r w:rsidRPr="00233598">
              <w:rPr>
                <w:rFonts w:eastAsia="Times New Roman" w:cs="Arial"/>
              </w:rPr>
              <w:t>Pacific Cod</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DF561" w14:textId="6518BB3A" w:rsidR="478F00B7" w:rsidRDefault="7134F639" w:rsidP="490425B0">
            <w:pPr>
              <w:spacing w:line="257" w:lineRule="auto"/>
              <w:jc w:val="center"/>
              <w:rPr>
                <w:rFonts w:eastAsia="Arial" w:cs="Arial"/>
              </w:rPr>
            </w:pPr>
            <w:r w:rsidRPr="490425B0">
              <w:rPr>
                <w:rFonts w:eastAsia="Arial" w:cs="Arial"/>
              </w:rPr>
              <w:t>1,250</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920F7" w14:textId="697ADF99" w:rsidR="490425B0" w:rsidRDefault="490425B0" w:rsidP="490425B0">
            <w:pPr>
              <w:spacing w:line="257" w:lineRule="auto"/>
              <w:jc w:val="center"/>
              <w:rPr>
                <w:rFonts w:eastAsia="Arial" w:cs="Arial"/>
              </w:rPr>
            </w:pPr>
            <w:r w:rsidRPr="490425B0">
              <w:rPr>
                <w:rFonts w:eastAsia="Arial" w:cs="Arial"/>
              </w:rPr>
              <w:t>835</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FFB21" w14:textId="3EA15436" w:rsidR="478F00B7" w:rsidRDefault="7134F639"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D6BA6" w14:textId="2C3527C2" w:rsidR="490425B0" w:rsidRDefault="490425B0" w:rsidP="490425B0">
            <w:pPr>
              <w:spacing w:line="257" w:lineRule="auto"/>
              <w:jc w:val="center"/>
              <w:rPr>
                <w:rFonts w:eastAsia="Arial" w:cs="Arial"/>
              </w:rPr>
            </w:pPr>
            <w:r w:rsidRPr="490425B0">
              <w:rPr>
                <w:rFonts w:eastAsia="Arial" w:cs="Arial"/>
              </w:rPr>
              <w:t>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698FE" w14:textId="13925E7A" w:rsidR="478F00B7" w:rsidRDefault="7134F639" w:rsidP="490425B0">
            <w:pPr>
              <w:spacing w:line="257" w:lineRule="auto"/>
              <w:jc w:val="center"/>
              <w:rPr>
                <w:rFonts w:eastAsia="Arial" w:cs="Arial"/>
              </w:rPr>
            </w:pPr>
            <w:r w:rsidRPr="490425B0">
              <w:rPr>
                <w:rFonts w:eastAsia="Arial" w:cs="Arial"/>
              </w:rPr>
              <w:t>1,250</w:t>
            </w:r>
          </w:p>
        </w:tc>
        <w:tc>
          <w:tcPr>
            <w:tcW w:w="1522" w:type="dxa"/>
            <w:tcBorders>
              <w:top w:val="single" w:sz="4" w:space="0" w:color="auto"/>
              <w:left w:val="single" w:sz="4" w:space="0" w:color="auto"/>
              <w:bottom w:val="single" w:sz="4" w:space="0" w:color="auto"/>
              <w:right w:val="single" w:sz="4" w:space="0" w:color="auto"/>
            </w:tcBorders>
            <w:vAlign w:val="center"/>
          </w:tcPr>
          <w:p w14:paraId="58BD5A6F" w14:textId="0E1D47D4" w:rsidR="490425B0" w:rsidRDefault="490425B0" w:rsidP="490425B0">
            <w:pPr>
              <w:spacing w:line="257" w:lineRule="auto"/>
              <w:jc w:val="center"/>
              <w:rPr>
                <w:rFonts w:eastAsia="Arial" w:cs="Arial"/>
              </w:rPr>
            </w:pPr>
            <w:r w:rsidRPr="490425B0">
              <w:rPr>
                <w:rFonts w:eastAsia="Arial" w:cs="Arial"/>
              </w:rPr>
              <w:t>839</w:t>
            </w:r>
          </w:p>
        </w:tc>
      </w:tr>
      <w:tr w:rsidR="00F6538B" w:rsidRPr="004E1074" w14:paraId="034BCF9D"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8C06C" w14:textId="139CBA15" w:rsidR="00F6538B" w:rsidRPr="00233598" w:rsidRDefault="00F6538B" w:rsidP="00F6538B">
            <w:pPr>
              <w:rPr>
                <w:rFonts w:eastAsia="Times New Roman" w:cs="Arial"/>
              </w:rPr>
            </w:pPr>
            <w:r w:rsidRPr="00233598">
              <w:rPr>
                <w:rFonts w:eastAsia="Times New Roman" w:cs="Arial"/>
              </w:rPr>
              <w:t>Walleye Pollock</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A94AD" w14:textId="6FDC67BE" w:rsidR="478F00B7" w:rsidRDefault="7134F639" w:rsidP="490425B0">
            <w:pPr>
              <w:spacing w:line="257" w:lineRule="auto"/>
              <w:jc w:val="center"/>
              <w:rPr>
                <w:rFonts w:eastAsia="Arial" w:cs="Arial"/>
              </w:rPr>
            </w:pPr>
            <w:r w:rsidRPr="490425B0">
              <w:rPr>
                <w:rFonts w:eastAsia="Arial" w:cs="Arial"/>
              </w:rPr>
              <w:t>4,935</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54D65" w14:textId="089805F4" w:rsidR="490425B0" w:rsidRDefault="490425B0" w:rsidP="490425B0">
            <w:pPr>
              <w:spacing w:line="257" w:lineRule="auto"/>
              <w:jc w:val="center"/>
              <w:rPr>
                <w:rFonts w:eastAsia="Arial" w:cs="Arial"/>
              </w:rPr>
            </w:pPr>
            <w:r w:rsidRPr="490425B0">
              <w:rPr>
                <w:rFonts w:eastAsia="Arial" w:cs="Arial"/>
              </w:rPr>
              <w:t>38,556</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D32C7" w14:textId="06E73AAB" w:rsidR="478F00B7" w:rsidRDefault="7134F639"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A22CA" w14:textId="55FB71D2"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6754B" w14:textId="75C860B6" w:rsidR="478F00B7" w:rsidRDefault="7134F639" w:rsidP="490425B0">
            <w:pPr>
              <w:spacing w:line="257" w:lineRule="auto"/>
              <w:jc w:val="center"/>
              <w:rPr>
                <w:rFonts w:eastAsia="Arial" w:cs="Arial"/>
              </w:rPr>
            </w:pPr>
            <w:r w:rsidRPr="490425B0">
              <w:rPr>
                <w:rFonts w:eastAsia="Arial" w:cs="Arial"/>
              </w:rPr>
              <w:t>4,935</w:t>
            </w:r>
          </w:p>
        </w:tc>
        <w:tc>
          <w:tcPr>
            <w:tcW w:w="1522" w:type="dxa"/>
            <w:tcBorders>
              <w:top w:val="single" w:sz="4" w:space="0" w:color="auto"/>
              <w:left w:val="single" w:sz="4" w:space="0" w:color="auto"/>
              <w:bottom w:val="single" w:sz="4" w:space="0" w:color="auto"/>
              <w:right w:val="single" w:sz="4" w:space="0" w:color="auto"/>
            </w:tcBorders>
            <w:vAlign w:val="center"/>
          </w:tcPr>
          <w:p w14:paraId="75AAF39C" w14:textId="65A822AB" w:rsidR="490425B0" w:rsidRDefault="490425B0" w:rsidP="490425B0">
            <w:pPr>
              <w:spacing w:line="257" w:lineRule="auto"/>
              <w:jc w:val="center"/>
              <w:rPr>
                <w:rFonts w:eastAsia="Arial" w:cs="Arial"/>
              </w:rPr>
            </w:pPr>
            <w:r w:rsidRPr="490425B0">
              <w:rPr>
                <w:rFonts w:eastAsia="Arial" w:cs="Arial"/>
              </w:rPr>
              <w:t>38,556</w:t>
            </w:r>
          </w:p>
        </w:tc>
      </w:tr>
      <w:tr w:rsidR="00F6538B" w:rsidRPr="004E1074" w14:paraId="4E4DD511"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28668" w14:textId="6F9F224D" w:rsidR="00F6538B" w:rsidRPr="00233598" w:rsidRDefault="00F6538B" w:rsidP="00F6538B">
            <w:pPr>
              <w:rPr>
                <w:rFonts w:eastAsia="Times New Roman" w:cs="Arial"/>
              </w:rPr>
            </w:pPr>
            <w:r w:rsidRPr="00233598">
              <w:rPr>
                <w:rFonts w:eastAsia="Times New Roman" w:cs="Arial"/>
              </w:rPr>
              <w:t xml:space="preserve">Pacific Hake </w:t>
            </w:r>
            <w:r w:rsidRPr="00233598">
              <w:rPr>
                <w:rFonts w:eastAsia="Times New Roman" w:cs="Arial"/>
                <w:vertAlign w:val="superscript"/>
              </w:rPr>
              <w:t>1</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CBEBF" w14:textId="59B97717" w:rsidR="00F6538B" w:rsidRPr="00233598" w:rsidRDefault="00F6538B" w:rsidP="00F6538B">
            <w:pPr>
              <w:jc w:val="center"/>
              <w:rPr>
                <w:rFonts w:eastAsia="Times New Roman" w:cs="Arial"/>
              </w:rPr>
            </w:pPr>
            <w:r w:rsidRPr="00233598">
              <w:rPr>
                <w:rFonts w:eastAsia="Times New Roman" w:cs="Arial"/>
              </w:rPr>
              <w:t xml:space="preserve">7,000 gulf &amp; </w:t>
            </w:r>
            <w:r w:rsidR="04EA8818" w:rsidRPr="1C5F0F3D">
              <w:rPr>
                <w:rFonts w:eastAsia="Times New Roman" w:cs="Arial"/>
              </w:rPr>
              <w:t>1</w:t>
            </w:r>
            <w:r w:rsidR="666D98A7" w:rsidRPr="1C5F0F3D">
              <w:rPr>
                <w:rFonts w:eastAsia="Times New Roman" w:cs="Arial"/>
              </w:rPr>
              <w:t>42,354</w:t>
            </w:r>
            <w:r w:rsidRPr="00233598">
              <w:rPr>
                <w:rFonts w:eastAsia="Times New Roman" w:cs="Arial"/>
              </w:rPr>
              <w:t xml:space="preserve"> offshore</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5ECD7" w14:textId="152F6D18" w:rsidR="490425B0" w:rsidRDefault="490425B0" w:rsidP="490425B0">
            <w:pPr>
              <w:spacing w:line="257" w:lineRule="auto"/>
              <w:jc w:val="center"/>
              <w:rPr>
                <w:rFonts w:eastAsia="Arial" w:cs="Arial"/>
              </w:rPr>
            </w:pPr>
            <w:r w:rsidRPr="490425B0">
              <w:rPr>
                <w:rFonts w:eastAsia="Arial" w:cs="Arial"/>
              </w:rPr>
              <w:t>9,411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28939" w14:textId="322DF575" w:rsidR="00F6538B" w:rsidRPr="00233598" w:rsidRDefault="13AD58FC" w:rsidP="490425B0">
            <w:pPr>
              <w:spacing w:line="257" w:lineRule="auto"/>
              <w:jc w:val="center"/>
              <w:rPr>
                <w:rFonts w:eastAsia="Times New Roman" w:cs="Arial"/>
              </w:rPr>
            </w:pPr>
            <w:r w:rsidRPr="490425B0">
              <w:rPr>
                <w:rFonts w:eastAsia="Times New Roman"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17992" w14:textId="0A5C4579"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0E22" w14:textId="752B102E" w:rsidR="00F6538B" w:rsidRPr="00233598" w:rsidRDefault="13AD58FC" w:rsidP="490425B0">
            <w:pPr>
              <w:spacing w:line="257" w:lineRule="auto"/>
              <w:jc w:val="center"/>
              <w:rPr>
                <w:rFonts w:eastAsia="Arial" w:cs="Arial"/>
              </w:rPr>
            </w:pPr>
            <w:r w:rsidRPr="490425B0">
              <w:rPr>
                <w:rFonts w:eastAsia="Arial" w:cs="Arial"/>
              </w:rPr>
              <w:t>1</w:t>
            </w:r>
            <w:r w:rsidR="71E53034" w:rsidRPr="490425B0">
              <w:rPr>
                <w:rFonts w:eastAsia="Arial" w:cs="Arial"/>
              </w:rPr>
              <w:t>42,354</w:t>
            </w:r>
          </w:p>
        </w:tc>
        <w:tc>
          <w:tcPr>
            <w:tcW w:w="1522" w:type="dxa"/>
            <w:tcBorders>
              <w:top w:val="single" w:sz="4" w:space="0" w:color="auto"/>
              <w:left w:val="single" w:sz="4" w:space="0" w:color="auto"/>
              <w:bottom w:val="single" w:sz="4" w:space="0" w:color="auto"/>
              <w:right w:val="single" w:sz="4" w:space="0" w:color="auto"/>
            </w:tcBorders>
            <w:vAlign w:val="center"/>
          </w:tcPr>
          <w:p w14:paraId="2BC0ED9E" w14:textId="30F3063C" w:rsidR="490425B0" w:rsidRDefault="490425B0" w:rsidP="490425B0">
            <w:pPr>
              <w:spacing w:line="257" w:lineRule="auto"/>
              <w:jc w:val="center"/>
              <w:rPr>
                <w:rFonts w:eastAsia="Arial" w:cs="Arial"/>
              </w:rPr>
            </w:pPr>
            <w:r w:rsidRPr="490425B0">
              <w:rPr>
                <w:rFonts w:eastAsia="Arial" w:cs="Arial"/>
              </w:rPr>
              <w:t>9,411</w:t>
            </w:r>
          </w:p>
        </w:tc>
      </w:tr>
      <w:tr w:rsidR="00F6538B" w:rsidRPr="00E54742" w14:paraId="4AFC7D5F"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FCDC3" w14:textId="77777777" w:rsidR="00F6538B" w:rsidRPr="00233598" w:rsidRDefault="00F6538B" w:rsidP="00F6538B">
            <w:pPr>
              <w:rPr>
                <w:rFonts w:eastAsia="Times New Roman" w:cs="Arial"/>
                <w:i/>
              </w:rPr>
            </w:pPr>
            <w:r w:rsidRPr="00233598">
              <w:rPr>
                <w:rFonts w:eastAsia="Times New Roman" w:cs="Arial"/>
                <w:i/>
              </w:rPr>
              <w:t>Rockfishes</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EA135" w14:textId="77777777" w:rsidR="00F6538B" w:rsidRPr="00233598" w:rsidRDefault="00F6538B" w:rsidP="00F6538B">
            <w:pPr>
              <w:jc w:val="center"/>
              <w:rPr>
                <w:rFonts w:eastAsia="Times New Roman" w:cs="Arial"/>
                <w:i/>
                <w:iCs/>
              </w:rPr>
            </w:pP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0E23B" w14:textId="63367439" w:rsidR="490425B0" w:rsidRDefault="490425B0" w:rsidP="490425B0">
            <w:pPr>
              <w:spacing w:line="257" w:lineRule="auto"/>
              <w:jc w:val="center"/>
              <w:rPr>
                <w:rFonts w:eastAsia="Arial" w:cs="Arial"/>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8A720" w14:textId="77777777" w:rsidR="00F6538B" w:rsidRPr="00233598" w:rsidRDefault="00F6538B" w:rsidP="00F6538B">
            <w:pPr>
              <w:jc w:val="center"/>
              <w:rPr>
                <w:rFonts w:eastAsia="Times New Roman" w:cs="Arial"/>
                <w:i/>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82578" w14:textId="422AA65E" w:rsidR="490425B0" w:rsidRDefault="490425B0" w:rsidP="490425B0">
            <w:pPr>
              <w:spacing w:line="257" w:lineRule="auto"/>
              <w:jc w:val="center"/>
              <w:rPr>
                <w:rFonts w:eastAsia="Arial" w:cs="Arial"/>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AF47F" w14:textId="77777777" w:rsidR="00F6538B" w:rsidRPr="00233598" w:rsidRDefault="00F6538B" w:rsidP="490425B0">
            <w:pPr>
              <w:spacing w:line="257" w:lineRule="auto"/>
              <w:jc w:val="center"/>
              <w:rPr>
                <w:rFonts w:eastAsia="Arial" w:cs="Arial"/>
              </w:rPr>
            </w:pPr>
          </w:p>
        </w:tc>
        <w:tc>
          <w:tcPr>
            <w:tcW w:w="1522" w:type="dxa"/>
            <w:tcBorders>
              <w:top w:val="single" w:sz="4" w:space="0" w:color="auto"/>
              <w:left w:val="single" w:sz="4" w:space="0" w:color="auto"/>
              <w:bottom w:val="single" w:sz="4" w:space="0" w:color="auto"/>
              <w:right w:val="single" w:sz="4" w:space="0" w:color="auto"/>
            </w:tcBorders>
            <w:vAlign w:val="center"/>
          </w:tcPr>
          <w:p w14:paraId="6FE3DD47" w14:textId="785D12B2" w:rsidR="490425B0" w:rsidRDefault="490425B0" w:rsidP="490425B0">
            <w:pPr>
              <w:spacing w:line="257" w:lineRule="auto"/>
              <w:jc w:val="center"/>
              <w:rPr>
                <w:rFonts w:eastAsia="Arial" w:cs="Arial"/>
              </w:rPr>
            </w:pPr>
          </w:p>
        </w:tc>
      </w:tr>
      <w:tr w:rsidR="00F6538B" w:rsidRPr="004E1074" w14:paraId="32E15D44"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671A9" w14:textId="784B40AA" w:rsidR="00F6538B" w:rsidRPr="00233598" w:rsidRDefault="00F6538B" w:rsidP="00F6538B">
            <w:pPr>
              <w:ind w:left="720" w:hanging="288"/>
              <w:rPr>
                <w:rFonts w:eastAsia="Times New Roman" w:cs="Arial"/>
              </w:rPr>
            </w:pPr>
            <w:r w:rsidRPr="00233598">
              <w:rPr>
                <w:rFonts w:eastAsia="Times New Roman" w:cs="Arial"/>
              </w:rPr>
              <w:t>Rougheye/Blackspotted Rockfish Complex</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DCD4F" w14:textId="4647669C" w:rsidR="478F00B7" w:rsidRDefault="7134F639" w:rsidP="490425B0">
            <w:pPr>
              <w:spacing w:line="257" w:lineRule="auto"/>
              <w:jc w:val="center"/>
              <w:rPr>
                <w:rFonts w:eastAsia="Arial" w:cs="Arial"/>
              </w:rPr>
            </w:pPr>
            <w:r w:rsidRPr="490425B0">
              <w:rPr>
                <w:rFonts w:eastAsia="Arial" w:cs="Arial"/>
              </w:rPr>
              <w:t>614</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009A" w14:textId="1B4C2BD9" w:rsidR="490425B0" w:rsidRDefault="490425B0" w:rsidP="490425B0">
            <w:pPr>
              <w:spacing w:line="257" w:lineRule="auto"/>
              <w:jc w:val="center"/>
              <w:rPr>
                <w:rFonts w:eastAsia="Arial" w:cs="Arial"/>
              </w:rPr>
            </w:pPr>
            <w:r w:rsidRPr="490425B0">
              <w:rPr>
                <w:rFonts w:eastAsia="Arial" w:cs="Arial"/>
              </w:rPr>
              <w:t>586</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88DA2" w14:textId="6C013C5A" w:rsidR="478F00B7" w:rsidRDefault="7134F639" w:rsidP="490425B0">
            <w:pPr>
              <w:spacing w:line="257" w:lineRule="auto"/>
              <w:jc w:val="center"/>
              <w:rPr>
                <w:rFonts w:eastAsia="Arial" w:cs="Arial"/>
              </w:rPr>
            </w:pPr>
            <w:r w:rsidRPr="490425B0">
              <w:rPr>
                <w:rFonts w:eastAsia="Arial" w:cs="Arial"/>
              </w:rPr>
              <w:t>463</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2CE02" w14:textId="3A9D0E73" w:rsidR="490425B0" w:rsidRDefault="490425B0" w:rsidP="490425B0">
            <w:pPr>
              <w:spacing w:line="257" w:lineRule="auto"/>
              <w:jc w:val="center"/>
              <w:rPr>
                <w:rFonts w:eastAsia="Arial" w:cs="Arial"/>
              </w:rPr>
            </w:pPr>
            <w:r w:rsidRPr="490425B0">
              <w:rPr>
                <w:rFonts w:eastAsia="Arial" w:cs="Arial"/>
              </w:rPr>
              <w:t>281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25BC9" w14:textId="285EED36" w:rsidR="478F00B7" w:rsidRDefault="7134F639" w:rsidP="490425B0">
            <w:pPr>
              <w:spacing w:line="257" w:lineRule="auto"/>
              <w:jc w:val="center"/>
              <w:rPr>
                <w:rFonts w:eastAsia="Arial" w:cs="Arial"/>
              </w:rPr>
            </w:pPr>
            <w:r w:rsidRPr="490425B0">
              <w:rPr>
                <w:rFonts w:eastAsia="Arial" w:cs="Arial"/>
              </w:rPr>
              <w:t>1,077</w:t>
            </w:r>
          </w:p>
        </w:tc>
        <w:tc>
          <w:tcPr>
            <w:tcW w:w="1522" w:type="dxa"/>
            <w:tcBorders>
              <w:top w:val="single" w:sz="4" w:space="0" w:color="auto"/>
              <w:left w:val="single" w:sz="4" w:space="0" w:color="auto"/>
              <w:bottom w:val="single" w:sz="4" w:space="0" w:color="auto"/>
              <w:right w:val="single" w:sz="4" w:space="0" w:color="auto"/>
            </w:tcBorders>
            <w:vAlign w:val="center"/>
          </w:tcPr>
          <w:p w14:paraId="60759066" w14:textId="341B55C2" w:rsidR="490425B0" w:rsidRDefault="490425B0" w:rsidP="490425B0">
            <w:pPr>
              <w:spacing w:line="257" w:lineRule="auto"/>
              <w:jc w:val="center"/>
              <w:rPr>
                <w:rFonts w:eastAsia="Arial" w:cs="Arial"/>
              </w:rPr>
            </w:pPr>
            <w:r w:rsidRPr="490425B0">
              <w:rPr>
                <w:rFonts w:eastAsia="Arial" w:cs="Arial"/>
              </w:rPr>
              <w:t>867</w:t>
            </w:r>
          </w:p>
        </w:tc>
      </w:tr>
      <w:tr w:rsidR="00F6538B" w:rsidRPr="004E1074" w14:paraId="4C49124E"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3AE9F" w14:textId="61308200" w:rsidR="00F6538B" w:rsidRPr="00233598" w:rsidRDefault="00F6538B" w:rsidP="00F6538B">
            <w:pPr>
              <w:ind w:left="432"/>
              <w:rPr>
                <w:rFonts w:eastAsia="Times New Roman" w:cs="Arial"/>
              </w:rPr>
            </w:pPr>
            <w:r w:rsidRPr="00233598">
              <w:rPr>
                <w:rFonts w:eastAsia="Times New Roman" w:cs="Arial"/>
              </w:rPr>
              <w:t>Pacific Ocean Perch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888AF" w14:textId="1B2D2CB5" w:rsidR="478F00B7" w:rsidRDefault="7134F639" w:rsidP="490425B0">
            <w:pPr>
              <w:spacing w:line="257" w:lineRule="auto"/>
              <w:jc w:val="center"/>
              <w:rPr>
                <w:rFonts w:eastAsia="Arial" w:cs="Arial"/>
              </w:rPr>
            </w:pPr>
            <w:r w:rsidRPr="490425B0">
              <w:rPr>
                <w:rFonts w:eastAsia="Arial" w:cs="Arial"/>
              </w:rPr>
              <w:t>5,192</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BEFB2" w14:textId="7E54A643" w:rsidR="490425B0" w:rsidRDefault="490425B0" w:rsidP="490425B0">
            <w:pPr>
              <w:spacing w:line="257" w:lineRule="auto"/>
              <w:jc w:val="center"/>
              <w:rPr>
                <w:rFonts w:eastAsia="Arial" w:cs="Arial"/>
              </w:rPr>
            </w:pPr>
            <w:r w:rsidRPr="490425B0">
              <w:rPr>
                <w:rFonts w:eastAsia="Arial" w:cs="Arial"/>
              </w:rPr>
              <w:t>3,497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7DF15" w14:textId="314B89BC" w:rsidR="478F00B7" w:rsidRDefault="7134F639" w:rsidP="490425B0">
            <w:pPr>
              <w:spacing w:line="257" w:lineRule="auto"/>
              <w:jc w:val="center"/>
              <w:rPr>
                <w:rFonts w:eastAsia="Arial" w:cs="Arial"/>
              </w:rPr>
            </w:pPr>
            <w:r w:rsidRPr="490425B0">
              <w:rPr>
                <w:rFonts w:eastAsia="Arial" w:cs="Arial"/>
              </w:rPr>
              <w:t>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560DE" w14:textId="7B7F4850"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D22DF" w14:textId="5D8A9A0B" w:rsidR="478F00B7" w:rsidRDefault="7134F639" w:rsidP="490425B0">
            <w:pPr>
              <w:spacing w:line="257" w:lineRule="auto"/>
              <w:jc w:val="center"/>
              <w:rPr>
                <w:rFonts w:eastAsia="Arial" w:cs="Arial"/>
              </w:rPr>
            </w:pPr>
            <w:r w:rsidRPr="490425B0">
              <w:rPr>
                <w:rFonts w:eastAsia="Arial" w:cs="Arial"/>
              </w:rPr>
              <w:t>5,193</w:t>
            </w:r>
          </w:p>
        </w:tc>
        <w:tc>
          <w:tcPr>
            <w:tcW w:w="1522" w:type="dxa"/>
            <w:tcBorders>
              <w:top w:val="single" w:sz="4" w:space="0" w:color="auto"/>
              <w:left w:val="single" w:sz="4" w:space="0" w:color="auto"/>
              <w:bottom w:val="single" w:sz="4" w:space="0" w:color="auto"/>
              <w:right w:val="single" w:sz="4" w:space="0" w:color="auto"/>
            </w:tcBorders>
            <w:vAlign w:val="center"/>
          </w:tcPr>
          <w:p w14:paraId="59F80648" w14:textId="5C205C61" w:rsidR="490425B0" w:rsidRDefault="490425B0" w:rsidP="490425B0">
            <w:pPr>
              <w:spacing w:line="257" w:lineRule="auto"/>
              <w:jc w:val="center"/>
              <w:rPr>
                <w:rFonts w:eastAsia="Arial" w:cs="Arial"/>
              </w:rPr>
            </w:pPr>
            <w:r w:rsidRPr="490425B0">
              <w:rPr>
                <w:rFonts w:eastAsia="Arial" w:cs="Arial"/>
              </w:rPr>
              <w:t>3,498</w:t>
            </w:r>
          </w:p>
        </w:tc>
      </w:tr>
      <w:tr w:rsidR="00F6538B" w:rsidRPr="004E1074" w14:paraId="11FBC43B"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451D4" w14:textId="063D0511" w:rsidR="00F6538B" w:rsidRPr="00233598" w:rsidRDefault="00F6538B" w:rsidP="00F6538B">
            <w:pPr>
              <w:ind w:left="432"/>
              <w:rPr>
                <w:rFonts w:eastAsia="Times New Roman" w:cs="Arial"/>
              </w:rPr>
            </w:pPr>
            <w:r w:rsidRPr="00233598">
              <w:rPr>
                <w:rFonts w:eastAsia="Times New Roman" w:cs="Arial"/>
              </w:rPr>
              <w:t>Redbanded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64E9E" w14:textId="6B89A60E" w:rsidR="478F00B7" w:rsidRDefault="7134F639" w:rsidP="490425B0">
            <w:pPr>
              <w:spacing w:line="257" w:lineRule="auto"/>
              <w:jc w:val="center"/>
              <w:rPr>
                <w:rFonts w:eastAsia="Arial" w:cs="Arial"/>
              </w:rPr>
            </w:pPr>
            <w:r w:rsidRPr="490425B0">
              <w:rPr>
                <w:rFonts w:eastAsia="Arial" w:cs="Arial"/>
              </w:rPr>
              <w:t>295</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DA97D" w14:textId="62340D23" w:rsidR="490425B0" w:rsidRDefault="490425B0" w:rsidP="490425B0">
            <w:pPr>
              <w:spacing w:line="257" w:lineRule="auto"/>
              <w:jc w:val="center"/>
              <w:rPr>
                <w:rFonts w:eastAsia="Arial" w:cs="Arial"/>
              </w:rPr>
            </w:pPr>
            <w:r w:rsidRPr="490425B0">
              <w:rPr>
                <w:rFonts w:eastAsia="Arial" w:cs="Arial"/>
              </w:rPr>
              <w:t>198</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553A4" w14:textId="724F30C8" w:rsidR="478F00B7" w:rsidRDefault="7134F639" w:rsidP="490425B0">
            <w:pPr>
              <w:spacing w:line="257" w:lineRule="auto"/>
              <w:jc w:val="center"/>
              <w:rPr>
                <w:rFonts w:eastAsia="Arial" w:cs="Arial"/>
              </w:rPr>
            </w:pPr>
            <w:r w:rsidRPr="490425B0">
              <w:rPr>
                <w:rFonts w:eastAsia="Arial" w:cs="Arial"/>
              </w:rPr>
              <w:t>284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D5480" w14:textId="25A4F0AD" w:rsidR="490425B0" w:rsidRDefault="490425B0" w:rsidP="490425B0">
            <w:pPr>
              <w:spacing w:line="257" w:lineRule="auto"/>
              <w:jc w:val="center"/>
              <w:rPr>
                <w:rFonts w:eastAsia="Arial" w:cs="Arial"/>
              </w:rPr>
            </w:pPr>
            <w:r w:rsidRPr="490425B0">
              <w:rPr>
                <w:rFonts w:eastAsia="Arial" w:cs="Arial"/>
              </w:rPr>
              <w:t>240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6920E" w14:textId="0DAA1F9C" w:rsidR="478F00B7" w:rsidRDefault="7134F639" w:rsidP="490425B0">
            <w:pPr>
              <w:spacing w:line="257" w:lineRule="auto"/>
              <w:jc w:val="center"/>
              <w:rPr>
                <w:rFonts w:eastAsia="Arial" w:cs="Arial"/>
              </w:rPr>
            </w:pPr>
            <w:r w:rsidRPr="490425B0">
              <w:rPr>
                <w:rFonts w:eastAsia="Arial" w:cs="Arial"/>
              </w:rPr>
              <w:t>579</w:t>
            </w:r>
          </w:p>
        </w:tc>
        <w:tc>
          <w:tcPr>
            <w:tcW w:w="1522" w:type="dxa"/>
            <w:tcBorders>
              <w:top w:val="single" w:sz="4" w:space="0" w:color="auto"/>
              <w:left w:val="single" w:sz="4" w:space="0" w:color="auto"/>
              <w:bottom w:val="single" w:sz="4" w:space="0" w:color="auto"/>
              <w:right w:val="single" w:sz="4" w:space="0" w:color="auto"/>
            </w:tcBorders>
            <w:vAlign w:val="center"/>
          </w:tcPr>
          <w:p w14:paraId="7918C6C6" w14:textId="3D1C8275" w:rsidR="490425B0" w:rsidRDefault="490425B0" w:rsidP="490425B0">
            <w:pPr>
              <w:spacing w:line="257" w:lineRule="auto"/>
              <w:jc w:val="center"/>
              <w:rPr>
                <w:rFonts w:eastAsia="Arial" w:cs="Arial"/>
              </w:rPr>
            </w:pPr>
            <w:r w:rsidRPr="490425B0">
              <w:rPr>
                <w:rFonts w:eastAsia="Arial" w:cs="Arial"/>
              </w:rPr>
              <w:t>438</w:t>
            </w:r>
          </w:p>
        </w:tc>
      </w:tr>
      <w:tr w:rsidR="00F6538B" w:rsidRPr="004E1074" w14:paraId="1E5FFE98"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B7912" w14:textId="2461C8E9" w:rsidR="00F6538B" w:rsidRPr="00233598" w:rsidRDefault="00F6538B" w:rsidP="00F6538B">
            <w:pPr>
              <w:ind w:left="432"/>
              <w:rPr>
                <w:rFonts w:eastAsia="Times New Roman" w:cs="Arial"/>
              </w:rPr>
            </w:pPr>
            <w:r w:rsidRPr="00233598">
              <w:rPr>
                <w:rFonts w:eastAsia="Times New Roman" w:cs="Arial"/>
              </w:rPr>
              <w:t>Shortraker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B577B" w14:textId="1D4D0675" w:rsidR="478F00B7" w:rsidRDefault="7134F639" w:rsidP="490425B0">
            <w:pPr>
              <w:spacing w:line="257" w:lineRule="auto"/>
              <w:jc w:val="center"/>
              <w:rPr>
                <w:rFonts w:eastAsia="Arial" w:cs="Arial"/>
              </w:rPr>
            </w:pPr>
            <w:r w:rsidRPr="490425B0">
              <w:rPr>
                <w:rFonts w:eastAsia="Arial" w:cs="Arial"/>
              </w:rPr>
              <w:t>126</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1262E" w14:textId="74FB2512" w:rsidR="490425B0" w:rsidRDefault="490425B0" w:rsidP="490425B0">
            <w:pPr>
              <w:spacing w:line="257" w:lineRule="auto"/>
              <w:jc w:val="center"/>
              <w:rPr>
                <w:rFonts w:eastAsia="Arial" w:cs="Arial"/>
              </w:rPr>
            </w:pPr>
            <w:r w:rsidRPr="490425B0">
              <w:rPr>
                <w:rFonts w:eastAsia="Arial" w:cs="Arial"/>
              </w:rPr>
              <w:t>54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7848B" w14:textId="7A61568E" w:rsidR="478F00B7" w:rsidRDefault="7134F639" w:rsidP="490425B0">
            <w:pPr>
              <w:spacing w:line="257" w:lineRule="auto"/>
              <w:jc w:val="center"/>
              <w:rPr>
                <w:rFonts w:eastAsia="Arial" w:cs="Arial"/>
              </w:rPr>
            </w:pPr>
            <w:r w:rsidRPr="490425B0">
              <w:rPr>
                <w:rFonts w:eastAsia="Arial" w:cs="Arial"/>
              </w:rPr>
              <w:t>111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B4BC4" w14:textId="1F748DFF" w:rsidR="490425B0" w:rsidRDefault="490425B0" w:rsidP="490425B0">
            <w:pPr>
              <w:spacing w:line="257" w:lineRule="auto"/>
              <w:jc w:val="center"/>
              <w:rPr>
                <w:rFonts w:eastAsia="Arial" w:cs="Arial"/>
              </w:rPr>
            </w:pPr>
            <w:r w:rsidRPr="490425B0">
              <w:rPr>
                <w:rFonts w:eastAsia="Arial" w:cs="Arial"/>
              </w:rPr>
              <w:t>127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9F5F7" w14:textId="13BC9096" w:rsidR="478F00B7" w:rsidRDefault="7134F639" w:rsidP="490425B0">
            <w:pPr>
              <w:spacing w:line="257" w:lineRule="auto"/>
              <w:jc w:val="center"/>
              <w:rPr>
                <w:rFonts w:eastAsia="Arial" w:cs="Arial"/>
              </w:rPr>
            </w:pPr>
            <w:r w:rsidRPr="490425B0">
              <w:rPr>
                <w:rFonts w:eastAsia="Arial" w:cs="Arial"/>
              </w:rPr>
              <w:t>237</w:t>
            </w:r>
          </w:p>
        </w:tc>
        <w:tc>
          <w:tcPr>
            <w:tcW w:w="1522" w:type="dxa"/>
            <w:tcBorders>
              <w:top w:val="single" w:sz="4" w:space="0" w:color="auto"/>
              <w:left w:val="single" w:sz="4" w:space="0" w:color="auto"/>
              <w:bottom w:val="single" w:sz="4" w:space="0" w:color="auto"/>
              <w:right w:val="single" w:sz="4" w:space="0" w:color="auto"/>
            </w:tcBorders>
            <w:vAlign w:val="center"/>
          </w:tcPr>
          <w:p w14:paraId="5497F838" w14:textId="4E96CF45" w:rsidR="490425B0" w:rsidRDefault="490425B0" w:rsidP="490425B0">
            <w:pPr>
              <w:spacing w:line="257" w:lineRule="auto"/>
              <w:jc w:val="center"/>
              <w:rPr>
                <w:rFonts w:eastAsia="Arial" w:cs="Arial"/>
              </w:rPr>
            </w:pPr>
            <w:r w:rsidRPr="490425B0">
              <w:rPr>
                <w:rFonts w:eastAsia="Arial" w:cs="Arial"/>
              </w:rPr>
              <w:t>181</w:t>
            </w:r>
          </w:p>
        </w:tc>
      </w:tr>
      <w:tr w:rsidR="00F6538B" w:rsidRPr="004E1074" w14:paraId="17FA945B"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4F5E4" w14:textId="50CBD8E8" w:rsidR="00F6538B" w:rsidRPr="00233598" w:rsidRDefault="00F6538B" w:rsidP="00F6538B">
            <w:pPr>
              <w:ind w:left="432"/>
              <w:rPr>
                <w:rFonts w:eastAsia="Times New Roman" w:cs="Arial"/>
              </w:rPr>
            </w:pPr>
            <w:r w:rsidRPr="00233598">
              <w:rPr>
                <w:rFonts w:eastAsia="Times New Roman" w:cs="Arial"/>
              </w:rPr>
              <w:t>Silvergray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2CB55" w14:textId="7590FFE3" w:rsidR="478F00B7" w:rsidRDefault="7134F639" w:rsidP="490425B0">
            <w:pPr>
              <w:spacing w:line="257" w:lineRule="auto"/>
              <w:jc w:val="center"/>
              <w:rPr>
                <w:rFonts w:eastAsia="Arial" w:cs="Arial"/>
              </w:rPr>
            </w:pPr>
            <w:r w:rsidRPr="490425B0">
              <w:rPr>
                <w:rFonts w:eastAsia="Arial" w:cs="Arial"/>
              </w:rPr>
              <w:t>1,945</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C394B" w14:textId="0F4D7578" w:rsidR="490425B0" w:rsidRDefault="490425B0" w:rsidP="490425B0">
            <w:pPr>
              <w:spacing w:line="257" w:lineRule="auto"/>
              <w:jc w:val="center"/>
              <w:rPr>
                <w:rFonts w:eastAsia="Arial" w:cs="Arial"/>
              </w:rPr>
            </w:pPr>
            <w:r w:rsidRPr="490425B0">
              <w:rPr>
                <w:rFonts w:eastAsia="Arial" w:cs="Arial"/>
              </w:rPr>
              <w:t>1,182</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9D8B2" w14:textId="13AA9057" w:rsidR="478F00B7" w:rsidRDefault="7134F639" w:rsidP="490425B0">
            <w:pPr>
              <w:spacing w:line="257" w:lineRule="auto"/>
              <w:jc w:val="center"/>
              <w:rPr>
                <w:rFonts w:eastAsia="Arial" w:cs="Arial"/>
              </w:rPr>
            </w:pPr>
            <w:r w:rsidRPr="490425B0">
              <w:rPr>
                <w:rFonts w:eastAsia="Arial" w:cs="Arial"/>
              </w:rPr>
              <w:t>254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9EF56" w14:textId="1C3C0F05" w:rsidR="490425B0" w:rsidRDefault="490425B0" w:rsidP="490425B0">
            <w:pPr>
              <w:spacing w:line="257" w:lineRule="auto"/>
              <w:jc w:val="center"/>
              <w:rPr>
                <w:rFonts w:eastAsia="Arial" w:cs="Arial"/>
              </w:rPr>
            </w:pPr>
            <w:r w:rsidRPr="490425B0">
              <w:rPr>
                <w:rFonts w:eastAsia="Arial" w:cs="Arial"/>
              </w:rPr>
              <w:t>45</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DCCB1" w14:textId="3DC789B5" w:rsidR="478F00B7" w:rsidRDefault="7134F639" w:rsidP="490425B0">
            <w:pPr>
              <w:spacing w:line="257" w:lineRule="auto"/>
              <w:jc w:val="center"/>
              <w:rPr>
                <w:rFonts w:eastAsia="Arial" w:cs="Arial"/>
              </w:rPr>
            </w:pPr>
            <w:r w:rsidRPr="490425B0">
              <w:rPr>
                <w:rFonts w:eastAsia="Arial" w:cs="Arial"/>
              </w:rPr>
              <w:t>2,199</w:t>
            </w:r>
          </w:p>
        </w:tc>
        <w:tc>
          <w:tcPr>
            <w:tcW w:w="1522" w:type="dxa"/>
            <w:tcBorders>
              <w:top w:val="single" w:sz="4" w:space="0" w:color="auto"/>
              <w:left w:val="single" w:sz="4" w:space="0" w:color="auto"/>
              <w:bottom w:val="single" w:sz="4" w:space="0" w:color="auto"/>
              <w:right w:val="single" w:sz="4" w:space="0" w:color="auto"/>
            </w:tcBorders>
            <w:vAlign w:val="center"/>
          </w:tcPr>
          <w:p w14:paraId="1C8C3655" w14:textId="1142F180" w:rsidR="490425B0" w:rsidRDefault="490425B0" w:rsidP="490425B0">
            <w:pPr>
              <w:spacing w:line="257" w:lineRule="auto"/>
              <w:jc w:val="center"/>
              <w:rPr>
                <w:rFonts w:eastAsia="Arial" w:cs="Arial"/>
              </w:rPr>
            </w:pPr>
            <w:r w:rsidRPr="490425B0">
              <w:rPr>
                <w:rFonts w:eastAsia="Arial" w:cs="Arial"/>
              </w:rPr>
              <w:t>1,227</w:t>
            </w:r>
          </w:p>
        </w:tc>
      </w:tr>
      <w:tr w:rsidR="00F6538B" w:rsidRPr="004E1074" w14:paraId="500BDAF9"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76E0C" w14:textId="2A3B5A53" w:rsidR="00F6538B" w:rsidRPr="00233598" w:rsidRDefault="00F6538B" w:rsidP="00F6538B">
            <w:pPr>
              <w:ind w:left="432"/>
              <w:rPr>
                <w:rFonts w:eastAsia="Times New Roman" w:cs="Arial"/>
              </w:rPr>
            </w:pPr>
            <w:r w:rsidRPr="00233598">
              <w:rPr>
                <w:rFonts w:eastAsia="Times New Roman" w:cs="Arial"/>
              </w:rPr>
              <w:t>Widow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8C68C" w14:textId="05681240" w:rsidR="478F00B7" w:rsidRDefault="7134F639" w:rsidP="490425B0">
            <w:pPr>
              <w:spacing w:line="257" w:lineRule="auto"/>
              <w:jc w:val="center"/>
              <w:rPr>
                <w:rFonts w:eastAsia="Arial" w:cs="Arial"/>
              </w:rPr>
            </w:pPr>
            <w:r w:rsidRPr="490425B0">
              <w:rPr>
                <w:rFonts w:eastAsia="Arial" w:cs="Arial"/>
              </w:rPr>
              <w:t>2,500</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59CAA" w14:textId="654D22D9" w:rsidR="490425B0" w:rsidRDefault="490425B0" w:rsidP="490425B0">
            <w:pPr>
              <w:spacing w:line="257" w:lineRule="auto"/>
              <w:jc w:val="center"/>
              <w:rPr>
                <w:rFonts w:eastAsia="Arial" w:cs="Arial"/>
              </w:rPr>
            </w:pPr>
            <w:r w:rsidRPr="490425B0">
              <w:rPr>
                <w:rFonts w:eastAsia="Arial" w:cs="Arial"/>
              </w:rPr>
              <w:t>2,811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80310" w14:textId="439002E5" w:rsidR="478F00B7" w:rsidRDefault="7134F639" w:rsidP="490425B0">
            <w:pPr>
              <w:spacing w:line="257" w:lineRule="auto"/>
              <w:jc w:val="center"/>
              <w:rPr>
                <w:rFonts w:eastAsia="Arial" w:cs="Arial"/>
              </w:rPr>
            </w:pPr>
            <w:r w:rsidRPr="490425B0">
              <w:rPr>
                <w:rFonts w:eastAsia="Arial" w:cs="Arial"/>
              </w:rPr>
              <w:t>46</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C7F6B" w14:textId="21D7E359"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DA14" w14:textId="6D08FAAF" w:rsidR="478F00B7" w:rsidRDefault="7134F639" w:rsidP="490425B0">
            <w:pPr>
              <w:spacing w:line="257" w:lineRule="auto"/>
              <w:jc w:val="center"/>
              <w:rPr>
                <w:rFonts w:eastAsia="Arial" w:cs="Arial"/>
              </w:rPr>
            </w:pPr>
            <w:r w:rsidRPr="490425B0">
              <w:rPr>
                <w:rFonts w:eastAsia="Arial" w:cs="Arial"/>
              </w:rPr>
              <w:t>2,546</w:t>
            </w:r>
          </w:p>
        </w:tc>
        <w:tc>
          <w:tcPr>
            <w:tcW w:w="1522" w:type="dxa"/>
            <w:tcBorders>
              <w:top w:val="single" w:sz="4" w:space="0" w:color="auto"/>
              <w:left w:val="single" w:sz="4" w:space="0" w:color="auto"/>
              <w:bottom w:val="single" w:sz="4" w:space="0" w:color="auto"/>
              <w:right w:val="single" w:sz="4" w:space="0" w:color="auto"/>
            </w:tcBorders>
            <w:vAlign w:val="center"/>
          </w:tcPr>
          <w:p w14:paraId="0A554F23" w14:textId="3A3E3596" w:rsidR="490425B0" w:rsidRDefault="490425B0" w:rsidP="490425B0">
            <w:pPr>
              <w:spacing w:line="257" w:lineRule="auto"/>
              <w:jc w:val="center"/>
              <w:rPr>
                <w:rFonts w:eastAsia="Arial" w:cs="Arial"/>
              </w:rPr>
            </w:pPr>
            <w:r w:rsidRPr="490425B0">
              <w:rPr>
                <w:rFonts w:eastAsia="Arial" w:cs="Arial"/>
              </w:rPr>
              <w:t>2,811</w:t>
            </w:r>
          </w:p>
        </w:tc>
      </w:tr>
      <w:tr w:rsidR="00F6538B" w:rsidRPr="004E1074" w14:paraId="1D7D7556"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E13E5" w14:textId="7A74245C" w:rsidR="00F6538B" w:rsidRPr="00233598" w:rsidRDefault="00F6538B" w:rsidP="00F6538B">
            <w:pPr>
              <w:ind w:left="432"/>
              <w:rPr>
                <w:rFonts w:eastAsia="Times New Roman" w:cs="Arial"/>
              </w:rPr>
            </w:pPr>
            <w:r w:rsidRPr="00233598">
              <w:rPr>
                <w:rFonts w:eastAsia="Times New Roman" w:cs="Arial"/>
              </w:rPr>
              <w:t>Yellowtail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0E977" w14:textId="5AA485A3" w:rsidR="478F00B7" w:rsidRDefault="7134F639" w:rsidP="490425B0">
            <w:pPr>
              <w:spacing w:line="257" w:lineRule="auto"/>
              <w:jc w:val="center"/>
              <w:rPr>
                <w:rFonts w:eastAsia="Arial" w:cs="Arial"/>
              </w:rPr>
            </w:pPr>
            <w:r w:rsidRPr="490425B0">
              <w:rPr>
                <w:rFonts w:eastAsia="Arial" w:cs="Arial"/>
              </w:rPr>
              <w:t>5,440</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56DF1" w14:textId="6C794218" w:rsidR="490425B0" w:rsidRDefault="490425B0" w:rsidP="490425B0">
            <w:pPr>
              <w:spacing w:line="257" w:lineRule="auto"/>
              <w:jc w:val="center"/>
              <w:rPr>
                <w:rFonts w:eastAsia="Arial" w:cs="Arial"/>
              </w:rPr>
            </w:pPr>
            <w:r w:rsidRPr="490425B0">
              <w:rPr>
                <w:rFonts w:eastAsia="Arial" w:cs="Arial"/>
              </w:rPr>
              <w:t>3,456</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3E98C" w14:textId="7E1E5D3D" w:rsidR="478F00B7" w:rsidRDefault="7134F639" w:rsidP="490425B0">
            <w:pPr>
              <w:spacing w:line="257" w:lineRule="auto"/>
              <w:jc w:val="center"/>
              <w:rPr>
                <w:rFonts w:eastAsia="Arial" w:cs="Arial"/>
              </w:rPr>
            </w:pPr>
            <w:r w:rsidRPr="490425B0">
              <w:rPr>
                <w:rFonts w:eastAsia="Arial" w:cs="Arial"/>
              </w:rPr>
              <w:t>60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3D353" w14:textId="49337DDB" w:rsidR="490425B0" w:rsidRDefault="490425B0" w:rsidP="490425B0">
            <w:pPr>
              <w:spacing w:line="257" w:lineRule="auto"/>
              <w:jc w:val="center"/>
              <w:rPr>
                <w:rFonts w:eastAsia="Arial" w:cs="Arial"/>
              </w:rPr>
            </w:pPr>
            <w:r w:rsidRPr="490425B0">
              <w:rPr>
                <w:rFonts w:eastAsia="Arial" w:cs="Arial"/>
              </w:rPr>
              <w:t>2</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EFC29" w14:textId="1D48783B" w:rsidR="478F00B7" w:rsidRDefault="7134F639" w:rsidP="490425B0">
            <w:pPr>
              <w:spacing w:line="257" w:lineRule="auto"/>
              <w:jc w:val="center"/>
              <w:rPr>
                <w:rFonts w:eastAsia="Arial" w:cs="Arial"/>
              </w:rPr>
            </w:pPr>
            <w:r w:rsidRPr="490425B0">
              <w:rPr>
                <w:rFonts w:eastAsia="Arial" w:cs="Arial"/>
              </w:rPr>
              <w:t>5,500</w:t>
            </w:r>
          </w:p>
        </w:tc>
        <w:tc>
          <w:tcPr>
            <w:tcW w:w="1522" w:type="dxa"/>
            <w:tcBorders>
              <w:top w:val="single" w:sz="4" w:space="0" w:color="auto"/>
              <w:left w:val="single" w:sz="4" w:space="0" w:color="auto"/>
              <w:bottom w:val="single" w:sz="4" w:space="0" w:color="auto"/>
              <w:right w:val="single" w:sz="4" w:space="0" w:color="auto"/>
            </w:tcBorders>
            <w:vAlign w:val="center"/>
          </w:tcPr>
          <w:p w14:paraId="65103A48" w14:textId="3D92F43F" w:rsidR="490425B0" w:rsidRDefault="490425B0" w:rsidP="490425B0">
            <w:pPr>
              <w:spacing w:line="257" w:lineRule="auto"/>
              <w:jc w:val="center"/>
              <w:rPr>
                <w:rFonts w:eastAsia="Arial" w:cs="Arial"/>
              </w:rPr>
            </w:pPr>
            <w:r w:rsidRPr="490425B0">
              <w:rPr>
                <w:rFonts w:eastAsia="Arial" w:cs="Arial"/>
              </w:rPr>
              <w:t>3,458</w:t>
            </w:r>
          </w:p>
        </w:tc>
      </w:tr>
      <w:tr w:rsidR="00F6538B" w:rsidRPr="004E1074" w14:paraId="1FEAEFFA"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D05C1" w14:textId="7257E852" w:rsidR="00F6538B" w:rsidRPr="00233598" w:rsidRDefault="00F6538B" w:rsidP="00F6538B">
            <w:pPr>
              <w:ind w:left="432"/>
              <w:rPr>
                <w:rFonts w:eastAsia="Times New Roman" w:cs="Arial"/>
              </w:rPr>
            </w:pPr>
            <w:r w:rsidRPr="00233598">
              <w:rPr>
                <w:rFonts w:eastAsia="Times New Roman" w:cs="Arial"/>
              </w:rPr>
              <w:t>Quillback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D3AF7" w14:textId="60AD78B0" w:rsidR="478F00B7" w:rsidRDefault="7134F639" w:rsidP="490425B0">
            <w:pPr>
              <w:spacing w:line="257" w:lineRule="auto"/>
              <w:jc w:val="center"/>
              <w:rPr>
                <w:rFonts w:eastAsia="Arial" w:cs="Arial"/>
              </w:rPr>
            </w:pPr>
            <w:r w:rsidRPr="490425B0">
              <w:rPr>
                <w:rFonts w:eastAsia="Arial" w:cs="Arial"/>
              </w:rPr>
              <w:t>4</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98EA2" w14:textId="56A2BDCF" w:rsidR="490425B0" w:rsidRDefault="490425B0" w:rsidP="490425B0">
            <w:pPr>
              <w:spacing w:line="257" w:lineRule="auto"/>
              <w:jc w:val="center"/>
              <w:rPr>
                <w:rFonts w:eastAsia="Arial" w:cs="Arial"/>
              </w:rPr>
            </w:pPr>
            <w:r w:rsidRPr="490425B0">
              <w:rPr>
                <w:rFonts w:eastAsia="Arial" w:cs="Arial"/>
              </w:rPr>
              <w:t>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AF75C" w14:textId="5E43B7D1" w:rsidR="478F00B7" w:rsidRDefault="7134F639" w:rsidP="490425B0">
            <w:pPr>
              <w:spacing w:line="257" w:lineRule="auto"/>
              <w:jc w:val="center"/>
              <w:rPr>
                <w:rFonts w:eastAsia="Arial" w:cs="Arial"/>
              </w:rPr>
            </w:pPr>
            <w:r w:rsidRPr="490425B0">
              <w:rPr>
                <w:rFonts w:eastAsia="Arial" w:cs="Arial"/>
              </w:rPr>
              <w:t>147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7AC95" w14:textId="5C38761D" w:rsidR="490425B0" w:rsidRDefault="490425B0" w:rsidP="490425B0">
            <w:pPr>
              <w:spacing w:line="257" w:lineRule="auto"/>
              <w:jc w:val="center"/>
              <w:rPr>
                <w:rFonts w:eastAsia="Arial" w:cs="Arial"/>
              </w:rPr>
            </w:pPr>
            <w:r w:rsidRPr="490425B0">
              <w:rPr>
                <w:rFonts w:eastAsia="Arial" w:cs="Arial"/>
              </w:rPr>
              <w:t>83</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69C0C" w14:textId="06133A0C" w:rsidR="478F00B7" w:rsidRDefault="7134F639" w:rsidP="490425B0">
            <w:pPr>
              <w:spacing w:line="257" w:lineRule="auto"/>
              <w:jc w:val="center"/>
              <w:rPr>
                <w:rFonts w:eastAsia="Arial" w:cs="Arial"/>
              </w:rPr>
            </w:pPr>
            <w:r w:rsidRPr="490425B0">
              <w:rPr>
                <w:rFonts w:eastAsia="Arial" w:cs="Arial"/>
              </w:rPr>
              <w:t>151</w:t>
            </w:r>
          </w:p>
        </w:tc>
        <w:tc>
          <w:tcPr>
            <w:tcW w:w="1522" w:type="dxa"/>
            <w:tcBorders>
              <w:top w:val="single" w:sz="4" w:space="0" w:color="auto"/>
              <w:left w:val="single" w:sz="4" w:space="0" w:color="auto"/>
              <w:bottom w:val="single" w:sz="4" w:space="0" w:color="auto"/>
              <w:right w:val="single" w:sz="4" w:space="0" w:color="auto"/>
            </w:tcBorders>
            <w:vAlign w:val="center"/>
          </w:tcPr>
          <w:p w14:paraId="4C06B278" w14:textId="62742F0B" w:rsidR="490425B0" w:rsidRDefault="490425B0" w:rsidP="490425B0">
            <w:pPr>
              <w:spacing w:line="257" w:lineRule="auto"/>
              <w:jc w:val="center"/>
              <w:rPr>
                <w:rFonts w:eastAsia="Arial" w:cs="Arial"/>
              </w:rPr>
            </w:pPr>
            <w:r w:rsidRPr="490425B0">
              <w:rPr>
                <w:rFonts w:eastAsia="Arial" w:cs="Arial"/>
              </w:rPr>
              <w:t>85</w:t>
            </w:r>
          </w:p>
        </w:tc>
      </w:tr>
      <w:tr w:rsidR="00F6538B" w:rsidRPr="004E1074" w14:paraId="2EEC7AC2"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C4987" w14:textId="6D9FC146" w:rsidR="00F6538B" w:rsidRPr="00233598" w:rsidRDefault="00F6538B" w:rsidP="00F6538B">
            <w:pPr>
              <w:ind w:left="432"/>
              <w:rPr>
                <w:rFonts w:eastAsia="Times New Roman" w:cs="Arial"/>
              </w:rPr>
            </w:pPr>
            <w:r w:rsidRPr="00233598">
              <w:rPr>
                <w:rFonts w:eastAsia="Times New Roman" w:cs="Arial"/>
              </w:rPr>
              <w:t>Bocaccio</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98D36" w14:textId="7F9567F2" w:rsidR="478F00B7" w:rsidRDefault="7134F639" w:rsidP="490425B0">
            <w:pPr>
              <w:spacing w:line="257" w:lineRule="auto"/>
              <w:jc w:val="center"/>
              <w:rPr>
                <w:rFonts w:eastAsia="Arial" w:cs="Arial"/>
              </w:rPr>
            </w:pPr>
            <w:r w:rsidRPr="490425B0">
              <w:rPr>
                <w:rFonts w:eastAsia="Arial" w:cs="Arial"/>
              </w:rPr>
              <w:t>1486</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E32F4" w14:textId="68F1C658" w:rsidR="490425B0" w:rsidRDefault="490425B0" w:rsidP="490425B0">
            <w:pPr>
              <w:spacing w:line="257" w:lineRule="auto"/>
              <w:jc w:val="center"/>
              <w:rPr>
                <w:rFonts w:eastAsia="Arial" w:cs="Arial"/>
              </w:rPr>
            </w:pPr>
            <w:r w:rsidRPr="490425B0">
              <w:rPr>
                <w:rFonts w:eastAsia="Arial" w:cs="Arial"/>
              </w:rPr>
              <w:t>1,080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0F4E9" w14:textId="591B579C" w:rsidR="478F00B7" w:rsidRDefault="7134F639"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7F8A7" w14:textId="54DBFDF4" w:rsidR="490425B0" w:rsidRDefault="490425B0" w:rsidP="490425B0">
            <w:pPr>
              <w:spacing w:line="257" w:lineRule="auto"/>
              <w:jc w:val="center"/>
              <w:rPr>
                <w:rFonts w:eastAsia="Arial" w:cs="Arial"/>
              </w:rPr>
            </w:pPr>
            <w:r w:rsidRPr="490425B0">
              <w:rPr>
                <w:rFonts w:eastAsia="Arial" w:cs="Arial"/>
              </w:rPr>
              <w:t>17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A5F8D" w14:textId="558152A9" w:rsidR="478F00B7" w:rsidRDefault="7134F639" w:rsidP="490425B0">
            <w:pPr>
              <w:spacing w:line="257" w:lineRule="auto"/>
              <w:jc w:val="center"/>
              <w:rPr>
                <w:rFonts w:eastAsia="Arial" w:cs="Arial"/>
              </w:rPr>
            </w:pPr>
            <w:r w:rsidRPr="490425B0">
              <w:rPr>
                <w:rFonts w:eastAsia="Arial" w:cs="Arial"/>
              </w:rPr>
              <w:t>1,486</w:t>
            </w:r>
          </w:p>
        </w:tc>
        <w:tc>
          <w:tcPr>
            <w:tcW w:w="1522" w:type="dxa"/>
            <w:tcBorders>
              <w:top w:val="single" w:sz="4" w:space="0" w:color="auto"/>
              <w:left w:val="single" w:sz="4" w:space="0" w:color="auto"/>
              <w:bottom w:val="single" w:sz="4" w:space="0" w:color="auto"/>
              <w:right w:val="single" w:sz="4" w:space="0" w:color="auto"/>
            </w:tcBorders>
            <w:vAlign w:val="center"/>
          </w:tcPr>
          <w:p w14:paraId="3C4487C1" w14:textId="63F9621D" w:rsidR="490425B0" w:rsidRDefault="490425B0" w:rsidP="490425B0">
            <w:pPr>
              <w:spacing w:line="257" w:lineRule="auto"/>
              <w:jc w:val="center"/>
              <w:rPr>
                <w:rFonts w:eastAsia="Arial" w:cs="Arial"/>
              </w:rPr>
            </w:pPr>
            <w:r w:rsidRPr="490425B0">
              <w:rPr>
                <w:rFonts w:eastAsia="Arial" w:cs="Arial"/>
              </w:rPr>
              <w:t>1,097</w:t>
            </w:r>
          </w:p>
        </w:tc>
      </w:tr>
      <w:tr w:rsidR="00F6538B" w:rsidRPr="004E1074" w14:paraId="31749306"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B2BDF" w14:textId="59B3C41F" w:rsidR="00F6538B" w:rsidRPr="00233598" w:rsidRDefault="00F6538B" w:rsidP="00F6538B">
            <w:pPr>
              <w:ind w:left="432"/>
              <w:rPr>
                <w:rFonts w:eastAsia="Times New Roman" w:cs="Arial"/>
              </w:rPr>
            </w:pPr>
            <w:r w:rsidRPr="00233598">
              <w:rPr>
                <w:rFonts w:eastAsia="Times New Roman" w:cs="Arial"/>
              </w:rPr>
              <w:t>Canary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E9C4F" w14:textId="5C0478B3" w:rsidR="478F00B7" w:rsidRDefault="7134F639" w:rsidP="490425B0">
            <w:pPr>
              <w:spacing w:line="257" w:lineRule="auto"/>
              <w:jc w:val="center"/>
              <w:rPr>
                <w:rFonts w:eastAsia="Arial" w:cs="Arial"/>
              </w:rPr>
            </w:pPr>
            <w:r w:rsidRPr="490425B0">
              <w:rPr>
                <w:rFonts w:eastAsia="Arial" w:cs="Arial"/>
              </w:rPr>
              <w:t>965</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E32D0" w14:textId="5FFC3BE1" w:rsidR="490425B0" w:rsidRDefault="490425B0" w:rsidP="490425B0">
            <w:pPr>
              <w:spacing w:line="257" w:lineRule="auto"/>
              <w:jc w:val="center"/>
              <w:rPr>
                <w:rFonts w:eastAsia="Arial" w:cs="Arial"/>
              </w:rPr>
            </w:pPr>
            <w:r w:rsidRPr="490425B0">
              <w:rPr>
                <w:rFonts w:eastAsia="Arial" w:cs="Arial"/>
              </w:rPr>
              <w:t>1,020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1C2B" w14:textId="174E042E" w:rsidR="478F00B7" w:rsidRDefault="7134F639" w:rsidP="490425B0">
            <w:pPr>
              <w:spacing w:line="257" w:lineRule="auto"/>
              <w:jc w:val="center"/>
              <w:rPr>
                <w:rFonts w:eastAsia="Arial" w:cs="Arial"/>
              </w:rPr>
            </w:pPr>
            <w:r w:rsidRPr="490425B0">
              <w:rPr>
                <w:rFonts w:eastAsia="Arial" w:cs="Arial"/>
              </w:rPr>
              <w:t>135</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6C606" w14:textId="454AD701" w:rsidR="490425B0" w:rsidRDefault="490425B0" w:rsidP="490425B0">
            <w:pPr>
              <w:spacing w:line="257" w:lineRule="auto"/>
              <w:jc w:val="center"/>
              <w:rPr>
                <w:rFonts w:eastAsia="Arial" w:cs="Arial"/>
              </w:rPr>
            </w:pPr>
            <w:r w:rsidRPr="490425B0">
              <w:rPr>
                <w:rFonts w:eastAsia="Arial" w:cs="Arial"/>
              </w:rPr>
              <w:t>12</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81EC6" w14:textId="08D87A9C" w:rsidR="478F00B7" w:rsidRDefault="7134F639" w:rsidP="490425B0">
            <w:pPr>
              <w:spacing w:line="257" w:lineRule="auto"/>
              <w:jc w:val="center"/>
              <w:rPr>
                <w:rFonts w:eastAsia="Arial" w:cs="Arial"/>
              </w:rPr>
            </w:pPr>
            <w:r w:rsidRPr="490425B0">
              <w:rPr>
                <w:rFonts w:eastAsia="Arial" w:cs="Arial"/>
              </w:rPr>
              <w:t>1,100</w:t>
            </w:r>
          </w:p>
        </w:tc>
        <w:tc>
          <w:tcPr>
            <w:tcW w:w="1522" w:type="dxa"/>
            <w:tcBorders>
              <w:top w:val="single" w:sz="4" w:space="0" w:color="auto"/>
              <w:left w:val="single" w:sz="4" w:space="0" w:color="auto"/>
              <w:bottom w:val="single" w:sz="4" w:space="0" w:color="auto"/>
              <w:right w:val="single" w:sz="4" w:space="0" w:color="auto"/>
            </w:tcBorders>
            <w:vAlign w:val="center"/>
          </w:tcPr>
          <w:p w14:paraId="4F28889B" w14:textId="0EB422F3" w:rsidR="490425B0" w:rsidRDefault="490425B0" w:rsidP="490425B0">
            <w:pPr>
              <w:spacing w:line="257" w:lineRule="auto"/>
              <w:jc w:val="center"/>
              <w:rPr>
                <w:rFonts w:eastAsia="Arial" w:cs="Arial"/>
              </w:rPr>
            </w:pPr>
            <w:r w:rsidRPr="490425B0">
              <w:rPr>
                <w:rFonts w:eastAsia="Arial" w:cs="Arial"/>
              </w:rPr>
              <w:t>1,032</w:t>
            </w:r>
          </w:p>
        </w:tc>
      </w:tr>
      <w:tr w:rsidR="00F6538B" w:rsidRPr="004E1074" w14:paraId="0C7F1F80"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85C1B" w14:textId="6D802F7E" w:rsidR="00F6538B" w:rsidRPr="00233598" w:rsidRDefault="00F6538B" w:rsidP="00F6538B">
            <w:pPr>
              <w:ind w:left="432"/>
              <w:rPr>
                <w:rFonts w:eastAsia="Times New Roman" w:cs="Arial"/>
              </w:rPr>
            </w:pPr>
            <w:r w:rsidRPr="00233598">
              <w:rPr>
                <w:rFonts w:eastAsia="Times New Roman" w:cs="Arial"/>
              </w:rPr>
              <w:t>Redstripe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186B4" w14:textId="4F027452" w:rsidR="478F00B7" w:rsidRDefault="7134F639" w:rsidP="490425B0">
            <w:pPr>
              <w:spacing w:line="257" w:lineRule="auto"/>
              <w:jc w:val="center"/>
              <w:rPr>
                <w:rFonts w:eastAsia="Arial" w:cs="Arial"/>
              </w:rPr>
            </w:pPr>
            <w:r w:rsidRPr="490425B0">
              <w:rPr>
                <w:rFonts w:eastAsia="Arial" w:cs="Arial"/>
              </w:rPr>
              <w:t>1,550</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A7264" w14:textId="11451F4B" w:rsidR="490425B0" w:rsidRDefault="490425B0" w:rsidP="490425B0">
            <w:pPr>
              <w:spacing w:line="257" w:lineRule="auto"/>
              <w:jc w:val="center"/>
              <w:rPr>
                <w:rFonts w:eastAsia="Arial" w:cs="Arial"/>
              </w:rPr>
            </w:pPr>
            <w:r w:rsidRPr="490425B0">
              <w:rPr>
                <w:rFonts w:eastAsia="Arial" w:cs="Arial"/>
              </w:rPr>
              <w:t>674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32B2B" w14:textId="0C191051" w:rsidR="478F00B7" w:rsidRDefault="7134F639" w:rsidP="490425B0">
            <w:pPr>
              <w:spacing w:line="257" w:lineRule="auto"/>
              <w:jc w:val="center"/>
              <w:rPr>
                <w:rFonts w:eastAsia="Arial" w:cs="Arial"/>
              </w:rPr>
            </w:pPr>
            <w:r w:rsidRPr="490425B0">
              <w:rPr>
                <w:rFonts w:eastAsia="Arial" w:cs="Arial"/>
              </w:rPr>
              <w:t>43</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285CA" w14:textId="3883C5BD"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45BB7" w14:textId="5388EBC0" w:rsidR="478F00B7" w:rsidRDefault="7134F639" w:rsidP="490425B0">
            <w:pPr>
              <w:spacing w:line="257" w:lineRule="auto"/>
              <w:jc w:val="center"/>
              <w:rPr>
                <w:rFonts w:eastAsia="Arial" w:cs="Arial"/>
              </w:rPr>
            </w:pPr>
            <w:r w:rsidRPr="490425B0">
              <w:rPr>
                <w:rFonts w:eastAsia="Arial" w:cs="Arial"/>
              </w:rPr>
              <w:t>1,593</w:t>
            </w:r>
          </w:p>
        </w:tc>
        <w:tc>
          <w:tcPr>
            <w:tcW w:w="1522" w:type="dxa"/>
            <w:tcBorders>
              <w:top w:val="single" w:sz="4" w:space="0" w:color="auto"/>
              <w:left w:val="single" w:sz="4" w:space="0" w:color="auto"/>
              <w:bottom w:val="single" w:sz="4" w:space="0" w:color="auto"/>
              <w:right w:val="single" w:sz="4" w:space="0" w:color="auto"/>
            </w:tcBorders>
            <w:vAlign w:val="center"/>
          </w:tcPr>
          <w:p w14:paraId="5879696E" w14:textId="389449EA" w:rsidR="490425B0" w:rsidRDefault="490425B0" w:rsidP="490425B0">
            <w:pPr>
              <w:spacing w:line="257" w:lineRule="auto"/>
              <w:jc w:val="center"/>
              <w:rPr>
                <w:rFonts w:eastAsia="Arial" w:cs="Arial"/>
              </w:rPr>
            </w:pPr>
            <w:r w:rsidRPr="490425B0">
              <w:rPr>
                <w:rFonts w:eastAsia="Arial" w:cs="Arial"/>
              </w:rPr>
              <w:t>674</w:t>
            </w:r>
          </w:p>
        </w:tc>
      </w:tr>
      <w:tr w:rsidR="00F6538B" w:rsidRPr="004E1074" w14:paraId="0CA8CEA6"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73D5A" w14:textId="6CA30899" w:rsidR="00F6538B" w:rsidRPr="00233598" w:rsidRDefault="00F6538B" w:rsidP="00F6538B">
            <w:pPr>
              <w:ind w:left="432"/>
              <w:rPr>
                <w:rFonts w:eastAsia="Times New Roman" w:cs="Arial"/>
              </w:rPr>
            </w:pPr>
            <w:r w:rsidRPr="00233598">
              <w:rPr>
                <w:rFonts w:eastAsia="Times New Roman" w:cs="Arial"/>
              </w:rPr>
              <w:t>Yellowmouth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CBEFD" w14:textId="590EF0EA" w:rsidR="478F00B7" w:rsidRDefault="7134F639" w:rsidP="490425B0">
            <w:pPr>
              <w:spacing w:line="257" w:lineRule="auto"/>
              <w:jc w:val="center"/>
              <w:rPr>
                <w:rFonts w:eastAsia="Arial" w:cs="Arial"/>
              </w:rPr>
            </w:pPr>
            <w:r w:rsidRPr="490425B0">
              <w:rPr>
                <w:rFonts w:eastAsia="Arial" w:cs="Arial"/>
              </w:rPr>
              <w:t>2,419</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17A20" w14:textId="1A3EC0E6" w:rsidR="490425B0" w:rsidRDefault="490425B0" w:rsidP="490425B0">
            <w:pPr>
              <w:spacing w:line="257" w:lineRule="auto"/>
              <w:jc w:val="center"/>
              <w:rPr>
                <w:rFonts w:eastAsia="Arial" w:cs="Arial"/>
              </w:rPr>
            </w:pPr>
            <w:r w:rsidRPr="490425B0">
              <w:rPr>
                <w:rFonts w:eastAsia="Arial" w:cs="Arial"/>
              </w:rPr>
              <w:t>1,521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20BFF" w14:textId="7BD2ED83" w:rsidR="478F00B7" w:rsidRDefault="7134F639" w:rsidP="490425B0">
            <w:pPr>
              <w:spacing w:line="257" w:lineRule="auto"/>
              <w:jc w:val="center"/>
              <w:rPr>
                <w:rFonts w:eastAsia="Arial" w:cs="Arial"/>
              </w:rPr>
            </w:pPr>
            <w:r w:rsidRPr="490425B0">
              <w:rPr>
                <w:rFonts w:eastAsia="Arial" w:cs="Arial"/>
              </w:rPr>
              <w:t>81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544E8" w14:textId="552F90A6" w:rsidR="490425B0" w:rsidRDefault="490425B0" w:rsidP="490425B0">
            <w:pPr>
              <w:spacing w:line="257" w:lineRule="auto"/>
              <w:jc w:val="center"/>
              <w:rPr>
                <w:rFonts w:eastAsia="Arial" w:cs="Arial"/>
              </w:rPr>
            </w:pPr>
            <w:r w:rsidRPr="490425B0">
              <w:rPr>
                <w:rFonts w:eastAsia="Arial" w:cs="Arial"/>
              </w:rPr>
              <w:t>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576E4" w14:textId="52AEE12B" w:rsidR="478F00B7" w:rsidRDefault="7134F639" w:rsidP="490425B0">
            <w:pPr>
              <w:spacing w:line="257" w:lineRule="auto"/>
              <w:jc w:val="center"/>
              <w:rPr>
                <w:rFonts w:eastAsia="Arial" w:cs="Arial"/>
              </w:rPr>
            </w:pPr>
            <w:r w:rsidRPr="490425B0">
              <w:rPr>
                <w:rFonts w:eastAsia="Arial" w:cs="Arial"/>
              </w:rPr>
              <w:t>2,500</w:t>
            </w:r>
          </w:p>
        </w:tc>
        <w:tc>
          <w:tcPr>
            <w:tcW w:w="1522" w:type="dxa"/>
            <w:tcBorders>
              <w:top w:val="single" w:sz="4" w:space="0" w:color="auto"/>
              <w:left w:val="single" w:sz="4" w:space="0" w:color="auto"/>
              <w:bottom w:val="single" w:sz="4" w:space="0" w:color="auto"/>
              <w:right w:val="single" w:sz="4" w:space="0" w:color="auto"/>
            </w:tcBorders>
            <w:vAlign w:val="center"/>
          </w:tcPr>
          <w:p w14:paraId="0E895DD7" w14:textId="2DF06A3A" w:rsidR="490425B0" w:rsidRDefault="490425B0" w:rsidP="490425B0">
            <w:pPr>
              <w:spacing w:line="257" w:lineRule="auto"/>
              <w:jc w:val="center"/>
              <w:rPr>
                <w:rFonts w:eastAsia="Arial" w:cs="Arial"/>
              </w:rPr>
            </w:pPr>
            <w:r w:rsidRPr="490425B0">
              <w:rPr>
                <w:rFonts w:eastAsia="Arial" w:cs="Arial"/>
              </w:rPr>
              <w:t>1,529</w:t>
            </w:r>
          </w:p>
        </w:tc>
      </w:tr>
      <w:tr w:rsidR="00F6538B" w:rsidRPr="004E1074" w14:paraId="133E2674"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55EB" w14:textId="2B6EFE5B" w:rsidR="00F6538B" w:rsidRPr="00233598" w:rsidRDefault="00F6538B" w:rsidP="00F6538B">
            <w:pPr>
              <w:ind w:left="432"/>
              <w:rPr>
                <w:rFonts w:eastAsia="Times New Roman" w:cs="Arial"/>
              </w:rPr>
            </w:pPr>
            <w:r w:rsidRPr="00233598">
              <w:rPr>
                <w:rFonts w:eastAsia="Times New Roman" w:cs="Arial"/>
              </w:rPr>
              <w:t>Yelloweye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E88D0" w14:textId="58D39ADE" w:rsidR="478F00B7" w:rsidRDefault="7134F639" w:rsidP="490425B0">
            <w:pPr>
              <w:spacing w:line="257" w:lineRule="auto"/>
              <w:jc w:val="center"/>
              <w:rPr>
                <w:rFonts w:eastAsia="Arial" w:cs="Arial"/>
              </w:rPr>
            </w:pPr>
            <w:r w:rsidRPr="490425B0">
              <w:rPr>
                <w:rFonts w:eastAsia="Arial" w:cs="Arial"/>
              </w:rPr>
              <w:t>3</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CFDFE" w14:textId="34879E7B" w:rsidR="490425B0" w:rsidRDefault="490425B0" w:rsidP="490425B0">
            <w:pPr>
              <w:spacing w:line="257" w:lineRule="auto"/>
              <w:jc w:val="center"/>
              <w:rPr>
                <w:rFonts w:eastAsia="Arial" w:cs="Arial"/>
              </w:rPr>
            </w:pPr>
            <w:r w:rsidRPr="490425B0">
              <w:rPr>
                <w:rFonts w:eastAsia="Arial" w:cs="Arial"/>
              </w:rPr>
              <w:t>12</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26E8E" w14:textId="1DB1F9ED" w:rsidR="478F00B7" w:rsidRDefault="7134F639" w:rsidP="490425B0">
            <w:pPr>
              <w:spacing w:line="257" w:lineRule="auto"/>
              <w:jc w:val="center"/>
              <w:rPr>
                <w:rFonts w:eastAsia="Arial" w:cs="Arial"/>
              </w:rPr>
            </w:pPr>
            <w:r w:rsidRPr="490425B0">
              <w:rPr>
                <w:rFonts w:eastAsia="Arial" w:cs="Arial"/>
              </w:rPr>
              <w:t>129</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F3606" w14:textId="5F22EEEC" w:rsidR="490425B0" w:rsidRDefault="490425B0" w:rsidP="490425B0">
            <w:pPr>
              <w:spacing w:line="257" w:lineRule="auto"/>
              <w:jc w:val="center"/>
              <w:rPr>
                <w:rFonts w:eastAsia="Arial" w:cs="Arial"/>
              </w:rPr>
            </w:pPr>
            <w:r w:rsidRPr="490425B0">
              <w:rPr>
                <w:rFonts w:eastAsia="Arial" w:cs="Arial"/>
              </w:rPr>
              <w:t>154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7553C" w14:textId="64DE409B" w:rsidR="478F00B7" w:rsidRDefault="7134F639" w:rsidP="490425B0">
            <w:pPr>
              <w:spacing w:line="257" w:lineRule="auto"/>
              <w:jc w:val="center"/>
              <w:rPr>
                <w:rFonts w:eastAsia="Arial" w:cs="Arial"/>
              </w:rPr>
            </w:pPr>
            <w:r w:rsidRPr="490425B0">
              <w:rPr>
                <w:rFonts w:eastAsia="Arial" w:cs="Arial"/>
              </w:rPr>
              <w:t>132</w:t>
            </w:r>
          </w:p>
        </w:tc>
        <w:tc>
          <w:tcPr>
            <w:tcW w:w="1522" w:type="dxa"/>
            <w:tcBorders>
              <w:top w:val="single" w:sz="4" w:space="0" w:color="auto"/>
              <w:left w:val="single" w:sz="4" w:space="0" w:color="auto"/>
              <w:bottom w:val="single" w:sz="4" w:space="0" w:color="auto"/>
              <w:right w:val="single" w:sz="4" w:space="0" w:color="auto"/>
            </w:tcBorders>
            <w:vAlign w:val="center"/>
          </w:tcPr>
          <w:p w14:paraId="214F7298" w14:textId="00EA1C89" w:rsidR="490425B0" w:rsidRDefault="490425B0" w:rsidP="490425B0">
            <w:pPr>
              <w:spacing w:line="257" w:lineRule="auto"/>
              <w:jc w:val="center"/>
              <w:rPr>
                <w:rFonts w:eastAsia="Arial" w:cs="Arial"/>
              </w:rPr>
            </w:pPr>
            <w:r w:rsidRPr="490425B0">
              <w:rPr>
                <w:rFonts w:eastAsia="Arial" w:cs="Arial"/>
              </w:rPr>
              <w:t>166</w:t>
            </w:r>
          </w:p>
        </w:tc>
      </w:tr>
      <w:tr w:rsidR="00F6538B" w:rsidRPr="004E1074" w14:paraId="1CF28972"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78A0B" w14:textId="6FAB1961" w:rsidR="00F6538B" w:rsidRPr="00233598" w:rsidRDefault="00F6538B" w:rsidP="00F6538B">
            <w:pPr>
              <w:ind w:left="720" w:hanging="288"/>
              <w:rPr>
                <w:rFonts w:eastAsia="Times New Roman" w:cs="Arial"/>
              </w:rPr>
            </w:pPr>
            <w:r w:rsidRPr="00233598">
              <w:rPr>
                <w:rFonts w:eastAsia="Times New Roman" w:cs="Arial"/>
              </w:rPr>
              <w:t>Copper, China, And Tiger Rockfish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3847D" w14:textId="43DC578C" w:rsidR="478F00B7" w:rsidRDefault="7134F639" w:rsidP="490425B0">
            <w:pPr>
              <w:spacing w:line="257" w:lineRule="auto"/>
              <w:jc w:val="center"/>
              <w:rPr>
                <w:rFonts w:eastAsia="Arial" w:cs="Arial"/>
              </w:rPr>
            </w:pPr>
            <w:r w:rsidRPr="490425B0">
              <w:rPr>
                <w:rFonts w:eastAsia="Arial" w:cs="Arial"/>
              </w:rPr>
              <w:t>1</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7CB3B" w14:textId="31797696" w:rsidR="490425B0" w:rsidRDefault="490425B0" w:rsidP="490425B0">
            <w:pPr>
              <w:spacing w:line="257" w:lineRule="auto"/>
              <w:jc w:val="center"/>
              <w:rPr>
                <w:rFonts w:eastAsia="Arial" w:cs="Arial"/>
              </w:rPr>
            </w:pPr>
            <w:r w:rsidRPr="490425B0">
              <w:rPr>
                <w:rFonts w:eastAsia="Arial" w:cs="Arial"/>
              </w:rPr>
              <w:t>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6ECE4" w14:textId="6EFF569C" w:rsidR="478F00B7" w:rsidRDefault="7134F639" w:rsidP="490425B0">
            <w:pPr>
              <w:spacing w:line="257" w:lineRule="auto"/>
              <w:jc w:val="center"/>
              <w:rPr>
                <w:rFonts w:eastAsia="Arial" w:cs="Arial"/>
              </w:rPr>
            </w:pPr>
            <w:r w:rsidRPr="490425B0">
              <w:rPr>
                <w:rFonts w:eastAsia="Arial" w:cs="Arial"/>
              </w:rPr>
              <w:t>60.3</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71281" w14:textId="24A3B46D" w:rsidR="490425B0" w:rsidRDefault="490425B0" w:rsidP="490425B0">
            <w:pPr>
              <w:spacing w:line="257" w:lineRule="auto"/>
              <w:jc w:val="center"/>
              <w:rPr>
                <w:rFonts w:eastAsia="Arial" w:cs="Arial"/>
              </w:rPr>
            </w:pPr>
            <w:r w:rsidRPr="490425B0">
              <w:rPr>
                <w:rFonts w:eastAsia="Arial" w:cs="Arial"/>
              </w:rPr>
              <w:t>37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C7B9B" w14:textId="4A782F1A" w:rsidR="478F00B7" w:rsidRDefault="7134F639" w:rsidP="490425B0">
            <w:pPr>
              <w:spacing w:line="257" w:lineRule="auto"/>
              <w:jc w:val="center"/>
              <w:rPr>
                <w:rFonts w:eastAsia="Arial" w:cs="Arial"/>
              </w:rPr>
            </w:pPr>
            <w:r w:rsidRPr="490425B0">
              <w:rPr>
                <w:rFonts w:eastAsia="Arial" w:cs="Arial"/>
              </w:rPr>
              <w:t>61.3</w:t>
            </w:r>
          </w:p>
        </w:tc>
        <w:tc>
          <w:tcPr>
            <w:tcW w:w="1522" w:type="dxa"/>
            <w:tcBorders>
              <w:top w:val="single" w:sz="4" w:space="0" w:color="auto"/>
              <w:left w:val="single" w:sz="4" w:space="0" w:color="auto"/>
              <w:bottom w:val="single" w:sz="4" w:space="0" w:color="auto"/>
              <w:right w:val="single" w:sz="4" w:space="0" w:color="auto"/>
            </w:tcBorders>
            <w:vAlign w:val="center"/>
          </w:tcPr>
          <w:p w14:paraId="1AA1EEA5" w14:textId="430701B9" w:rsidR="490425B0" w:rsidRDefault="490425B0" w:rsidP="490425B0">
            <w:pPr>
              <w:spacing w:line="257" w:lineRule="auto"/>
              <w:jc w:val="center"/>
              <w:rPr>
                <w:rFonts w:eastAsia="Arial" w:cs="Arial"/>
              </w:rPr>
            </w:pPr>
            <w:r w:rsidRPr="490425B0">
              <w:rPr>
                <w:rFonts w:eastAsia="Arial" w:cs="Arial"/>
              </w:rPr>
              <w:t>38</w:t>
            </w:r>
          </w:p>
        </w:tc>
      </w:tr>
    </w:tbl>
    <w:p w14:paraId="290A3B46" w14:textId="77777777" w:rsidR="00987A59" w:rsidRDefault="00987A59" w:rsidP="00987A59">
      <w:pPr>
        <w:pStyle w:val="Caption"/>
      </w:pPr>
      <w:r>
        <w:lastRenderedPageBreak/>
        <w:t>Table 1. Continued.</w:t>
      </w:r>
    </w:p>
    <w:tbl>
      <w:tblPr>
        <w:tblW w:w="13000" w:type="dxa"/>
        <w:tblLook w:val="04A0" w:firstRow="1" w:lastRow="0" w:firstColumn="1" w:lastColumn="0" w:noHBand="0" w:noVBand="1"/>
      </w:tblPr>
      <w:tblGrid>
        <w:gridCol w:w="3600"/>
        <w:gridCol w:w="1995"/>
        <w:gridCol w:w="1317"/>
        <w:gridCol w:w="1522"/>
        <w:gridCol w:w="1522"/>
        <w:gridCol w:w="1522"/>
        <w:gridCol w:w="1522"/>
      </w:tblGrid>
      <w:tr w:rsidR="00987A59" w:rsidRPr="004E1074" w14:paraId="575A95A1" w14:textId="77777777" w:rsidTr="490425B0">
        <w:trPr>
          <w:tblHeader/>
        </w:trPr>
        <w:tc>
          <w:tcPr>
            <w:tcW w:w="3600" w:type="dxa"/>
            <w:vMerge w:val="restart"/>
            <w:tcBorders>
              <w:top w:val="single" w:sz="4" w:space="0" w:color="auto"/>
              <w:left w:val="single" w:sz="4" w:space="0" w:color="auto"/>
              <w:right w:val="single" w:sz="4" w:space="0" w:color="auto"/>
            </w:tcBorders>
            <w:shd w:val="clear" w:color="auto" w:fill="auto"/>
            <w:noWrap/>
            <w:vAlign w:val="center"/>
            <w:hideMark/>
          </w:tcPr>
          <w:p w14:paraId="7A3B5C60" w14:textId="77777777" w:rsidR="00987A59" w:rsidRPr="002C2ECB" w:rsidRDefault="00987A59" w:rsidP="00987A59">
            <w:pPr>
              <w:rPr>
                <w:rFonts w:eastAsia="Times New Roman" w:cs="Arial"/>
                <w:b/>
                <w:bCs/>
                <w:color w:val="000000"/>
              </w:rPr>
            </w:pPr>
            <w:r w:rsidRPr="004E1074">
              <w:rPr>
                <w:rFonts w:eastAsia="Times New Roman" w:cs="Arial"/>
                <w:b/>
                <w:bCs/>
                <w:color w:val="000000"/>
              </w:rPr>
              <w:t>Species or Species Group</w:t>
            </w:r>
          </w:p>
        </w:tc>
        <w:tc>
          <w:tcPr>
            <w:tcW w:w="33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6909F" w14:textId="77777777" w:rsidR="00987A59" w:rsidRPr="002C2ECB" w:rsidRDefault="00987A59" w:rsidP="00987A59">
            <w:pPr>
              <w:jc w:val="center"/>
              <w:rPr>
                <w:rFonts w:eastAsia="Times New Roman" w:cs="Arial"/>
                <w:b/>
                <w:color w:val="000000"/>
              </w:rPr>
            </w:pPr>
            <w:r w:rsidRPr="004E1074">
              <w:rPr>
                <w:rFonts w:eastAsia="Times New Roman" w:cs="Arial"/>
                <w:b/>
                <w:bCs/>
                <w:color w:val="000000"/>
              </w:rPr>
              <w:t>Trawl Sector</w:t>
            </w:r>
            <w:r w:rsidRPr="002C2ECB">
              <w:rPr>
                <w:rFonts w:eastAsia="Times New Roman" w:cs="Arial"/>
                <w:b/>
                <w:bCs/>
                <w:color w:val="000000"/>
              </w:rPr>
              <w:t xml:space="preserve"> </w:t>
            </w:r>
            <w:r w:rsidRPr="004E1074">
              <w:rPr>
                <w:rFonts w:eastAsia="Times New Roman" w:cs="Arial"/>
                <w:b/>
                <w:bCs/>
                <w:color w:val="000000"/>
              </w:rPr>
              <w:t>(t)</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766F4" w14:textId="77777777" w:rsidR="00987A59" w:rsidRPr="002C2ECB" w:rsidRDefault="00987A59" w:rsidP="00987A59">
            <w:pPr>
              <w:jc w:val="center"/>
              <w:rPr>
                <w:rFonts w:eastAsia="Times New Roman" w:cs="Arial"/>
                <w:b/>
                <w:color w:val="000000"/>
              </w:rPr>
            </w:pPr>
            <w:r w:rsidRPr="004E1074">
              <w:rPr>
                <w:rFonts w:eastAsia="Times New Roman" w:cs="Arial"/>
                <w:b/>
                <w:bCs/>
                <w:color w:val="000000"/>
              </w:rPr>
              <w:t>Combined Line Sectors (t)</w:t>
            </w:r>
          </w:p>
        </w:tc>
        <w:tc>
          <w:tcPr>
            <w:tcW w:w="30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2E936" w14:textId="77777777" w:rsidR="00987A59" w:rsidRPr="004E1074" w:rsidRDefault="00987A59" w:rsidP="00987A59">
            <w:pPr>
              <w:jc w:val="center"/>
              <w:rPr>
                <w:rFonts w:eastAsia="Times New Roman" w:cs="Arial"/>
                <w:b/>
                <w:color w:val="000000"/>
              </w:rPr>
            </w:pPr>
            <w:r w:rsidRPr="004E1074">
              <w:rPr>
                <w:rFonts w:eastAsia="Times New Roman" w:cs="Arial"/>
                <w:b/>
                <w:color w:val="000000"/>
              </w:rPr>
              <w:t>Total (t)</w:t>
            </w:r>
          </w:p>
        </w:tc>
      </w:tr>
      <w:tr w:rsidR="00987A59" w:rsidRPr="004E1074" w14:paraId="59E4A56E" w14:textId="77777777" w:rsidTr="490425B0">
        <w:trPr>
          <w:tblHeader/>
        </w:trPr>
        <w:tc>
          <w:tcPr>
            <w:tcW w:w="3600" w:type="dxa"/>
            <w:vMerge/>
            <w:noWrap/>
            <w:vAlign w:val="center"/>
            <w:hideMark/>
          </w:tcPr>
          <w:p w14:paraId="74CD1D1F" w14:textId="77777777" w:rsidR="00987A59" w:rsidRPr="002C2ECB" w:rsidRDefault="00987A59" w:rsidP="00987A59">
            <w:pPr>
              <w:rPr>
                <w:rFonts w:eastAsia="Times New Roman" w:cs="Arial"/>
                <w:b/>
                <w:bCs/>
                <w:color w:val="000000"/>
              </w:rPr>
            </w:pPr>
          </w:p>
        </w:tc>
        <w:tc>
          <w:tcPr>
            <w:tcW w:w="1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5D094" w14:textId="77777777" w:rsidR="00987A59" w:rsidRPr="002C2ECB" w:rsidRDefault="00987A59" w:rsidP="00987A59">
            <w:pPr>
              <w:jc w:val="center"/>
              <w:rPr>
                <w:rFonts w:eastAsia="Times New Roman" w:cs="Arial"/>
                <w:b/>
                <w:bCs/>
                <w:color w:val="000000"/>
              </w:rPr>
            </w:pPr>
            <w:r w:rsidRPr="002C2ECB">
              <w:rPr>
                <w:rFonts w:eastAsia="Times New Roman" w:cs="Arial"/>
                <w:b/>
                <w:bCs/>
                <w:color w:val="000000"/>
              </w:rPr>
              <w:t>TAC</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23522" w14:textId="77777777" w:rsidR="00987A59" w:rsidRPr="002C2ECB" w:rsidRDefault="00987A59" w:rsidP="00987A59">
            <w:pPr>
              <w:jc w:val="center"/>
              <w:rPr>
                <w:rFonts w:eastAsia="Times New Roman" w:cs="Arial"/>
                <w:b/>
                <w:bCs/>
                <w:color w:val="000000"/>
              </w:rPr>
            </w:pPr>
            <w:r w:rsidRPr="002C2ECB">
              <w:rPr>
                <w:rFonts w:eastAsia="Times New Roman" w:cs="Arial"/>
                <w:b/>
                <w:bCs/>
                <w:color w:val="000000"/>
              </w:rPr>
              <w:t>Landings</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7140" w14:textId="77777777" w:rsidR="00987A59" w:rsidRPr="002C2ECB" w:rsidRDefault="00987A59" w:rsidP="00987A59">
            <w:pPr>
              <w:jc w:val="center"/>
              <w:rPr>
                <w:rFonts w:eastAsia="Times New Roman" w:cs="Arial"/>
                <w:b/>
                <w:bCs/>
                <w:color w:val="000000"/>
              </w:rPr>
            </w:pPr>
            <w:r w:rsidRPr="002C2ECB">
              <w:rPr>
                <w:rFonts w:eastAsia="Times New Roman" w:cs="Arial"/>
                <w:b/>
                <w:bCs/>
                <w:color w:val="000000"/>
              </w:rPr>
              <w:t>TAC</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774E6" w14:textId="77777777" w:rsidR="00987A59" w:rsidRPr="002C2ECB" w:rsidRDefault="00987A59" w:rsidP="00987A59">
            <w:pPr>
              <w:jc w:val="center"/>
              <w:rPr>
                <w:rFonts w:eastAsia="Times New Roman" w:cs="Arial"/>
                <w:b/>
                <w:bCs/>
                <w:color w:val="000000"/>
              </w:rPr>
            </w:pPr>
            <w:r w:rsidRPr="002C2ECB">
              <w:rPr>
                <w:rFonts w:eastAsia="Times New Roman" w:cs="Arial"/>
                <w:b/>
                <w:bCs/>
                <w:color w:val="000000"/>
              </w:rPr>
              <w:t>Landings</w:t>
            </w:r>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14:paraId="7F078AD8" w14:textId="77777777" w:rsidR="00987A59" w:rsidRPr="002C2ECB" w:rsidRDefault="00987A59" w:rsidP="00987A59">
            <w:pPr>
              <w:jc w:val="center"/>
              <w:rPr>
                <w:rFonts w:eastAsia="Times New Roman" w:cs="Arial"/>
                <w:b/>
                <w:bCs/>
                <w:color w:val="000000"/>
              </w:rPr>
            </w:pPr>
            <w:r w:rsidRPr="002C2ECB">
              <w:rPr>
                <w:rFonts w:eastAsia="Times New Roman" w:cs="Arial"/>
                <w:b/>
                <w:bCs/>
                <w:color w:val="000000"/>
              </w:rPr>
              <w:t>TAC</w:t>
            </w:r>
          </w:p>
        </w:tc>
        <w:tc>
          <w:tcPr>
            <w:tcW w:w="1522" w:type="dxa"/>
            <w:tcBorders>
              <w:top w:val="single" w:sz="4" w:space="0" w:color="auto"/>
              <w:left w:val="nil"/>
              <w:bottom w:val="single" w:sz="4" w:space="0" w:color="auto"/>
              <w:right w:val="single" w:sz="4" w:space="0" w:color="auto"/>
            </w:tcBorders>
            <w:vAlign w:val="center"/>
          </w:tcPr>
          <w:p w14:paraId="6575C756" w14:textId="77777777" w:rsidR="00987A59" w:rsidRPr="004E1074" w:rsidRDefault="00987A59" w:rsidP="00987A59">
            <w:pPr>
              <w:jc w:val="center"/>
              <w:rPr>
                <w:rFonts w:eastAsia="Times New Roman" w:cs="Arial"/>
                <w:b/>
                <w:bCs/>
                <w:color w:val="000000"/>
              </w:rPr>
            </w:pPr>
            <w:r w:rsidRPr="002C2ECB">
              <w:rPr>
                <w:rFonts w:eastAsia="Times New Roman" w:cs="Arial"/>
                <w:b/>
                <w:bCs/>
                <w:color w:val="000000"/>
              </w:rPr>
              <w:t>Landings</w:t>
            </w:r>
          </w:p>
        </w:tc>
      </w:tr>
      <w:tr w:rsidR="006D221A" w:rsidRPr="00E54742" w14:paraId="57AC509D"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E4E3F" w14:textId="77777777" w:rsidR="006D221A" w:rsidRPr="00233598" w:rsidRDefault="006D221A" w:rsidP="002A17D1">
            <w:pPr>
              <w:rPr>
                <w:rFonts w:eastAsia="Times New Roman" w:cs="Arial"/>
                <w:i/>
              </w:rPr>
            </w:pPr>
            <w:proofErr w:type="spellStart"/>
            <w:r w:rsidRPr="00233598">
              <w:rPr>
                <w:rFonts w:eastAsia="Times New Roman" w:cs="Arial"/>
                <w:i/>
              </w:rPr>
              <w:t>Thornyheads</w:t>
            </w:r>
            <w:proofErr w:type="spellEnd"/>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BEDD8" w14:textId="77777777" w:rsidR="006D221A" w:rsidRPr="00233598" w:rsidRDefault="006D221A" w:rsidP="00E54742">
            <w:pPr>
              <w:jc w:val="center"/>
              <w:rPr>
                <w:rFonts w:eastAsia="Times New Roman" w:cs="Arial"/>
                <w:i/>
                <w:iCs/>
              </w:rPr>
            </w:pP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15484" w14:textId="77777777" w:rsidR="006D221A" w:rsidRPr="00233598" w:rsidRDefault="006D221A" w:rsidP="00E54742">
            <w:pPr>
              <w:jc w:val="center"/>
              <w:rPr>
                <w:rFonts w:eastAsia="Times New Roman" w:cs="Arial"/>
                <w:i/>
                <w:iCs/>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4F49" w14:textId="77777777" w:rsidR="006D221A" w:rsidRPr="00233598" w:rsidRDefault="006D221A" w:rsidP="00E54742">
            <w:pPr>
              <w:jc w:val="center"/>
              <w:rPr>
                <w:rFonts w:eastAsia="Times New Roman" w:cs="Arial"/>
                <w:i/>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46F5D" w14:textId="77777777" w:rsidR="006D221A" w:rsidRPr="00233598" w:rsidRDefault="006D221A" w:rsidP="00E54742">
            <w:pPr>
              <w:jc w:val="center"/>
              <w:rPr>
                <w:rFonts w:eastAsia="Times New Roman" w:cs="Arial"/>
                <w:i/>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15AF" w14:textId="77777777" w:rsidR="006D221A" w:rsidRPr="00233598" w:rsidRDefault="006D221A" w:rsidP="00E54742">
            <w:pPr>
              <w:jc w:val="center"/>
              <w:rPr>
                <w:rFonts w:eastAsia="Times New Roman" w:cs="Arial"/>
                <w:i/>
              </w:rPr>
            </w:pPr>
          </w:p>
        </w:tc>
        <w:tc>
          <w:tcPr>
            <w:tcW w:w="1522" w:type="dxa"/>
            <w:tcBorders>
              <w:top w:val="single" w:sz="4" w:space="0" w:color="auto"/>
              <w:left w:val="single" w:sz="4" w:space="0" w:color="auto"/>
              <w:bottom w:val="single" w:sz="4" w:space="0" w:color="auto"/>
              <w:right w:val="single" w:sz="4" w:space="0" w:color="auto"/>
            </w:tcBorders>
            <w:vAlign w:val="center"/>
          </w:tcPr>
          <w:p w14:paraId="1B15DD1D" w14:textId="77777777" w:rsidR="006D221A" w:rsidRPr="00233598" w:rsidRDefault="006D221A" w:rsidP="00E54742">
            <w:pPr>
              <w:jc w:val="center"/>
              <w:rPr>
                <w:rFonts w:eastAsia="Times New Roman" w:cs="Arial"/>
                <w:i/>
              </w:rPr>
            </w:pPr>
          </w:p>
        </w:tc>
      </w:tr>
      <w:tr w:rsidR="00F6538B" w:rsidRPr="004E1074" w14:paraId="68477CD8"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2C077" w14:textId="77777777" w:rsidR="00F6538B" w:rsidRPr="00233598" w:rsidRDefault="00F6538B" w:rsidP="00F6538B">
            <w:pPr>
              <w:ind w:left="432"/>
              <w:rPr>
                <w:rFonts w:eastAsia="Times New Roman" w:cs="Arial"/>
              </w:rPr>
            </w:pPr>
            <w:r w:rsidRPr="00233598">
              <w:rPr>
                <w:rFonts w:eastAsia="Times New Roman" w:cs="Arial"/>
              </w:rPr>
              <w:t>Shortspine Thornyhead</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C6277" w14:textId="444FA7C8" w:rsidR="478F00B7" w:rsidRDefault="7134F639" w:rsidP="490425B0">
            <w:pPr>
              <w:spacing w:line="257" w:lineRule="auto"/>
              <w:jc w:val="center"/>
              <w:rPr>
                <w:rFonts w:eastAsia="Arial" w:cs="Arial"/>
              </w:rPr>
            </w:pPr>
            <w:r w:rsidRPr="490425B0">
              <w:rPr>
                <w:rFonts w:eastAsia="Arial" w:cs="Arial"/>
              </w:rPr>
              <w:t>736</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95A27" w14:textId="04AB76A3" w:rsidR="490425B0" w:rsidRDefault="490425B0" w:rsidP="490425B0">
            <w:pPr>
              <w:spacing w:line="257" w:lineRule="auto"/>
              <w:jc w:val="center"/>
              <w:rPr>
                <w:rFonts w:eastAsia="Arial" w:cs="Arial"/>
              </w:rPr>
            </w:pPr>
            <w:r w:rsidRPr="490425B0">
              <w:rPr>
                <w:rFonts w:eastAsia="Arial" w:cs="Arial"/>
              </w:rPr>
              <w:t>173</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0C21C" w14:textId="1634CF2F" w:rsidR="478F00B7" w:rsidRDefault="7134F639" w:rsidP="490425B0">
            <w:pPr>
              <w:spacing w:line="257" w:lineRule="auto"/>
              <w:jc w:val="center"/>
              <w:rPr>
                <w:rFonts w:eastAsia="Arial" w:cs="Arial"/>
              </w:rPr>
            </w:pPr>
            <w:r w:rsidRPr="490425B0">
              <w:rPr>
                <w:rFonts w:eastAsia="Arial" w:cs="Arial"/>
              </w:rPr>
              <w:t>34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B929D" w14:textId="527BA5E7" w:rsidR="490425B0" w:rsidRDefault="490425B0" w:rsidP="490425B0">
            <w:pPr>
              <w:spacing w:line="257" w:lineRule="auto"/>
              <w:jc w:val="center"/>
              <w:rPr>
                <w:rFonts w:eastAsia="Arial" w:cs="Arial"/>
              </w:rPr>
            </w:pPr>
            <w:r w:rsidRPr="490425B0">
              <w:rPr>
                <w:rFonts w:eastAsia="Arial" w:cs="Arial"/>
              </w:rPr>
              <w:t>149</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C08F5" w14:textId="66E83C32" w:rsidR="478F00B7" w:rsidRDefault="7134F639" w:rsidP="490425B0">
            <w:pPr>
              <w:spacing w:line="257" w:lineRule="auto"/>
              <w:jc w:val="center"/>
              <w:rPr>
                <w:rFonts w:eastAsia="Arial" w:cs="Arial"/>
              </w:rPr>
            </w:pPr>
            <w:r w:rsidRPr="490425B0">
              <w:rPr>
                <w:rFonts w:eastAsia="Arial" w:cs="Arial"/>
              </w:rPr>
              <w:t>770</w:t>
            </w:r>
          </w:p>
        </w:tc>
        <w:tc>
          <w:tcPr>
            <w:tcW w:w="1522" w:type="dxa"/>
            <w:tcBorders>
              <w:top w:val="single" w:sz="4" w:space="0" w:color="auto"/>
              <w:left w:val="single" w:sz="4" w:space="0" w:color="auto"/>
              <w:bottom w:val="single" w:sz="4" w:space="0" w:color="auto"/>
              <w:right w:val="single" w:sz="4" w:space="0" w:color="auto"/>
            </w:tcBorders>
            <w:vAlign w:val="center"/>
          </w:tcPr>
          <w:p w14:paraId="2DA231C3" w14:textId="37D14765" w:rsidR="490425B0" w:rsidRDefault="490425B0" w:rsidP="490425B0">
            <w:pPr>
              <w:spacing w:line="257" w:lineRule="auto"/>
              <w:jc w:val="center"/>
              <w:rPr>
                <w:rFonts w:eastAsia="Arial" w:cs="Arial"/>
              </w:rPr>
            </w:pPr>
            <w:r w:rsidRPr="490425B0">
              <w:rPr>
                <w:rFonts w:eastAsia="Arial" w:cs="Arial"/>
              </w:rPr>
              <w:t>149</w:t>
            </w:r>
          </w:p>
        </w:tc>
      </w:tr>
      <w:tr w:rsidR="00F6538B" w:rsidRPr="004E1074" w14:paraId="589FC37D"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02C72" w14:textId="77777777" w:rsidR="00F6538B" w:rsidRPr="00233598" w:rsidRDefault="00F6538B" w:rsidP="00F6538B">
            <w:pPr>
              <w:ind w:left="432"/>
              <w:rPr>
                <w:rFonts w:eastAsia="Times New Roman" w:cs="Arial"/>
              </w:rPr>
            </w:pPr>
            <w:r w:rsidRPr="00233598">
              <w:rPr>
                <w:rFonts w:eastAsia="Times New Roman" w:cs="Arial"/>
              </w:rPr>
              <w:t>Longspine Thornyhead</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0C8A0" w14:textId="290AD215" w:rsidR="478F00B7" w:rsidRDefault="7134F639" w:rsidP="490425B0">
            <w:pPr>
              <w:spacing w:line="257" w:lineRule="auto"/>
              <w:jc w:val="center"/>
              <w:rPr>
                <w:rFonts w:eastAsia="Arial" w:cs="Arial"/>
              </w:rPr>
            </w:pPr>
            <w:r w:rsidRPr="490425B0">
              <w:rPr>
                <w:rFonts w:eastAsia="Arial" w:cs="Arial"/>
              </w:rPr>
              <w:t>405</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FD89F" w14:textId="0F9B142F" w:rsidR="490425B0" w:rsidRDefault="490425B0" w:rsidP="490425B0">
            <w:pPr>
              <w:spacing w:line="257" w:lineRule="auto"/>
              <w:jc w:val="center"/>
              <w:rPr>
                <w:rFonts w:eastAsia="Arial" w:cs="Arial"/>
              </w:rPr>
            </w:pPr>
            <w:r w:rsidRPr="490425B0">
              <w:rPr>
                <w:rFonts w:eastAsia="Arial" w:cs="Arial"/>
              </w:rPr>
              <w:t>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743D5" w14:textId="55D67AFC" w:rsidR="478F00B7" w:rsidRDefault="7134F639" w:rsidP="490425B0">
            <w:pPr>
              <w:spacing w:line="257" w:lineRule="auto"/>
              <w:jc w:val="center"/>
              <w:rPr>
                <w:rFonts w:eastAsia="Arial" w:cs="Arial"/>
              </w:rPr>
            </w:pPr>
            <w:r w:rsidRPr="490425B0">
              <w:rPr>
                <w:rFonts w:eastAsia="Arial" w:cs="Arial"/>
              </w:rPr>
              <w:t>20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CD040" w14:textId="4A613162"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42C0B" w14:textId="217B6E7B" w:rsidR="478F00B7" w:rsidRDefault="7134F639" w:rsidP="490425B0">
            <w:pPr>
              <w:spacing w:line="257" w:lineRule="auto"/>
              <w:jc w:val="center"/>
              <w:rPr>
                <w:rFonts w:eastAsia="Arial" w:cs="Arial"/>
              </w:rPr>
            </w:pPr>
            <w:r w:rsidRPr="490425B0">
              <w:rPr>
                <w:rFonts w:eastAsia="Arial" w:cs="Arial"/>
              </w:rPr>
              <w:t>425</w:t>
            </w:r>
          </w:p>
        </w:tc>
        <w:tc>
          <w:tcPr>
            <w:tcW w:w="1522" w:type="dxa"/>
            <w:tcBorders>
              <w:top w:val="single" w:sz="4" w:space="0" w:color="auto"/>
              <w:left w:val="single" w:sz="4" w:space="0" w:color="auto"/>
              <w:bottom w:val="single" w:sz="4" w:space="0" w:color="auto"/>
              <w:right w:val="single" w:sz="4" w:space="0" w:color="auto"/>
            </w:tcBorders>
            <w:vAlign w:val="center"/>
          </w:tcPr>
          <w:p w14:paraId="3B058599" w14:textId="71CE1A71" w:rsidR="490425B0" w:rsidRDefault="490425B0" w:rsidP="490425B0">
            <w:pPr>
              <w:spacing w:line="257" w:lineRule="auto"/>
              <w:jc w:val="center"/>
              <w:rPr>
                <w:rFonts w:eastAsia="Arial" w:cs="Arial"/>
              </w:rPr>
            </w:pPr>
            <w:r w:rsidRPr="490425B0">
              <w:rPr>
                <w:rFonts w:eastAsia="Arial" w:cs="Arial"/>
              </w:rPr>
              <w:t>0</w:t>
            </w:r>
          </w:p>
        </w:tc>
      </w:tr>
      <w:tr w:rsidR="00F6538B" w:rsidRPr="004E1074" w14:paraId="1B16C2D3"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9D43" w14:textId="77777777" w:rsidR="00F6538B" w:rsidRPr="00233598" w:rsidRDefault="00F6538B" w:rsidP="00F6538B">
            <w:pPr>
              <w:rPr>
                <w:rFonts w:eastAsia="Times New Roman" w:cs="Arial"/>
              </w:rPr>
            </w:pPr>
            <w:r w:rsidRPr="00233598">
              <w:rPr>
                <w:rFonts w:eastAsia="Times New Roman" w:cs="Arial"/>
              </w:rPr>
              <w:t>Sablefish</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DEA35" w14:textId="1AF130CE" w:rsidR="478F00B7" w:rsidRDefault="7134F639" w:rsidP="490425B0">
            <w:pPr>
              <w:spacing w:line="257" w:lineRule="auto"/>
              <w:jc w:val="center"/>
              <w:rPr>
                <w:rFonts w:eastAsia="Arial" w:cs="Arial"/>
              </w:rPr>
            </w:pPr>
            <w:r w:rsidRPr="490425B0">
              <w:rPr>
                <w:rFonts w:eastAsia="Arial" w:cs="Arial"/>
              </w:rPr>
              <w:t>215</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67C19" w14:textId="0A057DA1" w:rsidR="490425B0" w:rsidRDefault="490425B0" w:rsidP="490425B0">
            <w:pPr>
              <w:spacing w:line="257" w:lineRule="auto"/>
              <w:jc w:val="center"/>
              <w:rPr>
                <w:rFonts w:eastAsia="Arial" w:cs="Arial"/>
              </w:rPr>
            </w:pPr>
            <w:r w:rsidRPr="490425B0">
              <w:rPr>
                <w:rFonts w:eastAsia="Arial" w:cs="Arial"/>
              </w:rPr>
              <w:t>224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95CE8" w14:textId="7AF795E8" w:rsidR="478F00B7" w:rsidRDefault="7134F639" w:rsidP="490425B0">
            <w:pPr>
              <w:spacing w:line="257" w:lineRule="auto"/>
              <w:jc w:val="center"/>
              <w:rPr>
                <w:rFonts w:eastAsia="Arial" w:cs="Arial"/>
              </w:rPr>
            </w:pPr>
            <w:r w:rsidRPr="490425B0">
              <w:rPr>
                <w:rFonts w:eastAsia="Arial" w:cs="Arial"/>
              </w:rPr>
              <w:t>2,246</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90E14" w14:textId="687F8F2F" w:rsidR="490425B0" w:rsidRDefault="490425B0" w:rsidP="490425B0">
            <w:pPr>
              <w:spacing w:line="257" w:lineRule="auto"/>
              <w:jc w:val="center"/>
              <w:rPr>
                <w:rFonts w:eastAsia="Arial" w:cs="Arial"/>
              </w:rPr>
            </w:pPr>
            <w:r w:rsidRPr="490425B0">
              <w:rPr>
                <w:rFonts w:eastAsia="Arial" w:cs="Arial"/>
              </w:rPr>
              <w:t>3,759</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27775" w14:textId="2D590831" w:rsidR="478F00B7" w:rsidRDefault="7134F639" w:rsidP="490425B0">
            <w:pPr>
              <w:spacing w:line="257" w:lineRule="auto"/>
              <w:jc w:val="center"/>
              <w:rPr>
                <w:rFonts w:eastAsia="Arial" w:cs="Arial"/>
              </w:rPr>
            </w:pPr>
            <w:r w:rsidRPr="490425B0">
              <w:rPr>
                <w:rFonts w:eastAsia="Arial" w:cs="Arial"/>
              </w:rPr>
              <w:t>2,461</w:t>
            </w:r>
          </w:p>
        </w:tc>
        <w:tc>
          <w:tcPr>
            <w:tcW w:w="1522" w:type="dxa"/>
            <w:tcBorders>
              <w:top w:val="single" w:sz="4" w:space="0" w:color="auto"/>
              <w:left w:val="single" w:sz="4" w:space="0" w:color="auto"/>
              <w:bottom w:val="single" w:sz="4" w:space="0" w:color="auto"/>
              <w:right w:val="single" w:sz="4" w:space="0" w:color="auto"/>
            </w:tcBorders>
            <w:vAlign w:val="center"/>
          </w:tcPr>
          <w:p w14:paraId="0ABDF13A" w14:textId="03C91F6D" w:rsidR="490425B0" w:rsidRDefault="490425B0" w:rsidP="490425B0">
            <w:pPr>
              <w:spacing w:line="257" w:lineRule="auto"/>
              <w:jc w:val="center"/>
              <w:rPr>
                <w:rFonts w:eastAsia="Arial" w:cs="Arial"/>
              </w:rPr>
            </w:pPr>
            <w:r w:rsidRPr="490425B0">
              <w:rPr>
                <w:rFonts w:eastAsia="Arial" w:cs="Arial"/>
              </w:rPr>
              <w:t>3,759</w:t>
            </w:r>
          </w:p>
        </w:tc>
      </w:tr>
      <w:tr w:rsidR="00F6538B" w:rsidRPr="004E1074" w14:paraId="20FBD4BB"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1C74C" w14:textId="77777777" w:rsidR="00F6538B" w:rsidRPr="00233598" w:rsidRDefault="00F6538B" w:rsidP="00F6538B">
            <w:pPr>
              <w:rPr>
                <w:rFonts w:eastAsia="Times New Roman" w:cs="Arial"/>
              </w:rPr>
            </w:pPr>
            <w:r w:rsidRPr="00233598">
              <w:rPr>
                <w:rFonts w:eastAsia="Times New Roman" w:cs="Arial"/>
              </w:rPr>
              <w:t>Lingcod</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51764" w14:textId="7410466C" w:rsidR="478F00B7" w:rsidRDefault="7134F639" w:rsidP="490425B0">
            <w:pPr>
              <w:spacing w:line="257" w:lineRule="auto"/>
              <w:jc w:val="center"/>
              <w:rPr>
                <w:rFonts w:eastAsia="Arial" w:cs="Arial"/>
              </w:rPr>
            </w:pPr>
            <w:r w:rsidRPr="490425B0">
              <w:rPr>
                <w:rFonts w:eastAsia="Arial" w:cs="Arial"/>
              </w:rPr>
              <w:t>2572</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9B41" w14:textId="723B7907" w:rsidR="490425B0" w:rsidRDefault="490425B0" w:rsidP="490425B0">
            <w:pPr>
              <w:spacing w:line="257" w:lineRule="auto"/>
              <w:jc w:val="center"/>
              <w:rPr>
                <w:rFonts w:eastAsia="Arial" w:cs="Arial"/>
              </w:rPr>
            </w:pPr>
            <w:r w:rsidRPr="490425B0">
              <w:rPr>
                <w:rFonts w:eastAsia="Arial" w:cs="Arial"/>
              </w:rPr>
              <w:t>767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66ACC" w14:textId="1AFAD70B" w:rsidR="478F00B7" w:rsidRDefault="7134F639" w:rsidP="490425B0">
            <w:pPr>
              <w:spacing w:line="257" w:lineRule="auto"/>
              <w:jc w:val="center"/>
              <w:rPr>
                <w:rFonts w:eastAsia="Arial" w:cs="Arial"/>
              </w:rPr>
            </w:pPr>
            <w:r w:rsidRPr="490425B0">
              <w:rPr>
                <w:rFonts w:eastAsia="Arial" w:cs="Arial"/>
              </w:rPr>
              <w:t>1168</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9FA4D" w14:textId="00CEF85E" w:rsidR="490425B0" w:rsidRDefault="490425B0" w:rsidP="490425B0">
            <w:pPr>
              <w:spacing w:line="257" w:lineRule="auto"/>
              <w:jc w:val="center"/>
              <w:rPr>
                <w:rFonts w:eastAsia="Arial" w:cs="Arial"/>
              </w:rPr>
            </w:pPr>
            <w:r w:rsidRPr="490425B0">
              <w:rPr>
                <w:rFonts w:eastAsia="Arial" w:cs="Arial"/>
              </w:rPr>
              <w:t>966</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FFAD0" w14:textId="43C06287" w:rsidR="478F00B7" w:rsidRDefault="7134F639" w:rsidP="490425B0">
            <w:pPr>
              <w:spacing w:line="257" w:lineRule="auto"/>
              <w:jc w:val="center"/>
              <w:rPr>
                <w:rFonts w:eastAsia="Arial" w:cs="Arial"/>
              </w:rPr>
            </w:pPr>
            <w:r w:rsidRPr="490425B0">
              <w:rPr>
                <w:rFonts w:eastAsia="Arial" w:cs="Arial"/>
              </w:rPr>
              <w:t>3,740</w:t>
            </w:r>
          </w:p>
        </w:tc>
        <w:tc>
          <w:tcPr>
            <w:tcW w:w="1522" w:type="dxa"/>
            <w:tcBorders>
              <w:top w:val="single" w:sz="4" w:space="0" w:color="auto"/>
              <w:left w:val="single" w:sz="4" w:space="0" w:color="auto"/>
              <w:bottom w:val="single" w:sz="4" w:space="0" w:color="auto"/>
              <w:right w:val="single" w:sz="4" w:space="0" w:color="auto"/>
            </w:tcBorders>
            <w:vAlign w:val="center"/>
          </w:tcPr>
          <w:p w14:paraId="3F763002" w14:textId="0930A424" w:rsidR="490425B0" w:rsidRDefault="490425B0" w:rsidP="490425B0">
            <w:pPr>
              <w:spacing w:line="257" w:lineRule="auto"/>
              <w:jc w:val="center"/>
              <w:rPr>
                <w:rFonts w:eastAsia="Arial" w:cs="Arial"/>
              </w:rPr>
            </w:pPr>
            <w:r w:rsidRPr="490425B0">
              <w:rPr>
                <w:rFonts w:eastAsia="Arial" w:cs="Arial"/>
              </w:rPr>
              <w:t>966</w:t>
            </w:r>
          </w:p>
        </w:tc>
      </w:tr>
      <w:tr w:rsidR="00F6538B" w:rsidRPr="004E1074" w14:paraId="687844A9"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734C9" w14:textId="77777777" w:rsidR="00F6538B" w:rsidRPr="00233598" w:rsidRDefault="00F6538B" w:rsidP="00F6538B">
            <w:pPr>
              <w:rPr>
                <w:rFonts w:eastAsia="Times New Roman" w:cs="Arial"/>
                <w:i/>
              </w:rPr>
            </w:pPr>
            <w:r w:rsidRPr="00233598">
              <w:rPr>
                <w:rFonts w:eastAsia="Times New Roman" w:cs="Arial"/>
                <w:i/>
              </w:rPr>
              <w:t>Flatfishes</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5297" w14:textId="1A9D5928" w:rsidR="478F00B7" w:rsidRDefault="478F00B7"/>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0EB48" w14:textId="136BC9B2" w:rsidR="490425B0" w:rsidRDefault="490425B0" w:rsidP="490425B0">
            <w:pPr>
              <w:spacing w:line="257" w:lineRule="auto"/>
              <w:jc w:val="center"/>
              <w:rPr>
                <w:rFonts w:eastAsia="Arial" w:cs="Arial"/>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F7B4B" w14:textId="39BAA2E2" w:rsidR="478F00B7" w:rsidRDefault="478F00B7" w:rsidP="490425B0">
            <w:pPr>
              <w:spacing w:line="257" w:lineRule="auto"/>
              <w:jc w:val="center"/>
              <w:rPr>
                <w:rFonts w:eastAsia="Arial" w:cs="Arial"/>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88E90" w14:textId="6B54299E" w:rsidR="490425B0" w:rsidRDefault="490425B0" w:rsidP="490425B0">
            <w:pPr>
              <w:spacing w:line="257" w:lineRule="auto"/>
              <w:jc w:val="center"/>
              <w:rPr>
                <w:rFonts w:eastAsia="Arial" w:cs="Arial"/>
              </w:rPr>
            </w:pP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4D317" w14:textId="4E3DB314" w:rsidR="478F00B7" w:rsidRDefault="478F00B7" w:rsidP="490425B0">
            <w:pPr>
              <w:spacing w:line="257" w:lineRule="auto"/>
              <w:jc w:val="center"/>
              <w:rPr>
                <w:rFonts w:eastAsia="Arial" w:cs="Arial"/>
              </w:rPr>
            </w:pPr>
          </w:p>
        </w:tc>
        <w:tc>
          <w:tcPr>
            <w:tcW w:w="1522" w:type="dxa"/>
            <w:tcBorders>
              <w:top w:val="single" w:sz="4" w:space="0" w:color="auto"/>
              <w:left w:val="single" w:sz="4" w:space="0" w:color="auto"/>
              <w:bottom w:val="single" w:sz="4" w:space="0" w:color="auto"/>
              <w:right w:val="single" w:sz="4" w:space="0" w:color="auto"/>
            </w:tcBorders>
            <w:vAlign w:val="center"/>
          </w:tcPr>
          <w:p w14:paraId="103C07E3" w14:textId="6D219546" w:rsidR="490425B0" w:rsidRDefault="490425B0" w:rsidP="490425B0">
            <w:pPr>
              <w:spacing w:line="257" w:lineRule="auto"/>
              <w:jc w:val="center"/>
              <w:rPr>
                <w:rFonts w:eastAsia="Arial" w:cs="Arial"/>
              </w:rPr>
            </w:pPr>
          </w:p>
        </w:tc>
      </w:tr>
      <w:tr w:rsidR="00F6538B" w:rsidRPr="004E1074" w14:paraId="4C07A656"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00468" w14:textId="77777777" w:rsidR="00F6538B" w:rsidRPr="00233598" w:rsidRDefault="00F6538B" w:rsidP="00F6538B">
            <w:pPr>
              <w:ind w:left="432"/>
              <w:rPr>
                <w:rFonts w:eastAsia="Times New Roman" w:cs="Arial"/>
              </w:rPr>
            </w:pPr>
            <w:r w:rsidRPr="00233598">
              <w:rPr>
                <w:rFonts w:eastAsia="Times New Roman" w:cs="Arial"/>
              </w:rPr>
              <w:t>Arrowtooth Flounder</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46A54" w14:textId="52076860" w:rsidR="478F00B7" w:rsidRDefault="7134F639" w:rsidP="490425B0">
            <w:pPr>
              <w:spacing w:line="257" w:lineRule="auto"/>
              <w:jc w:val="center"/>
              <w:rPr>
                <w:rFonts w:eastAsia="Arial" w:cs="Arial"/>
              </w:rPr>
            </w:pPr>
            <w:r w:rsidRPr="490425B0">
              <w:rPr>
                <w:rFonts w:eastAsia="Arial" w:cs="Arial"/>
              </w:rPr>
              <w:t xml:space="preserve">  5000</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7646" w14:textId="0F429E39" w:rsidR="490425B0" w:rsidRDefault="490425B0" w:rsidP="490425B0">
            <w:pPr>
              <w:spacing w:line="257" w:lineRule="auto"/>
              <w:jc w:val="center"/>
              <w:rPr>
                <w:rFonts w:eastAsia="Arial" w:cs="Arial"/>
              </w:rPr>
            </w:pPr>
            <w:r w:rsidRPr="490425B0">
              <w:rPr>
                <w:rFonts w:eastAsia="Arial" w:cs="Arial"/>
              </w:rPr>
              <w:t>4,098</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35C6A" w14:textId="214216AC" w:rsidR="478F00B7" w:rsidRDefault="7134F639"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CD002" w14:textId="017F0513"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05096" w14:textId="5D71E467" w:rsidR="478F00B7" w:rsidRDefault="7134F639" w:rsidP="490425B0">
            <w:pPr>
              <w:spacing w:line="257" w:lineRule="auto"/>
              <w:jc w:val="center"/>
              <w:rPr>
                <w:rFonts w:eastAsia="Arial" w:cs="Arial"/>
              </w:rPr>
            </w:pPr>
            <w:r w:rsidRPr="490425B0">
              <w:rPr>
                <w:rFonts w:eastAsia="Arial" w:cs="Arial"/>
              </w:rPr>
              <w:t>5,000</w:t>
            </w:r>
          </w:p>
        </w:tc>
        <w:tc>
          <w:tcPr>
            <w:tcW w:w="1522" w:type="dxa"/>
            <w:tcBorders>
              <w:top w:val="single" w:sz="4" w:space="0" w:color="auto"/>
              <w:left w:val="single" w:sz="4" w:space="0" w:color="auto"/>
              <w:bottom w:val="single" w:sz="4" w:space="0" w:color="auto"/>
              <w:right w:val="single" w:sz="4" w:space="0" w:color="auto"/>
            </w:tcBorders>
            <w:vAlign w:val="center"/>
          </w:tcPr>
          <w:p w14:paraId="136CDB87" w14:textId="6E177A4D" w:rsidR="490425B0" w:rsidRDefault="490425B0" w:rsidP="490425B0">
            <w:pPr>
              <w:spacing w:line="257" w:lineRule="auto"/>
              <w:jc w:val="center"/>
              <w:rPr>
                <w:rFonts w:eastAsia="Arial" w:cs="Arial"/>
              </w:rPr>
            </w:pPr>
            <w:r w:rsidRPr="490425B0">
              <w:rPr>
                <w:rFonts w:eastAsia="Arial" w:cs="Arial"/>
              </w:rPr>
              <w:t>0</w:t>
            </w:r>
          </w:p>
        </w:tc>
      </w:tr>
      <w:tr w:rsidR="00F6538B" w:rsidRPr="004E1074" w14:paraId="7CE6844B"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30314" w14:textId="77777777" w:rsidR="00F6538B" w:rsidRPr="00233598" w:rsidRDefault="00F6538B" w:rsidP="00F6538B">
            <w:pPr>
              <w:ind w:left="432"/>
              <w:rPr>
                <w:rFonts w:eastAsia="Times New Roman" w:cs="Arial"/>
              </w:rPr>
            </w:pPr>
            <w:r w:rsidRPr="00233598">
              <w:rPr>
                <w:rFonts w:eastAsia="Times New Roman" w:cs="Arial"/>
              </w:rPr>
              <w:t>Petrale Sole</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CDE09" w14:textId="0EA0A74C" w:rsidR="478F00B7" w:rsidRDefault="7134F639" w:rsidP="490425B0">
            <w:pPr>
              <w:spacing w:line="257" w:lineRule="auto"/>
              <w:jc w:val="center"/>
              <w:rPr>
                <w:rFonts w:eastAsia="Arial" w:cs="Arial"/>
              </w:rPr>
            </w:pPr>
            <w:r w:rsidRPr="490425B0">
              <w:rPr>
                <w:rFonts w:eastAsia="Arial" w:cs="Arial"/>
              </w:rPr>
              <w:t>900</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49B27" w14:textId="4BB3E004" w:rsidR="490425B0" w:rsidRDefault="490425B0" w:rsidP="490425B0">
            <w:pPr>
              <w:spacing w:line="257" w:lineRule="auto"/>
              <w:jc w:val="center"/>
              <w:rPr>
                <w:rFonts w:eastAsia="Arial" w:cs="Arial"/>
              </w:rPr>
            </w:pPr>
            <w:r w:rsidRPr="490425B0">
              <w:rPr>
                <w:rFonts w:eastAsia="Arial" w:cs="Arial"/>
              </w:rPr>
              <w:t>703</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A18BA" w14:textId="0C49510B" w:rsidR="478F00B7" w:rsidRDefault="7134F639"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C2C2" w14:textId="422C272F"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329AF" w14:textId="35A9EAD4" w:rsidR="478F00B7" w:rsidRDefault="7134F639" w:rsidP="490425B0">
            <w:pPr>
              <w:spacing w:line="257" w:lineRule="auto"/>
              <w:jc w:val="center"/>
              <w:rPr>
                <w:rFonts w:eastAsia="Arial" w:cs="Arial"/>
              </w:rPr>
            </w:pPr>
            <w:r w:rsidRPr="490425B0">
              <w:rPr>
                <w:rFonts w:eastAsia="Arial" w:cs="Arial"/>
              </w:rPr>
              <w:t>900</w:t>
            </w:r>
          </w:p>
        </w:tc>
        <w:tc>
          <w:tcPr>
            <w:tcW w:w="1522" w:type="dxa"/>
            <w:tcBorders>
              <w:top w:val="single" w:sz="4" w:space="0" w:color="auto"/>
              <w:left w:val="single" w:sz="4" w:space="0" w:color="auto"/>
              <w:bottom w:val="single" w:sz="4" w:space="0" w:color="auto"/>
              <w:right w:val="single" w:sz="4" w:space="0" w:color="auto"/>
            </w:tcBorders>
            <w:vAlign w:val="center"/>
          </w:tcPr>
          <w:p w14:paraId="0E1CE3EB" w14:textId="46AD6C72" w:rsidR="490425B0" w:rsidRDefault="490425B0" w:rsidP="490425B0">
            <w:pPr>
              <w:spacing w:line="257" w:lineRule="auto"/>
              <w:jc w:val="center"/>
              <w:rPr>
                <w:rFonts w:eastAsia="Arial" w:cs="Arial"/>
              </w:rPr>
            </w:pPr>
            <w:r w:rsidRPr="490425B0">
              <w:rPr>
                <w:rFonts w:eastAsia="Arial" w:cs="Arial"/>
              </w:rPr>
              <w:t>0</w:t>
            </w:r>
          </w:p>
        </w:tc>
      </w:tr>
      <w:tr w:rsidR="00F6538B" w:rsidRPr="004E1074" w14:paraId="7AAE2A54"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E2D41" w14:textId="77777777" w:rsidR="00F6538B" w:rsidRPr="00233598" w:rsidRDefault="00F6538B" w:rsidP="00F6538B">
            <w:pPr>
              <w:ind w:left="432"/>
              <w:rPr>
                <w:rFonts w:eastAsia="Times New Roman" w:cs="Arial"/>
              </w:rPr>
            </w:pPr>
            <w:r w:rsidRPr="00233598">
              <w:rPr>
                <w:rFonts w:eastAsia="Times New Roman" w:cs="Arial"/>
              </w:rPr>
              <w:t>Southern Rock Sole</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9A7B3" w14:textId="4109685C" w:rsidR="478F00B7" w:rsidRDefault="7134F639" w:rsidP="490425B0">
            <w:pPr>
              <w:spacing w:line="257" w:lineRule="auto"/>
              <w:jc w:val="center"/>
              <w:rPr>
                <w:rFonts w:eastAsia="Arial" w:cs="Arial"/>
              </w:rPr>
            </w:pPr>
            <w:r w:rsidRPr="490425B0">
              <w:rPr>
                <w:rFonts w:eastAsia="Arial" w:cs="Arial"/>
              </w:rPr>
              <w:t>1,552</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1947" w14:textId="569095DC" w:rsidR="490425B0" w:rsidRDefault="490425B0" w:rsidP="490425B0">
            <w:pPr>
              <w:spacing w:line="257" w:lineRule="auto"/>
              <w:jc w:val="center"/>
              <w:rPr>
                <w:rFonts w:eastAsia="Arial" w:cs="Arial"/>
              </w:rPr>
            </w:pPr>
            <w:r w:rsidRPr="490425B0">
              <w:rPr>
                <w:rFonts w:eastAsia="Arial" w:cs="Arial"/>
              </w:rPr>
              <w:t>231</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EB2E7" w14:textId="1D34D1B7" w:rsidR="478F00B7" w:rsidRDefault="7134F639"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8B10A" w14:textId="113A71D8"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F5C67" w14:textId="01874BC5" w:rsidR="478F00B7" w:rsidRDefault="7134F639" w:rsidP="490425B0">
            <w:pPr>
              <w:spacing w:line="257" w:lineRule="auto"/>
              <w:jc w:val="center"/>
              <w:rPr>
                <w:rFonts w:eastAsia="Arial" w:cs="Arial"/>
              </w:rPr>
            </w:pPr>
            <w:r w:rsidRPr="490425B0">
              <w:rPr>
                <w:rFonts w:eastAsia="Arial" w:cs="Arial"/>
              </w:rPr>
              <w:t>1,552</w:t>
            </w:r>
          </w:p>
        </w:tc>
        <w:tc>
          <w:tcPr>
            <w:tcW w:w="1522" w:type="dxa"/>
            <w:tcBorders>
              <w:top w:val="single" w:sz="4" w:space="0" w:color="auto"/>
              <w:left w:val="single" w:sz="4" w:space="0" w:color="auto"/>
              <w:bottom w:val="single" w:sz="4" w:space="0" w:color="auto"/>
              <w:right w:val="single" w:sz="4" w:space="0" w:color="auto"/>
            </w:tcBorders>
            <w:vAlign w:val="center"/>
          </w:tcPr>
          <w:p w14:paraId="6EF3EE0D" w14:textId="08F5EFA1" w:rsidR="490425B0" w:rsidRDefault="490425B0" w:rsidP="490425B0">
            <w:pPr>
              <w:spacing w:line="257" w:lineRule="auto"/>
              <w:jc w:val="center"/>
              <w:rPr>
                <w:rFonts w:eastAsia="Arial" w:cs="Arial"/>
              </w:rPr>
            </w:pPr>
            <w:r w:rsidRPr="490425B0">
              <w:rPr>
                <w:rFonts w:eastAsia="Arial" w:cs="Arial"/>
              </w:rPr>
              <w:t>0</w:t>
            </w:r>
          </w:p>
        </w:tc>
      </w:tr>
      <w:tr w:rsidR="00F6538B" w:rsidRPr="004E1074" w14:paraId="75CEEB68"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B2B31" w14:textId="77777777" w:rsidR="00F6538B" w:rsidRPr="00233598" w:rsidRDefault="00F6538B" w:rsidP="00F6538B">
            <w:pPr>
              <w:ind w:left="432"/>
              <w:rPr>
                <w:rFonts w:eastAsia="Times New Roman" w:cs="Arial"/>
              </w:rPr>
            </w:pPr>
            <w:r w:rsidRPr="00233598">
              <w:rPr>
                <w:rFonts w:eastAsia="Times New Roman" w:cs="Arial"/>
              </w:rPr>
              <w:t>Dover Sole</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8A782" w14:textId="03F6FBE3" w:rsidR="478F00B7" w:rsidRDefault="7134F639" w:rsidP="490425B0">
            <w:pPr>
              <w:spacing w:line="257" w:lineRule="auto"/>
              <w:jc w:val="center"/>
              <w:rPr>
                <w:rFonts w:eastAsia="Arial" w:cs="Arial"/>
              </w:rPr>
            </w:pPr>
            <w:r w:rsidRPr="490425B0">
              <w:rPr>
                <w:rFonts w:eastAsia="Arial" w:cs="Arial"/>
              </w:rPr>
              <w:t>3,073</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E6508" w14:textId="06EDBC4C" w:rsidR="490425B0" w:rsidRDefault="490425B0" w:rsidP="490425B0">
            <w:pPr>
              <w:spacing w:line="257" w:lineRule="auto"/>
              <w:jc w:val="center"/>
              <w:rPr>
                <w:rFonts w:eastAsia="Arial" w:cs="Arial"/>
              </w:rPr>
            </w:pPr>
            <w:r w:rsidRPr="490425B0">
              <w:rPr>
                <w:rFonts w:eastAsia="Arial" w:cs="Arial"/>
              </w:rPr>
              <w:t>1,147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B4682" w14:textId="6DD0FFC5" w:rsidR="478F00B7" w:rsidRDefault="7134F639"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C0333" w14:textId="05EAF1A0"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A719C" w14:textId="46456726" w:rsidR="478F00B7" w:rsidRDefault="7134F639" w:rsidP="490425B0">
            <w:pPr>
              <w:spacing w:line="257" w:lineRule="auto"/>
              <w:jc w:val="center"/>
              <w:rPr>
                <w:rFonts w:eastAsia="Arial" w:cs="Arial"/>
              </w:rPr>
            </w:pPr>
            <w:r w:rsidRPr="490425B0">
              <w:rPr>
                <w:rFonts w:eastAsia="Arial" w:cs="Arial"/>
              </w:rPr>
              <w:t>3,073</w:t>
            </w:r>
          </w:p>
        </w:tc>
        <w:tc>
          <w:tcPr>
            <w:tcW w:w="1522" w:type="dxa"/>
            <w:tcBorders>
              <w:top w:val="single" w:sz="4" w:space="0" w:color="auto"/>
              <w:left w:val="single" w:sz="4" w:space="0" w:color="auto"/>
              <w:bottom w:val="single" w:sz="4" w:space="0" w:color="auto"/>
              <w:right w:val="single" w:sz="4" w:space="0" w:color="auto"/>
            </w:tcBorders>
            <w:vAlign w:val="center"/>
          </w:tcPr>
          <w:p w14:paraId="4008749D" w14:textId="3601788A" w:rsidR="490425B0" w:rsidRDefault="490425B0" w:rsidP="490425B0">
            <w:pPr>
              <w:spacing w:line="257" w:lineRule="auto"/>
              <w:jc w:val="center"/>
              <w:rPr>
                <w:rFonts w:eastAsia="Arial" w:cs="Arial"/>
              </w:rPr>
            </w:pPr>
            <w:r w:rsidRPr="490425B0">
              <w:rPr>
                <w:rFonts w:eastAsia="Arial" w:cs="Arial"/>
              </w:rPr>
              <w:t>0</w:t>
            </w:r>
          </w:p>
        </w:tc>
      </w:tr>
      <w:tr w:rsidR="00F6538B" w:rsidRPr="004E1074" w14:paraId="65AFD510"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19655" w14:textId="77777777" w:rsidR="00F6538B" w:rsidRPr="00233598" w:rsidRDefault="00F6538B" w:rsidP="00F6538B">
            <w:pPr>
              <w:ind w:left="432"/>
              <w:rPr>
                <w:rFonts w:eastAsia="Times New Roman" w:cs="Arial"/>
              </w:rPr>
            </w:pPr>
            <w:r w:rsidRPr="00233598">
              <w:rPr>
                <w:rFonts w:eastAsia="Times New Roman" w:cs="Arial"/>
              </w:rPr>
              <w:t>English Sole</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30A43" w14:textId="6803B60D" w:rsidR="478F00B7" w:rsidRDefault="7134F639" w:rsidP="490425B0">
            <w:pPr>
              <w:spacing w:line="257" w:lineRule="auto"/>
              <w:jc w:val="center"/>
              <w:rPr>
                <w:rFonts w:eastAsia="Arial" w:cs="Arial"/>
              </w:rPr>
            </w:pPr>
            <w:r w:rsidRPr="490425B0">
              <w:rPr>
                <w:rFonts w:eastAsia="Arial" w:cs="Arial"/>
              </w:rPr>
              <w:t>822</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4711D" w14:textId="0BF26094" w:rsidR="490425B0" w:rsidRDefault="490425B0" w:rsidP="490425B0">
            <w:pPr>
              <w:spacing w:line="257" w:lineRule="auto"/>
              <w:jc w:val="center"/>
              <w:rPr>
                <w:rFonts w:eastAsia="Arial" w:cs="Arial"/>
              </w:rPr>
            </w:pPr>
            <w:r w:rsidRPr="490425B0">
              <w:rPr>
                <w:rFonts w:eastAsia="Arial" w:cs="Arial"/>
              </w:rPr>
              <w:t>519</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3A59" w14:textId="5124D3C8" w:rsidR="478F00B7" w:rsidRDefault="7134F639"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429AF" w14:textId="0D18C69F" w:rsidR="490425B0" w:rsidRDefault="490425B0" w:rsidP="490425B0">
            <w:pPr>
              <w:spacing w:line="257" w:lineRule="auto"/>
              <w:jc w:val="center"/>
              <w:rPr>
                <w:rFonts w:eastAsia="Arial" w:cs="Arial"/>
              </w:rPr>
            </w:pPr>
            <w:r w:rsidRPr="490425B0">
              <w:rPr>
                <w:rFonts w:eastAsia="Arial" w:cs="Arial"/>
              </w:rPr>
              <w:t>0</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0DB2D" w14:textId="06DB68A6" w:rsidR="478F00B7" w:rsidRDefault="7134F639" w:rsidP="490425B0">
            <w:pPr>
              <w:spacing w:line="257" w:lineRule="auto"/>
              <w:jc w:val="center"/>
              <w:rPr>
                <w:rFonts w:eastAsia="Arial" w:cs="Arial"/>
              </w:rPr>
            </w:pPr>
            <w:r w:rsidRPr="490425B0">
              <w:rPr>
                <w:rFonts w:eastAsia="Arial" w:cs="Arial"/>
              </w:rPr>
              <w:t>822</w:t>
            </w:r>
          </w:p>
        </w:tc>
        <w:tc>
          <w:tcPr>
            <w:tcW w:w="1522" w:type="dxa"/>
            <w:tcBorders>
              <w:top w:val="single" w:sz="4" w:space="0" w:color="auto"/>
              <w:left w:val="single" w:sz="4" w:space="0" w:color="auto"/>
              <w:bottom w:val="single" w:sz="4" w:space="0" w:color="auto"/>
              <w:right w:val="single" w:sz="4" w:space="0" w:color="auto"/>
            </w:tcBorders>
            <w:vAlign w:val="center"/>
          </w:tcPr>
          <w:p w14:paraId="18772A53" w14:textId="5084D62D" w:rsidR="490425B0" w:rsidRDefault="490425B0" w:rsidP="490425B0">
            <w:pPr>
              <w:spacing w:line="257" w:lineRule="auto"/>
              <w:jc w:val="center"/>
              <w:rPr>
                <w:rFonts w:eastAsia="Arial" w:cs="Arial"/>
              </w:rPr>
            </w:pPr>
            <w:r w:rsidRPr="490425B0">
              <w:rPr>
                <w:rFonts w:eastAsia="Arial" w:cs="Arial"/>
              </w:rPr>
              <w:t>0</w:t>
            </w:r>
          </w:p>
        </w:tc>
      </w:tr>
      <w:tr w:rsidR="00F6538B" w:rsidRPr="004E1074" w14:paraId="74AC4820" w14:textId="77777777" w:rsidTr="490425B0">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89520" w14:textId="37A38A4D" w:rsidR="00F6538B" w:rsidRPr="00233598" w:rsidRDefault="00F6538B" w:rsidP="00F6538B">
            <w:pPr>
              <w:ind w:left="432"/>
              <w:rPr>
                <w:rFonts w:eastAsia="Times New Roman" w:cs="Arial"/>
              </w:rPr>
            </w:pPr>
            <w:r w:rsidRPr="00233598">
              <w:rPr>
                <w:rFonts w:eastAsia="Times New Roman" w:cs="Arial"/>
              </w:rPr>
              <w:t xml:space="preserve">Pacific Halibut </w:t>
            </w:r>
            <w:r w:rsidRPr="00233598">
              <w:rPr>
                <w:rFonts w:eastAsia="Times New Roman" w:cs="Arial"/>
                <w:vertAlign w:val="superscript"/>
              </w:rPr>
              <w:t>2,3</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39F34" w14:textId="24383DAC" w:rsidR="478F00B7" w:rsidRDefault="7134F639" w:rsidP="490425B0">
            <w:pPr>
              <w:spacing w:line="257" w:lineRule="auto"/>
              <w:jc w:val="center"/>
              <w:rPr>
                <w:rFonts w:eastAsia="Arial" w:cs="Arial"/>
              </w:rPr>
            </w:pPr>
            <w:r w:rsidRPr="490425B0">
              <w:rPr>
                <w:rFonts w:eastAsia="Arial" w:cs="Arial"/>
              </w:rPr>
              <w:t>454</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0F085" w14:textId="06C894C2" w:rsidR="490425B0" w:rsidRDefault="490425B0" w:rsidP="490425B0">
            <w:pPr>
              <w:spacing w:line="257" w:lineRule="auto"/>
              <w:jc w:val="center"/>
              <w:rPr>
                <w:rFonts w:eastAsia="Arial" w:cs="Arial"/>
              </w:rPr>
            </w:pPr>
            <w:r w:rsidRPr="490425B0">
              <w:rPr>
                <w:rFonts w:eastAsia="Arial" w:cs="Arial"/>
              </w:rPr>
              <w:t>7</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7AAD8" w14:textId="2343E4F8" w:rsidR="478F00B7" w:rsidRDefault="7134F639" w:rsidP="490425B0">
            <w:pPr>
              <w:spacing w:line="257" w:lineRule="auto"/>
              <w:jc w:val="center"/>
              <w:rPr>
                <w:rFonts w:eastAsia="Arial" w:cs="Arial"/>
              </w:rPr>
            </w:pPr>
            <w:r w:rsidRPr="490425B0">
              <w:rPr>
                <w:rFonts w:eastAsia="Arial" w:cs="Arial"/>
              </w:rPr>
              <w:t>2,555</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4E7A7" w14:textId="2BAB927D" w:rsidR="490425B0" w:rsidRDefault="490425B0" w:rsidP="490425B0">
            <w:pPr>
              <w:spacing w:line="257" w:lineRule="auto"/>
              <w:jc w:val="center"/>
              <w:rPr>
                <w:rFonts w:eastAsia="Arial" w:cs="Arial"/>
              </w:rPr>
            </w:pPr>
            <w:r w:rsidRPr="490425B0">
              <w:rPr>
                <w:rFonts w:eastAsia="Arial" w:cs="Arial"/>
              </w:rPr>
              <w:t>3,224</w:t>
            </w:r>
          </w:p>
        </w:tc>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DEA91" w14:textId="36BF0B43" w:rsidR="478F00B7" w:rsidRDefault="7134F639" w:rsidP="490425B0">
            <w:pPr>
              <w:spacing w:line="257" w:lineRule="auto"/>
              <w:jc w:val="center"/>
              <w:rPr>
                <w:rFonts w:eastAsia="Arial" w:cs="Arial"/>
              </w:rPr>
            </w:pPr>
            <w:r w:rsidRPr="490425B0">
              <w:rPr>
                <w:rFonts w:eastAsia="Arial" w:cs="Arial"/>
              </w:rPr>
              <w:t>3,009</w:t>
            </w:r>
          </w:p>
        </w:tc>
        <w:tc>
          <w:tcPr>
            <w:tcW w:w="1522" w:type="dxa"/>
            <w:tcBorders>
              <w:top w:val="single" w:sz="4" w:space="0" w:color="auto"/>
              <w:left w:val="single" w:sz="4" w:space="0" w:color="auto"/>
              <w:bottom w:val="single" w:sz="4" w:space="0" w:color="auto"/>
              <w:right w:val="single" w:sz="4" w:space="0" w:color="auto"/>
            </w:tcBorders>
            <w:vAlign w:val="center"/>
          </w:tcPr>
          <w:p w14:paraId="739FD56A" w14:textId="5289A19A" w:rsidR="490425B0" w:rsidRDefault="490425B0" w:rsidP="490425B0">
            <w:pPr>
              <w:spacing w:line="257" w:lineRule="auto"/>
              <w:jc w:val="center"/>
              <w:rPr>
                <w:rFonts w:eastAsia="Arial" w:cs="Arial"/>
              </w:rPr>
            </w:pPr>
            <w:r w:rsidRPr="490425B0">
              <w:rPr>
                <w:rFonts w:eastAsia="Arial" w:cs="Arial"/>
              </w:rPr>
              <w:t>3,224</w:t>
            </w:r>
          </w:p>
        </w:tc>
      </w:tr>
    </w:tbl>
    <w:p w14:paraId="21430E91" w14:textId="15ED6117" w:rsidR="00DF2505" w:rsidRPr="007F52F6" w:rsidRDefault="00DF2505" w:rsidP="00020E52">
      <w:pPr>
        <w:pStyle w:val="Caption-Figure"/>
      </w:pPr>
      <w:r w:rsidRPr="5ABB0D50">
        <w:rPr>
          <w:vertAlign w:val="superscript"/>
        </w:rPr>
        <w:t xml:space="preserve">1 </w:t>
      </w:r>
      <w:r>
        <w:t xml:space="preserve">Hake TAC </w:t>
      </w:r>
      <w:r w:rsidR="00296C0A">
        <w:t>provided by Chris Grandin</w:t>
      </w:r>
      <w:r w:rsidR="008705AE">
        <w:t xml:space="preserve"> and Deirdre Finn</w:t>
      </w:r>
    </w:p>
    <w:p w14:paraId="13A03D60" w14:textId="25E5A3ED" w:rsidR="006D221A" w:rsidRDefault="00DF2505" w:rsidP="00020E52">
      <w:pPr>
        <w:pStyle w:val="Caption-Figure"/>
      </w:pPr>
      <w:r w:rsidRPr="5ABB0D50">
        <w:rPr>
          <w:vertAlign w:val="superscript"/>
        </w:rPr>
        <w:t>2</w:t>
      </w:r>
      <w:r>
        <w:t xml:space="preserve"> Halibut weights are dressed, head-off, where dressed, head-off weight = round weight * 0.75.</w:t>
      </w:r>
    </w:p>
    <w:p w14:paraId="75CE850D" w14:textId="428D954E" w:rsidR="000F41BE" w:rsidRPr="007F52F6" w:rsidRDefault="006B74BE" w:rsidP="00020E52">
      <w:pPr>
        <w:pStyle w:val="Caption-Figure"/>
      </w:pPr>
      <w:r w:rsidRPr="5ABB0D50">
        <w:rPr>
          <w:vertAlign w:val="superscript"/>
        </w:rPr>
        <w:t>3</w:t>
      </w:r>
      <w:r w:rsidR="000F41BE">
        <w:t>The groundfish trawl fishery has a bycatch mortality cap of 454 tonnes that is not part of the allocated commercial TAC. Halibut caught while fishing under</w:t>
      </w:r>
      <w:r>
        <w:t xml:space="preserve"> </w:t>
      </w:r>
      <w:r w:rsidR="000F41BE">
        <w:t>the authority of a groundfish trawl licence cannot be retained and must be returned to the water as quickly as possible</w:t>
      </w:r>
    </w:p>
    <w:p w14:paraId="57A6A0F0" w14:textId="77777777" w:rsidR="00337E5C" w:rsidRDefault="00337E5C">
      <w:pPr>
        <w:spacing w:after="160"/>
        <w:rPr>
          <w:i/>
          <w:sz w:val="18"/>
          <w:szCs w:val="18"/>
        </w:rPr>
      </w:pPr>
      <w:r>
        <w:rPr>
          <w:i/>
          <w:sz w:val="18"/>
          <w:szCs w:val="18"/>
        </w:rPr>
        <w:br w:type="page"/>
      </w:r>
    </w:p>
    <w:p w14:paraId="03EB8A02" w14:textId="56376FCC" w:rsidR="00CA0182" w:rsidRDefault="283065F6" w:rsidP="006478F5">
      <w:pPr>
        <w:pStyle w:val="Caption"/>
      </w:pPr>
      <w:r>
        <w:lastRenderedPageBreak/>
        <w:t>Table 2.  British Columbia Groundfish research allocations in metric tonnes (t) for 20</w:t>
      </w:r>
      <w:r w:rsidR="09BDC70E">
        <w:t>2</w:t>
      </w:r>
      <w:r w:rsidR="0D9394D2">
        <w:t>2</w:t>
      </w:r>
      <w:r>
        <w:t xml:space="preserve">.  </w:t>
      </w:r>
      <w:r w:rsidR="2C3FF309">
        <w:t>Except where noted, r</w:t>
      </w:r>
      <w:r>
        <w:t xml:space="preserve">esearch allocations </w:t>
      </w:r>
      <w:r w:rsidR="10403FED">
        <w:t>are deducted from the fish available to the</w:t>
      </w:r>
      <w:r w:rsidR="2C3FF309">
        <w:t xml:space="preserve"> </w:t>
      </w:r>
      <w:r w:rsidR="10403FED">
        <w:t xml:space="preserve">commercial fishery by sector prior to the definition of commercial TACs. Values are copied </w:t>
      </w:r>
      <w:r>
        <w:t xml:space="preserve">from the </w:t>
      </w:r>
      <w:r w:rsidR="5D6A00B6">
        <w:t>202</w:t>
      </w:r>
      <w:r w:rsidR="1FBAD168">
        <w:t>2</w:t>
      </w:r>
      <w:r w:rsidR="5D6A00B6">
        <w:t xml:space="preserve"> Groundfish Integrated Fisheries Management Plan (</w:t>
      </w:r>
      <w:hyperlink r:id="rId140">
        <w:r w:rsidR="5DA6E2DD" w:rsidRPr="387816AB">
          <w:rPr>
            <w:rStyle w:val="Hyperlink"/>
          </w:rPr>
          <w:t>https://waves-vagues.dfo-mpo.gc.ca/Library/40990151.pdf</w:t>
        </w:r>
      </w:hyperlink>
      <w:r w:rsidR="5D6A00B6">
        <w:t>).</w:t>
      </w:r>
    </w:p>
    <w:tbl>
      <w:tblPr>
        <w:tblW w:w="0" w:type="auto"/>
        <w:tblLook w:val="04A0" w:firstRow="1" w:lastRow="0" w:firstColumn="1" w:lastColumn="0" w:noHBand="0" w:noVBand="1"/>
      </w:tblPr>
      <w:tblGrid>
        <w:gridCol w:w="3603"/>
        <w:gridCol w:w="2301"/>
        <w:gridCol w:w="2301"/>
        <w:gridCol w:w="2445"/>
        <w:gridCol w:w="2300"/>
      </w:tblGrid>
      <w:tr w:rsidR="00337E5C" w:rsidRPr="002C2ECB" w14:paraId="1F1204A1" w14:textId="77777777" w:rsidTr="490425B0">
        <w:trPr>
          <w:trHeight w:val="433"/>
        </w:trPr>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7A6AF" w14:textId="77777777" w:rsidR="00337E5C" w:rsidRPr="002C2ECB" w:rsidRDefault="00337E5C" w:rsidP="00337E5C">
            <w:pPr>
              <w:rPr>
                <w:rFonts w:eastAsia="Times New Roman" w:cs="Arial"/>
                <w:b/>
                <w:bCs/>
                <w:color w:val="000000"/>
              </w:rPr>
            </w:pPr>
            <w:r w:rsidRPr="004E1074">
              <w:rPr>
                <w:rFonts w:eastAsia="Times New Roman" w:cs="Arial"/>
                <w:b/>
                <w:bCs/>
                <w:color w:val="000000"/>
              </w:rPr>
              <w:t>Species or Species Group</w:t>
            </w:r>
          </w:p>
        </w:tc>
        <w:tc>
          <w:tcPr>
            <w:tcW w:w="2301" w:type="dxa"/>
            <w:tcBorders>
              <w:top w:val="single" w:sz="4" w:space="0" w:color="auto"/>
              <w:left w:val="single" w:sz="4" w:space="0" w:color="auto"/>
              <w:bottom w:val="single" w:sz="4" w:space="0" w:color="auto"/>
              <w:right w:val="single" w:sz="4" w:space="0" w:color="auto"/>
            </w:tcBorders>
            <w:vAlign w:val="center"/>
          </w:tcPr>
          <w:p w14:paraId="6B8E18BA" w14:textId="77777777" w:rsidR="00337E5C" w:rsidRPr="00337E5C" w:rsidRDefault="00337E5C" w:rsidP="00337E5C">
            <w:pPr>
              <w:jc w:val="center"/>
              <w:rPr>
                <w:b/>
              </w:rPr>
            </w:pPr>
            <w:r w:rsidRPr="00337E5C">
              <w:rPr>
                <w:b/>
              </w:rPr>
              <w:t>Trawl surveys (t)</w:t>
            </w:r>
          </w:p>
        </w:tc>
        <w:tc>
          <w:tcPr>
            <w:tcW w:w="2301" w:type="dxa"/>
            <w:tcBorders>
              <w:top w:val="single" w:sz="4" w:space="0" w:color="auto"/>
              <w:left w:val="single" w:sz="4" w:space="0" w:color="auto"/>
              <w:bottom w:val="single" w:sz="4" w:space="0" w:color="auto"/>
              <w:right w:val="single" w:sz="4" w:space="0" w:color="auto"/>
            </w:tcBorders>
            <w:vAlign w:val="center"/>
          </w:tcPr>
          <w:p w14:paraId="447D6265" w14:textId="77777777" w:rsidR="00337E5C" w:rsidRPr="00337E5C" w:rsidRDefault="00337E5C" w:rsidP="00337E5C">
            <w:pPr>
              <w:jc w:val="center"/>
              <w:rPr>
                <w:b/>
              </w:rPr>
            </w:pPr>
            <w:r w:rsidRPr="00337E5C">
              <w:rPr>
                <w:b/>
              </w:rPr>
              <w:t>Longline surveys (t)</w:t>
            </w:r>
          </w:p>
        </w:tc>
        <w:tc>
          <w:tcPr>
            <w:tcW w:w="2445" w:type="dxa"/>
            <w:tcBorders>
              <w:top w:val="single" w:sz="4" w:space="0" w:color="auto"/>
              <w:left w:val="single" w:sz="4" w:space="0" w:color="auto"/>
              <w:bottom w:val="single" w:sz="4" w:space="0" w:color="auto"/>
              <w:right w:val="single" w:sz="4" w:space="0" w:color="auto"/>
            </w:tcBorders>
            <w:vAlign w:val="center"/>
          </w:tcPr>
          <w:p w14:paraId="0BA49E27" w14:textId="77777777" w:rsidR="00337E5C" w:rsidRPr="00337E5C" w:rsidRDefault="00337E5C" w:rsidP="00337E5C">
            <w:pPr>
              <w:jc w:val="center"/>
              <w:rPr>
                <w:b/>
              </w:rPr>
            </w:pPr>
            <w:r w:rsidRPr="00337E5C">
              <w:rPr>
                <w:b/>
              </w:rPr>
              <w:t>Sablefish surveys (t)</w:t>
            </w:r>
          </w:p>
        </w:tc>
        <w:tc>
          <w:tcPr>
            <w:tcW w:w="2300" w:type="dxa"/>
            <w:tcBorders>
              <w:top w:val="single" w:sz="4" w:space="0" w:color="auto"/>
              <w:left w:val="single" w:sz="4" w:space="0" w:color="auto"/>
              <w:bottom w:val="single" w:sz="4" w:space="0" w:color="auto"/>
              <w:right w:val="single" w:sz="4" w:space="0" w:color="auto"/>
            </w:tcBorders>
            <w:vAlign w:val="center"/>
          </w:tcPr>
          <w:p w14:paraId="49E7CFDF" w14:textId="77777777" w:rsidR="00337E5C" w:rsidRPr="00337E5C" w:rsidRDefault="00337E5C" w:rsidP="00337E5C">
            <w:pPr>
              <w:jc w:val="center"/>
              <w:rPr>
                <w:b/>
              </w:rPr>
            </w:pPr>
            <w:r w:rsidRPr="00337E5C">
              <w:rPr>
                <w:b/>
              </w:rPr>
              <w:t>Total (t)</w:t>
            </w:r>
          </w:p>
        </w:tc>
      </w:tr>
      <w:tr w:rsidR="00337E5C" w:rsidRPr="00E54742" w14:paraId="2A3A336B"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11DC" w14:textId="77777777" w:rsidR="00337E5C" w:rsidRPr="00E54742" w:rsidRDefault="00337E5C" w:rsidP="00200C96">
            <w:pPr>
              <w:rPr>
                <w:rFonts w:eastAsia="Times New Roman" w:cs="Arial"/>
                <w:i/>
                <w:color w:val="000000"/>
              </w:rPr>
            </w:pPr>
            <w:r w:rsidRPr="00E54742">
              <w:rPr>
                <w:rFonts w:eastAsia="Times New Roman" w:cs="Arial"/>
                <w:i/>
                <w:color w:val="000000"/>
              </w:rPr>
              <w:t>Sharks And Skates</w:t>
            </w:r>
          </w:p>
        </w:tc>
        <w:tc>
          <w:tcPr>
            <w:tcW w:w="2301" w:type="dxa"/>
            <w:tcBorders>
              <w:top w:val="single" w:sz="4" w:space="0" w:color="auto"/>
              <w:left w:val="single" w:sz="4" w:space="0" w:color="auto"/>
              <w:bottom w:val="single" w:sz="4" w:space="0" w:color="auto"/>
              <w:right w:val="single" w:sz="4" w:space="0" w:color="auto"/>
            </w:tcBorders>
          </w:tcPr>
          <w:p w14:paraId="7DF0CA62" w14:textId="77777777" w:rsidR="00337E5C" w:rsidRPr="002C2137" w:rsidRDefault="00337E5C" w:rsidP="00337E5C">
            <w:pPr>
              <w:jc w:val="center"/>
              <w:rPr>
                <w:rFonts w:eastAsia="Times New Roman" w:cs="Arial"/>
                <w:i/>
                <w:color w:val="000000"/>
                <w:highlight w:val="yellow"/>
              </w:rPr>
            </w:pPr>
          </w:p>
        </w:tc>
        <w:tc>
          <w:tcPr>
            <w:tcW w:w="2301" w:type="dxa"/>
            <w:tcBorders>
              <w:top w:val="single" w:sz="4" w:space="0" w:color="auto"/>
              <w:left w:val="single" w:sz="4" w:space="0" w:color="auto"/>
              <w:bottom w:val="single" w:sz="4" w:space="0" w:color="auto"/>
              <w:right w:val="single" w:sz="4" w:space="0" w:color="auto"/>
            </w:tcBorders>
          </w:tcPr>
          <w:p w14:paraId="44BA3426" w14:textId="77777777" w:rsidR="00337E5C" w:rsidRPr="002C2137" w:rsidRDefault="00337E5C" w:rsidP="00337E5C">
            <w:pPr>
              <w:jc w:val="center"/>
              <w:rPr>
                <w:rFonts w:eastAsia="Times New Roman" w:cs="Arial"/>
                <w:i/>
                <w:color w:val="000000"/>
                <w:highlight w:val="yellow"/>
              </w:rPr>
            </w:pPr>
          </w:p>
        </w:tc>
        <w:tc>
          <w:tcPr>
            <w:tcW w:w="2445" w:type="dxa"/>
            <w:tcBorders>
              <w:top w:val="single" w:sz="4" w:space="0" w:color="auto"/>
              <w:left w:val="single" w:sz="4" w:space="0" w:color="auto"/>
              <w:bottom w:val="single" w:sz="4" w:space="0" w:color="auto"/>
              <w:right w:val="single" w:sz="4" w:space="0" w:color="auto"/>
            </w:tcBorders>
          </w:tcPr>
          <w:p w14:paraId="175D53C2" w14:textId="77777777" w:rsidR="00337E5C" w:rsidRPr="002C2137" w:rsidRDefault="00337E5C" w:rsidP="00337E5C">
            <w:pPr>
              <w:jc w:val="center"/>
              <w:rPr>
                <w:rFonts w:eastAsia="Times New Roman" w:cs="Arial"/>
                <w:i/>
                <w:color w:val="000000"/>
                <w:highlight w:val="yellow"/>
              </w:rPr>
            </w:pPr>
          </w:p>
        </w:tc>
        <w:tc>
          <w:tcPr>
            <w:tcW w:w="2300" w:type="dxa"/>
            <w:tcBorders>
              <w:top w:val="single" w:sz="4" w:space="0" w:color="auto"/>
              <w:left w:val="single" w:sz="4" w:space="0" w:color="auto"/>
              <w:bottom w:val="single" w:sz="4" w:space="0" w:color="auto"/>
              <w:right w:val="single" w:sz="4" w:space="0" w:color="auto"/>
            </w:tcBorders>
          </w:tcPr>
          <w:p w14:paraId="7DB1D1D4" w14:textId="77777777" w:rsidR="00337E5C" w:rsidRPr="002C2137" w:rsidRDefault="00337E5C" w:rsidP="00337E5C">
            <w:pPr>
              <w:jc w:val="center"/>
              <w:rPr>
                <w:rFonts w:eastAsia="Times New Roman" w:cs="Arial"/>
                <w:i/>
                <w:color w:val="000000"/>
                <w:highlight w:val="yellow"/>
              </w:rPr>
            </w:pPr>
          </w:p>
        </w:tc>
      </w:tr>
      <w:tr w:rsidR="00871C10" w:rsidRPr="002C2ECB" w14:paraId="12723E38"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D6EAE" w14:textId="77777777" w:rsidR="00871C10" w:rsidRPr="00233598" w:rsidRDefault="00871C10" w:rsidP="00871C10">
            <w:pPr>
              <w:ind w:left="432"/>
              <w:rPr>
                <w:rFonts w:eastAsia="Times New Roman" w:cs="Arial"/>
              </w:rPr>
            </w:pPr>
            <w:r w:rsidRPr="00233598">
              <w:rPr>
                <w:rFonts w:eastAsia="Times New Roman" w:cs="Arial"/>
              </w:rPr>
              <w:t>North Pacific Spiny Dogfish</w:t>
            </w:r>
          </w:p>
        </w:tc>
        <w:tc>
          <w:tcPr>
            <w:tcW w:w="2301" w:type="dxa"/>
            <w:tcBorders>
              <w:top w:val="single" w:sz="4" w:space="0" w:color="auto"/>
              <w:left w:val="single" w:sz="4" w:space="0" w:color="auto"/>
              <w:bottom w:val="single" w:sz="4" w:space="0" w:color="auto"/>
              <w:right w:val="single" w:sz="4" w:space="0" w:color="auto"/>
            </w:tcBorders>
          </w:tcPr>
          <w:p w14:paraId="6CC7E3CC" w14:textId="71C095CF" w:rsidR="478F00B7" w:rsidRDefault="7134F639" w:rsidP="490425B0">
            <w:pPr>
              <w:spacing w:line="257" w:lineRule="auto"/>
              <w:jc w:val="center"/>
              <w:rPr>
                <w:rFonts w:eastAsia="Arial" w:cs="Arial"/>
              </w:rPr>
            </w:pPr>
            <w:r w:rsidRPr="490425B0">
              <w:rPr>
                <w:rFonts w:eastAsia="Arial" w:cs="Arial"/>
              </w:rPr>
              <w:t>9.0</w:t>
            </w:r>
          </w:p>
        </w:tc>
        <w:tc>
          <w:tcPr>
            <w:tcW w:w="2301" w:type="dxa"/>
            <w:tcBorders>
              <w:top w:val="single" w:sz="4" w:space="0" w:color="auto"/>
              <w:left w:val="single" w:sz="4" w:space="0" w:color="auto"/>
              <w:bottom w:val="single" w:sz="4" w:space="0" w:color="auto"/>
              <w:right w:val="single" w:sz="4" w:space="0" w:color="auto"/>
            </w:tcBorders>
          </w:tcPr>
          <w:p w14:paraId="679AF4C4" w14:textId="4AF7C761"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7A019BC1" w14:textId="47324556"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69E621F5" w14:textId="0630F0C1" w:rsidR="478F00B7" w:rsidRDefault="7134F639" w:rsidP="490425B0">
            <w:pPr>
              <w:spacing w:line="257" w:lineRule="auto"/>
              <w:jc w:val="center"/>
              <w:rPr>
                <w:rFonts w:eastAsia="Arial" w:cs="Arial"/>
              </w:rPr>
            </w:pPr>
            <w:r w:rsidRPr="490425B0">
              <w:rPr>
                <w:rFonts w:eastAsia="Arial" w:cs="Arial"/>
              </w:rPr>
              <w:t>9.0</w:t>
            </w:r>
          </w:p>
        </w:tc>
      </w:tr>
      <w:tr w:rsidR="00871C10" w:rsidRPr="002C2ECB" w14:paraId="0394ED14"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07D97" w14:textId="77777777" w:rsidR="00871C10" w:rsidRPr="00233598" w:rsidRDefault="00871C10" w:rsidP="00871C10">
            <w:pPr>
              <w:ind w:left="432"/>
              <w:rPr>
                <w:rFonts w:eastAsia="Times New Roman" w:cs="Arial"/>
              </w:rPr>
            </w:pPr>
            <w:r w:rsidRPr="00233598">
              <w:rPr>
                <w:rFonts w:eastAsia="Times New Roman" w:cs="Arial"/>
              </w:rPr>
              <w:t>Big Skate</w:t>
            </w:r>
          </w:p>
        </w:tc>
        <w:tc>
          <w:tcPr>
            <w:tcW w:w="2301" w:type="dxa"/>
            <w:tcBorders>
              <w:top w:val="single" w:sz="4" w:space="0" w:color="auto"/>
              <w:left w:val="single" w:sz="4" w:space="0" w:color="auto"/>
              <w:bottom w:val="single" w:sz="4" w:space="0" w:color="auto"/>
              <w:right w:val="single" w:sz="4" w:space="0" w:color="auto"/>
            </w:tcBorders>
          </w:tcPr>
          <w:p w14:paraId="0EB58EF8" w14:textId="1EAB0DB5" w:rsidR="478F00B7" w:rsidRDefault="7134F639" w:rsidP="490425B0">
            <w:pPr>
              <w:spacing w:line="257" w:lineRule="auto"/>
              <w:jc w:val="center"/>
              <w:rPr>
                <w:rFonts w:eastAsia="Arial" w:cs="Arial"/>
              </w:rPr>
            </w:pPr>
            <w:r w:rsidRPr="490425B0">
              <w:rPr>
                <w:rFonts w:eastAsia="Arial" w:cs="Arial"/>
              </w:rPr>
              <w:t>0.3</w:t>
            </w:r>
          </w:p>
        </w:tc>
        <w:tc>
          <w:tcPr>
            <w:tcW w:w="2301" w:type="dxa"/>
            <w:tcBorders>
              <w:top w:val="single" w:sz="4" w:space="0" w:color="auto"/>
              <w:left w:val="single" w:sz="4" w:space="0" w:color="auto"/>
              <w:bottom w:val="single" w:sz="4" w:space="0" w:color="auto"/>
              <w:right w:val="single" w:sz="4" w:space="0" w:color="auto"/>
            </w:tcBorders>
          </w:tcPr>
          <w:p w14:paraId="0ECAF68C" w14:textId="114DEA6F"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38A107AA" w14:textId="52DD3B1F"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0BF6E456" w14:textId="7CA28DF8" w:rsidR="478F00B7" w:rsidRDefault="7134F639" w:rsidP="490425B0">
            <w:pPr>
              <w:spacing w:line="257" w:lineRule="auto"/>
              <w:jc w:val="center"/>
              <w:rPr>
                <w:rFonts w:eastAsia="Arial" w:cs="Arial"/>
              </w:rPr>
            </w:pPr>
            <w:r w:rsidRPr="490425B0">
              <w:rPr>
                <w:rFonts w:eastAsia="Arial" w:cs="Arial"/>
              </w:rPr>
              <w:t>0.3</w:t>
            </w:r>
          </w:p>
        </w:tc>
      </w:tr>
      <w:tr w:rsidR="00871C10" w:rsidRPr="002C2ECB" w14:paraId="2334567D"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CEB2B" w14:textId="77777777" w:rsidR="00871C10" w:rsidRPr="00233598" w:rsidRDefault="00871C10" w:rsidP="00871C10">
            <w:pPr>
              <w:ind w:left="432"/>
              <w:rPr>
                <w:rFonts w:eastAsia="Times New Roman" w:cs="Arial"/>
              </w:rPr>
            </w:pPr>
            <w:r w:rsidRPr="00233598">
              <w:rPr>
                <w:rFonts w:eastAsia="Times New Roman" w:cs="Arial"/>
              </w:rPr>
              <w:t>Longnose Skate</w:t>
            </w:r>
          </w:p>
        </w:tc>
        <w:tc>
          <w:tcPr>
            <w:tcW w:w="2301" w:type="dxa"/>
            <w:tcBorders>
              <w:top w:val="single" w:sz="4" w:space="0" w:color="auto"/>
              <w:left w:val="single" w:sz="4" w:space="0" w:color="auto"/>
              <w:bottom w:val="single" w:sz="4" w:space="0" w:color="auto"/>
              <w:right w:val="single" w:sz="4" w:space="0" w:color="auto"/>
            </w:tcBorders>
          </w:tcPr>
          <w:p w14:paraId="34474573" w14:textId="0B0AAC46" w:rsidR="478F00B7" w:rsidRDefault="7134F639" w:rsidP="490425B0">
            <w:pPr>
              <w:spacing w:line="257" w:lineRule="auto"/>
              <w:jc w:val="center"/>
              <w:rPr>
                <w:rFonts w:eastAsia="Arial" w:cs="Arial"/>
              </w:rPr>
            </w:pPr>
            <w:r w:rsidRPr="490425B0">
              <w:rPr>
                <w:rFonts w:eastAsia="Arial" w:cs="Arial"/>
              </w:rPr>
              <w:t>1.3</w:t>
            </w:r>
          </w:p>
        </w:tc>
        <w:tc>
          <w:tcPr>
            <w:tcW w:w="2301" w:type="dxa"/>
            <w:tcBorders>
              <w:top w:val="single" w:sz="4" w:space="0" w:color="auto"/>
              <w:left w:val="single" w:sz="4" w:space="0" w:color="auto"/>
              <w:bottom w:val="single" w:sz="4" w:space="0" w:color="auto"/>
              <w:right w:val="single" w:sz="4" w:space="0" w:color="auto"/>
            </w:tcBorders>
          </w:tcPr>
          <w:p w14:paraId="66BE00E9" w14:textId="7184B377"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6776662F" w14:textId="28472756"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7204CF4B" w14:textId="32513103" w:rsidR="478F00B7" w:rsidRDefault="7134F639" w:rsidP="490425B0">
            <w:pPr>
              <w:spacing w:line="257" w:lineRule="auto"/>
              <w:jc w:val="center"/>
              <w:rPr>
                <w:rFonts w:eastAsia="Arial" w:cs="Arial"/>
              </w:rPr>
            </w:pPr>
            <w:r w:rsidRPr="490425B0">
              <w:rPr>
                <w:rFonts w:eastAsia="Arial" w:cs="Arial"/>
              </w:rPr>
              <w:t>1.3</w:t>
            </w:r>
          </w:p>
        </w:tc>
      </w:tr>
      <w:tr w:rsidR="00871C10" w:rsidRPr="002C2ECB" w14:paraId="1D800BB4"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DBC0C" w14:textId="77777777" w:rsidR="00871C10" w:rsidRPr="00233598" w:rsidRDefault="00871C10" w:rsidP="00871C10">
            <w:pPr>
              <w:rPr>
                <w:rFonts w:eastAsia="Times New Roman" w:cs="Arial"/>
              </w:rPr>
            </w:pPr>
            <w:r w:rsidRPr="00233598">
              <w:rPr>
                <w:rFonts w:eastAsia="Times New Roman" w:cs="Arial"/>
              </w:rPr>
              <w:t>Pacific Cod</w:t>
            </w:r>
          </w:p>
        </w:tc>
        <w:tc>
          <w:tcPr>
            <w:tcW w:w="2301" w:type="dxa"/>
            <w:tcBorders>
              <w:top w:val="single" w:sz="4" w:space="0" w:color="auto"/>
              <w:left w:val="single" w:sz="4" w:space="0" w:color="auto"/>
              <w:bottom w:val="single" w:sz="4" w:space="0" w:color="auto"/>
              <w:right w:val="single" w:sz="4" w:space="0" w:color="auto"/>
            </w:tcBorders>
          </w:tcPr>
          <w:p w14:paraId="12073FA9" w14:textId="0C8ECA00" w:rsidR="478F00B7" w:rsidRDefault="7134F639" w:rsidP="490425B0">
            <w:pPr>
              <w:spacing w:line="257" w:lineRule="auto"/>
              <w:jc w:val="center"/>
              <w:rPr>
                <w:rFonts w:eastAsia="Arial" w:cs="Arial"/>
              </w:rPr>
            </w:pPr>
            <w:r w:rsidRPr="490425B0">
              <w:rPr>
                <w:rFonts w:eastAsia="Arial" w:cs="Arial"/>
              </w:rPr>
              <w:t>1.9</w:t>
            </w:r>
          </w:p>
        </w:tc>
        <w:tc>
          <w:tcPr>
            <w:tcW w:w="2301" w:type="dxa"/>
            <w:tcBorders>
              <w:top w:val="single" w:sz="4" w:space="0" w:color="auto"/>
              <w:left w:val="single" w:sz="4" w:space="0" w:color="auto"/>
              <w:bottom w:val="single" w:sz="4" w:space="0" w:color="auto"/>
              <w:right w:val="single" w:sz="4" w:space="0" w:color="auto"/>
            </w:tcBorders>
          </w:tcPr>
          <w:p w14:paraId="3FB30405" w14:textId="66162E0A" w:rsidR="478F00B7" w:rsidRDefault="7134F639" w:rsidP="490425B0">
            <w:pPr>
              <w:spacing w:line="257" w:lineRule="auto"/>
              <w:jc w:val="center"/>
              <w:rPr>
                <w:rFonts w:eastAsia="Arial" w:cs="Arial"/>
              </w:rPr>
            </w:pPr>
            <w:r w:rsidRPr="490425B0">
              <w:rPr>
                <w:rFonts w:eastAsia="Arial" w:cs="Arial"/>
              </w:rPr>
              <w:t>1.2</w:t>
            </w:r>
          </w:p>
        </w:tc>
        <w:tc>
          <w:tcPr>
            <w:tcW w:w="2445" w:type="dxa"/>
            <w:tcBorders>
              <w:top w:val="single" w:sz="4" w:space="0" w:color="auto"/>
              <w:left w:val="single" w:sz="4" w:space="0" w:color="auto"/>
              <w:bottom w:val="single" w:sz="4" w:space="0" w:color="auto"/>
              <w:right w:val="single" w:sz="4" w:space="0" w:color="auto"/>
            </w:tcBorders>
          </w:tcPr>
          <w:p w14:paraId="25C3ADDE" w14:textId="2DFD771D"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1524DE0A" w14:textId="3A2270C9" w:rsidR="478F00B7" w:rsidRDefault="7134F639" w:rsidP="490425B0">
            <w:pPr>
              <w:spacing w:line="257" w:lineRule="auto"/>
              <w:jc w:val="center"/>
              <w:rPr>
                <w:rFonts w:eastAsia="Arial" w:cs="Arial"/>
              </w:rPr>
            </w:pPr>
            <w:r w:rsidRPr="490425B0">
              <w:rPr>
                <w:rFonts w:eastAsia="Arial" w:cs="Arial"/>
              </w:rPr>
              <w:t>3.1</w:t>
            </w:r>
          </w:p>
        </w:tc>
      </w:tr>
      <w:tr w:rsidR="00871C10" w:rsidRPr="002C2ECB" w14:paraId="745ED74B"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CC111" w14:textId="77777777" w:rsidR="00871C10" w:rsidRPr="00233598" w:rsidRDefault="00871C10" w:rsidP="00871C10">
            <w:pPr>
              <w:rPr>
                <w:rFonts w:eastAsia="Times New Roman" w:cs="Arial"/>
              </w:rPr>
            </w:pPr>
            <w:r w:rsidRPr="00233598">
              <w:rPr>
                <w:rFonts w:eastAsia="Times New Roman" w:cs="Arial"/>
              </w:rPr>
              <w:t>Walleye Pollock</w:t>
            </w:r>
          </w:p>
        </w:tc>
        <w:tc>
          <w:tcPr>
            <w:tcW w:w="2301" w:type="dxa"/>
            <w:tcBorders>
              <w:top w:val="single" w:sz="4" w:space="0" w:color="auto"/>
              <w:left w:val="single" w:sz="4" w:space="0" w:color="auto"/>
              <w:bottom w:val="single" w:sz="4" w:space="0" w:color="auto"/>
              <w:right w:val="single" w:sz="4" w:space="0" w:color="auto"/>
            </w:tcBorders>
          </w:tcPr>
          <w:p w14:paraId="5913600B" w14:textId="47CF2CCE" w:rsidR="478F00B7" w:rsidRDefault="7134F639" w:rsidP="490425B0">
            <w:pPr>
              <w:spacing w:line="257" w:lineRule="auto"/>
              <w:jc w:val="center"/>
              <w:rPr>
                <w:rFonts w:eastAsia="Arial" w:cs="Arial"/>
              </w:rPr>
            </w:pPr>
            <w:r w:rsidRPr="490425B0">
              <w:rPr>
                <w:rFonts w:eastAsia="Arial" w:cs="Arial"/>
              </w:rPr>
              <w:t>0.9</w:t>
            </w:r>
          </w:p>
        </w:tc>
        <w:tc>
          <w:tcPr>
            <w:tcW w:w="2301" w:type="dxa"/>
            <w:tcBorders>
              <w:top w:val="single" w:sz="4" w:space="0" w:color="auto"/>
              <w:left w:val="single" w:sz="4" w:space="0" w:color="auto"/>
              <w:bottom w:val="single" w:sz="4" w:space="0" w:color="auto"/>
              <w:right w:val="single" w:sz="4" w:space="0" w:color="auto"/>
            </w:tcBorders>
          </w:tcPr>
          <w:p w14:paraId="0B22F2E1" w14:textId="402471A1"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1B179951" w14:textId="71897CE8"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5F2405F6" w14:textId="5043E203" w:rsidR="478F00B7" w:rsidRDefault="7134F639" w:rsidP="490425B0">
            <w:pPr>
              <w:spacing w:line="257" w:lineRule="auto"/>
              <w:jc w:val="center"/>
              <w:rPr>
                <w:rFonts w:eastAsia="Arial" w:cs="Arial"/>
              </w:rPr>
            </w:pPr>
            <w:r w:rsidRPr="490425B0">
              <w:rPr>
                <w:rFonts w:eastAsia="Arial" w:cs="Arial"/>
              </w:rPr>
              <w:t>0.9</w:t>
            </w:r>
          </w:p>
        </w:tc>
      </w:tr>
      <w:tr w:rsidR="00871C10" w:rsidRPr="002C2ECB" w14:paraId="0D2D83F9"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C1613" w14:textId="77777777" w:rsidR="00871C10" w:rsidRPr="00233598" w:rsidRDefault="00871C10" w:rsidP="00871C10">
            <w:pPr>
              <w:rPr>
                <w:rFonts w:eastAsia="Times New Roman" w:cs="Arial"/>
              </w:rPr>
            </w:pPr>
            <w:r w:rsidRPr="00233598">
              <w:rPr>
                <w:rFonts w:eastAsia="Times New Roman" w:cs="Arial"/>
              </w:rPr>
              <w:t>Pacific Hake</w:t>
            </w:r>
          </w:p>
        </w:tc>
        <w:tc>
          <w:tcPr>
            <w:tcW w:w="2301" w:type="dxa"/>
            <w:tcBorders>
              <w:top w:val="single" w:sz="4" w:space="0" w:color="auto"/>
              <w:left w:val="single" w:sz="4" w:space="0" w:color="auto"/>
              <w:bottom w:val="single" w:sz="4" w:space="0" w:color="auto"/>
              <w:right w:val="single" w:sz="4" w:space="0" w:color="auto"/>
            </w:tcBorders>
          </w:tcPr>
          <w:p w14:paraId="01FFD55E" w14:textId="23DEFDD1" w:rsidR="478F00B7" w:rsidRDefault="7134F639" w:rsidP="490425B0">
            <w:pPr>
              <w:spacing w:line="257" w:lineRule="auto"/>
              <w:jc w:val="center"/>
              <w:rPr>
                <w:rFonts w:eastAsia="Arial" w:cs="Arial"/>
              </w:rPr>
            </w:pPr>
            <w:r w:rsidRPr="490425B0">
              <w:rPr>
                <w:rFonts w:eastAsia="Arial" w:cs="Arial"/>
              </w:rPr>
              <w:t>4.8</w:t>
            </w:r>
          </w:p>
        </w:tc>
        <w:tc>
          <w:tcPr>
            <w:tcW w:w="2301" w:type="dxa"/>
            <w:tcBorders>
              <w:top w:val="single" w:sz="4" w:space="0" w:color="auto"/>
              <w:left w:val="single" w:sz="4" w:space="0" w:color="auto"/>
              <w:bottom w:val="single" w:sz="4" w:space="0" w:color="auto"/>
              <w:right w:val="single" w:sz="4" w:space="0" w:color="auto"/>
            </w:tcBorders>
          </w:tcPr>
          <w:p w14:paraId="6C258294" w14:textId="28305123"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2EA383E8" w14:textId="02453679"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580E8D10" w14:textId="2BE8FD72" w:rsidR="478F00B7" w:rsidRDefault="7134F639" w:rsidP="490425B0">
            <w:pPr>
              <w:spacing w:line="257" w:lineRule="auto"/>
              <w:jc w:val="center"/>
              <w:rPr>
                <w:rFonts w:eastAsia="Arial" w:cs="Arial"/>
              </w:rPr>
            </w:pPr>
            <w:r w:rsidRPr="490425B0">
              <w:rPr>
                <w:rFonts w:eastAsia="Arial" w:cs="Arial"/>
              </w:rPr>
              <w:t>4.8</w:t>
            </w:r>
          </w:p>
        </w:tc>
      </w:tr>
      <w:tr w:rsidR="00871C10" w:rsidRPr="00E54742" w14:paraId="58B78055"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4B5ED" w14:textId="77777777" w:rsidR="00871C10" w:rsidRPr="00233598" w:rsidRDefault="00871C10" w:rsidP="00871C10">
            <w:pPr>
              <w:rPr>
                <w:rFonts w:eastAsia="Times New Roman" w:cs="Arial"/>
                <w:i/>
              </w:rPr>
            </w:pPr>
            <w:r w:rsidRPr="00233598">
              <w:rPr>
                <w:rFonts w:eastAsia="Times New Roman" w:cs="Arial"/>
                <w:i/>
              </w:rPr>
              <w:t>Rockfishes</w:t>
            </w:r>
          </w:p>
        </w:tc>
        <w:tc>
          <w:tcPr>
            <w:tcW w:w="2301" w:type="dxa"/>
            <w:tcBorders>
              <w:top w:val="single" w:sz="4" w:space="0" w:color="auto"/>
              <w:left w:val="single" w:sz="4" w:space="0" w:color="auto"/>
              <w:bottom w:val="single" w:sz="4" w:space="0" w:color="auto"/>
              <w:right w:val="single" w:sz="4" w:space="0" w:color="auto"/>
            </w:tcBorders>
          </w:tcPr>
          <w:p w14:paraId="275A4B74" w14:textId="45B1D498" w:rsidR="478F00B7" w:rsidRDefault="7134F639" w:rsidP="490425B0">
            <w:pPr>
              <w:spacing w:line="257" w:lineRule="auto"/>
              <w:jc w:val="center"/>
              <w:rPr>
                <w:rFonts w:eastAsia="Arial" w:cs="Arial"/>
              </w:rPr>
            </w:pPr>
            <w:r w:rsidRPr="490425B0">
              <w:rPr>
                <w:rFonts w:eastAsia="Arial" w:cs="Arial"/>
              </w:rPr>
              <w:t xml:space="preserve"> </w:t>
            </w:r>
          </w:p>
        </w:tc>
        <w:tc>
          <w:tcPr>
            <w:tcW w:w="2301" w:type="dxa"/>
            <w:tcBorders>
              <w:top w:val="single" w:sz="4" w:space="0" w:color="auto"/>
              <w:left w:val="single" w:sz="4" w:space="0" w:color="auto"/>
              <w:bottom w:val="single" w:sz="4" w:space="0" w:color="auto"/>
              <w:right w:val="single" w:sz="4" w:space="0" w:color="auto"/>
            </w:tcBorders>
          </w:tcPr>
          <w:p w14:paraId="5B74C2F6" w14:textId="638AE1DC" w:rsidR="478F00B7" w:rsidRDefault="7134F639" w:rsidP="490425B0">
            <w:pPr>
              <w:spacing w:line="257" w:lineRule="auto"/>
              <w:jc w:val="center"/>
              <w:rPr>
                <w:rFonts w:eastAsia="Arial" w:cs="Arial"/>
              </w:rPr>
            </w:pPr>
            <w:r w:rsidRPr="490425B0">
              <w:rPr>
                <w:rFonts w:eastAsia="Arial" w:cs="Arial"/>
              </w:rPr>
              <w:t xml:space="preserve"> </w:t>
            </w:r>
          </w:p>
        </w:tc>
        <w:tc>
          <w:tcPr>
            <w:tcW w:w="2445" w:type="dxa"/>
            <w:tcBorders>
              <w:top w:val="single" w:sz="4" w:space="0" w:color="auto"/>
              <w:left w:val="single" w:sz="4" w:space="0" w:color="auto"/>
              <w:bottom w:val="single" w:sz="4" w:space="0" w:color="auto"/>
              <w:right w:val="single" w:sz="4" w:space="0" w:color="auto"/>
            </w:tcBorders>
          </w:tcPr>
          <w:p w14:paraId="6D9B9634" w14:textId="7F067E23" w:rsidR="478F00B7" w:rsidRDefault="7134F639" w:rsidP="490425B0">
            <w:pPr>
              <w:spacing w:line="257" w:lineRule="auto"/>
              <w:jc w:val="center"/>
              <w:rPr>
                <w:rFonts w:eastAsia="Arial" w:cs="Arial"/>
              </w:rPr>
            </w:pPr>
            <w:r w:rsidRPr="490425B0">
              <w:rPr>
                <w:rFonts w:eastAsia="Arial" w:cs="Arial"/>
              </w:rPr>
              <w:t xml:space="preserve"> </w:t>
            </w:r>
          </w:p>
        </w:tc>
        <w:tc>
          <w:tcPr>
            <w:tcW w:w="2300" w:type="dxa"/>
            <w:tcBorders>
              <w:top w:val="single" w:sz="4" w:space="0" w:color="auto"/>
              <w:left w:val="single" w:sz="4" w:space="0" w:color="auto"/>
              <w:bottom w:val="single" w:sz="4" w:space="0" w:color="auto"/>
              <w:right w:val="single" w:sz="4" w:space="0" w:color="auto"/>
            </w:tcBorders>
          </w:tcPr>
          <w:p w14:paraId="6414F312" w14:textId="565FBB57" w:rsidR="478F00B7" w:rsidRDefault="7134F639" w:rsidP="490425B0">
            <w:pPr>
              <w:spacing w:line="257" w:lineRule="auto"/>
              <w:jc w:val="center"/>
              <w:rPr>
                <w:rFonts w:eastAsia="Arial" w:cs="Arial"/>
              </w:rPr>
            </w:pPr>
            <w:r w:rsidRPr="490425B0">
              <w:rPr>
                <w:rFonts w:eastAsia="Arial" w:cs="Arial"/>
              </w:rPr>
              <w:t xml:space="preserve"> </w:t>
            </w:r>
          </w:p>
        </w:tc>
      </w:tr>
      <w:tr w:rsidR="00871C10" w:rsidRPr="002C2ECB" w14:paraId="7CB1D1DE"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F3A5" w14:textId="77777777" w:rsidR="00871C10" w:rsidRPr="00233598" w:rsidRDefault="00871C10" w:rsidP="00871C10">
            <w:pPr>
              <w:ind w:left="720" w:hanging="288"/>
              <w:rPr>
                <w:rFonts w:eastAsia="Times New Roman" w:cs="Arial"/>
              </w:rPr>
            </w:pPr>
            <w:r w:rsidRPr="00233598">
              <w:rPr>
                <w:rFonts w:eastAsia="Times New Roman" w:cs="Arial"/>
              </w:rPr>
              <w:t>Rougheye/Blackspotted Rockfish Complex</w:t>
            </w:r>
          </w:p>
        </w:tc>
        <w:tc>
          <w:tcPr>
            <w:tcW w:w="2301" w:type="dxa"/>
            <w:tcBorders>
              <w:top w:val="single" w:sz="4" w:space="0" w:color="auto"/>
              <w:left w:val="single" w:sz="4" w:space="0" w:color="auto"/>
              <w:bottom w:val="single" w:sz="4" w:space="0" w:color="auto"/>
              <w:right w:val="single" w:sz="4" w:space="0" w:color="auto"/>
            </w:tcBorders>
          </w:tcPr>
          <w:p w14:paraId="221F1693" w14:textId="6731FE9D" w:rsidR="478F00B7" w:rsidRDefault="7134F639" w:rsidP="490425B0">
            <w:pPr>
              <w:spacing w:line="257" w:lineRule="auto"/>
              <w:jc w:val="center"/>
              <w:rPr>
                <w:rFonts w:eastAsia="Arial" w:cs="Arial"/>
              </w:rPr>
            </w:pPr>
            <w:r w:rsidRPr="490425B0">
              <w:rPr>
                <w:rFonts w:eastAsia="Arial" w:cs="Arial"/>
              </w:rPr>
              <w:t>13.6</w:t>
            </w:r>
          </w:p>
        </w:tc>
        <w:tc>
          <w:tcPr>
            <w:tcW w:w="2301" w:type="dxa"/>
            <w:tcBorders>
              <w:top w:val="single" w:sz="4" w:space="0" w:color="auto"/>
              <w:left w:val="single" w:sz="4" w:space="0" w:color="auto"/>
              <w:bottom w:val="single" w:sz="4" w:space="0" w:color="auto"/>
              <w:right w:val="single" w:sz="4" w:space="0" w:color="auto"/>
            </w:tcBorders>
          </w:tcPr>
          <w:p w14:paraId="6F72BDB8" w14:textId="2BE8B4AA" w:rsidR="478F00B7" w:rsidRDefault="7134F639" w:rsidP="490425B0">
            <w:pPr>
              <w:spacing w:line="257" w:lineRule="auto"/>
              <w:jc w:val="center"/>
              <w:rPr>
                <w:rFonts w:eastAsia="Arial" w:cs="Arial"/>
              </w:rPr>
            </w:pPr>
            <w:r w:rsidRPr="490425B0">
              <w:rPr>
                <w:rFonts w:eastAsia="Arial" w:cs="Arial"/>
              </w:rPr>
              <w:t>22.6</w:t>
            </w:r>
          </w:p>
        </w:tc>
        <w:tc>
          <w:tcPr>
            <w:tcW w:w="2445" w:type="dxa"/>
            <w:tcBorders>
              <w:top w:val="single" w:sz="4" w:space="0" w:color="auto"/>
              <w:left w:val="single" w:sz="4" w:space="0" w:color="auto"/>
              <w:bottom w:val="single" w:sz="4" w:space="0" w:color="auto"/>
              <w:right w:val="single" w:sz="4" w:space="0" w:color="auto"/>
            </w:tcBorders>
          </w:tcPr>
          <w:p w14:paraId="06EC7907" w14:textId="3663C74F"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7FAA5824" w14:textId="5F094321" w:rsidR="478F00B7" w:rsidRDefault="7134F639" w:rsidP="490425B0">
            <w:pPr>
              <w:spacing w:line="257" w:lineRule="auto"/>
              <w:jc w:val="center"/>
              <w:rPr>
                <w:rFonts w:eastAsia="Arial" w:cs="Arial"/>
              </w:rPr>
            </w:pPr>
            <w:r w:rsidRPr="490425B0">
              <w:rPr>
                <w:rFonts w:eastAsia="Arial" w:cs="Arial"/>
              </w:rPr>
              <w:t>36.2</w:t>
            </w:r>
          </w:p>
        </w:tc>
      </w:tr>
      <w:tr w:rsidR="00871C10" w:rsidRPr="002C2ECB" w14:paraId="4AD2C6DF"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740E4" w14:textId="77777777" w:rsidR="00871C10" w:rsidRPr="00233598" w:rsidRDefault="00871C10" w:rsidP="00871C10">
            <w:pPr>
              <w:ind w:left="432"/>
              <w:rPr>
                <w:rFonts w:eastAsia="Times New Roman" w:cs="Arial"/>
              </w:rPr>
            </w:pPr>
            <w:r w:rsidRPr="00233598">
              <w:rPr>
                <w:rFonts w:eastAsia="Times New Roman" w:cs="Arial"/>
              </w:rPr>
              <w:t>Pacific Ocean Perch</w:t>
            </w:r>
          </w:p>
        </w:tc>
        <w:tc>
          <w:tcPr>
            <w:tcW w:w="2301" w:type="dxa"/>
            <w:tcBorders>
              <w:top w:val="single" w:sz="4" w:space="0" w:color="auto"/>
              <w:left w:val="single" w:sz="4" w:space="0" w:color="auto"/>
              <w:bottom w:val="single" w:sz="4" w:space="0" w:color="auto"/>
              <w:right w:val="single" w:sz="4" w:space="0" w:color="auto"/>
            </w:tcBorders>
          </w:tcPr>
          <w:p w14:paraId="3C3D1187" w14:textId="263FD86D" w:rsidR="478F00B7" w:rsidRDefault="7134F639" w:rsidP="490425B0">
            <w:pPr>
              <w:spacing w:line="257" w:lineRule="auto"/>
              <w:jc w:val="center"/>
              <w:rPr>
                <w:rFonts w:eastAsia="Arial" w:cs="Arial"/>
              </w:rPr>
            </w:pPr>
            <w:r w:rsidRPr="490425B0">
              <w:rPr>
                <w:rFonts w:eastAsia="Arial" w:cs="Arial"/>
              </w:rPr>
              <w:t>116.3</w:t>
            </w:r>
          </w:p>
        </w:tc>
        <w:tc>
          <w:tcPr>
            <w:tcW w:w="2301" w:type="dxa"/>
            <w:tcBorders>
              <w:top w:val="single" w:sz="4" w:space="0" w:color="auto"/>
              <w:left w:val="single" w:sz="4" w:space="0" w:color="auto"/>
              <w:bottom w:val="single" w:sz="4" w:space="0" w:color="auto"/>
              <w:right w:val="single" w:sz="4" w:space="0" w:color="auto"/>
            </w:tcBorders>
          </w:tcPr>
          <w:p w14:paraId="30E79875" w14:textId="39873B6A"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6803D542" w14:textId="06482D6E"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302B6EA9" w14:textId="24A7C46F" w:rsidR="478F00B7" w:rsidRDefault="7134F639" w:rsidP="490425B0">
            <w:pPr>
              <w:spacing w:line="257" w:lineRule="auto"/>
              <w:jc w:val="center"/>
              <w:rPr>
                <w:rFonts w:eastAsia="Arial" w:cs="Arial"/>
              </w:rPr>
            </w:pPr>
            <w:r w:rsidRPr="490425B0">
              <w:rPr>
                <w:rFonts w:eastAsia="Arial" w:cs="Arial"/>
              </w:rPr>
              <w:t>116.3</w:t>
            </w:r>
          </w:p>
        </w:tc>
      </w:tr>
      <w:tr w:rsidR="00871C10" w:rsidRPr="002C2ECB" w14:paraId="6970658D"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E30F0" w14:textId="77777777" w:rsidR="00871C10" w:rsidRPr="00233598" w:rsidRDefault="00871C10" w:rsidP="00871C10">
            <w:pPr>
              <w:ind w:left="432"/>
              <w:rPr>
                <w:rFonts w:eastAsia="Times New Roman" w:cs="Arial"/>
              </w:rPr>
            </w:pPr>
            <w:r w:rsidRPr="00233598">
              <w:rPr>
                <w:rFonts w:eastAsia="Times New Roman" w:cs="Arial"/>
              </w:rPr>
              <w:t>Redbanded Rockfish</w:t>
            </w:r>
          </w:p>
        </w:tc>
        <w:tc>
          <w:tcPr>
            <w:tcW w:w="2301" w:type="dxa"/>
            <w:tcBorders>
              <w:top w:val="single" w:sz="4" w:space="0" w:color="auto"/>
              <w:left w:val="single" w:sz="4" w:space="0" w:color="auto"/>
              <w:bottom w:val="single" w:sz="4" w:space="0" w:color="auto"/>
              <w:right w:val="single" w:sz="4" w:space="0" w:color="auto"/>
            </w:tcBorders>
          </w:tcPr>
          <w:p w14:paraId="4875F351" w14:textId="6E2E610B" w:rsidR="478F00B7" w:rsidRDefault="7134F639" w:rsidP="490425B0">
            <w:pPr>
              <w:spacing w:line="257" w:lineRule="auto"/>
              <w:jc w:val="center"/>
              <w:rPr>
                <w:rFonts w:eastAsia="Arial" w:cs="Arial"/>
              </w:rPr>
            </w:pPr>
            <w:r w:rsidRPr="490425B0">
              <w:rPr>
                <w:rFonts w:eastAsia="Arial" w:cs="Arial"/>
              </w:rPr>
              <w:t>1.7</w:t>
            </w:r>
          </w:p>
        </w:tc>
        <w:tc>
          <w:tcPr>
            <w:tcW w:w="2301" w:type="dxa"/>
            <w:tcBorders>
              <w:top w:val="single" w:sz="4" w:space="0" w:color="auto"/>
              <w:left w:val="single" w:sz="4" w:space="0" w:color="auto"/>
              <w:bottom w:val="single" w:sz="4" w:space="0" w:color="auto"/>
              <w:right w:val="single" w:sz="4" w:space="0" w:color="auto"/>
            </w:tcBorders>
          </w:tcPr>
          <w:p w14:paraId="7BD6A62E" w14:textId="66191860" w:rsidR="478F00B7" w:rsidRDefault="7134F639" w:rsidP="490425B0">
            <w:pPr>
              <w:spacing w:line="257" w:lineRule="auto"/>
              <w:jc w:val="center"/>
              <w:rPr>
                <w:rFonts w:eastAsia="Arial" w:cs="Arial"/>
              </w:rPr>
            </w:pPr>
            <w:r w:rsidRPr="490425B0">
              <w:rPr>
                <w:rFonts w:eastAsia="Arial" w:cs="Arial"/>
              </w:rPr>
              <w:t>11.6</w:t>
            </w:r>
          </w:p>
        </w:tc>
        <w:tc>
          <w:tcPr>
            <w:tcW w:w="2445" w:type="dxa"/>
            <w:tcBorders>
              <w:top w:val="single" w:sz="4" w:space="0" w:color="auto"/>
              <w:left w:val="single" w:sz="4" w:space="0" w:color="auto"/>
              <w:bottom w:val="single" w:sz="4" w:space="0" w:color="auto"/>
              <w:right w:val="single" w:sz="4" w:space="0" w:color="auto"/>
            </w:tcBorders>
          </w:tcPr>
          <w:p w14:paraId="19DF491D" w14:textId="755EE831"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6D945661" w14:textId="2F972789" w:rsidR="478F00B7" w:rsidRDefault="7134F639" w:rsidP="490425B0">
            <w:pPr>
              <w:spacing w:line="257" w:lineRule="auto"/>
              <w:jc w:val="center"/>
              <w:rPr>
                <w:rFonts w:eastAsia="Arial" w:cs="Arial"/>
              </w:rPr>
            </w:pPr>
            <w:r w:rsidRPr="490425B0">
              <w:rPr>
                <w:rFonts w:eastAsia="Arial" w:cs="Arial"/>
              </w:rPr>
              <w:t>13.3</w:t>
            </w:r>
          </w:p>
        </w:tc>
      </w:tr>
      <w:tr w:rsidR="00871C10" w:rsidRPr="002C2ECB" w14:paraId="579D07EE"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7DDDE" w14:textId="77777777" w:rsidR="00871C10" w:rsidRPr="00233598" w:rsidRDefault="00871C10" w:rsidP="00871C10">
            <w:pPr>
              <w:ind w:left="432"/>
              <w:rPr>
                <w:rFonts w:eastAsia="Times New Roman" w:cs="Arial"/>
              </w:rPr>
            </w:pPr>
            <w:r w:rsidRPr="00233598">
              <w:rPr>
                <w:rFonts w:eastAsia="Times New Roman" w:cs="Arial"/>
              </w:rPr>
              <w:t>Shortraker Rockfish</w:t>
            </w:r>
          </w:p>
        </w:tc>
        <w:tc>
          <w:tcPr>
            <w:tcW w:w="2301" w:type="dxa"/>
            <w:tcBorders>
              <w:top w:val="single" w:sz="4" w:space="0" w:color="auto"/>
              <w:left w:val="single" w:sz="4" w:space="0" w:color="auto"/>
              <w:bottom w:val="single" w:sz="4" w:space="0" w:color="auto"/>
              <w:right w:val="single" w:sz="4" w:space="0" w:color="auto"/>
            </w:tcBorders>
          </w:tcPr>
          <w:p w14:paraId="750AD358" w14:textId="1A518F87" w:rsidR="478F00B7" w:rsidRDefault="7134F639" w:rsidP="490425B0">
            <w:pPr>
              <w:spacing w:line="257" w:lineRule="auto"/>
              <w:jc w:val="center"/>
              <w:rPr>
                <w:rFonts w:eastAsia="Arial" w:cs="Arial"/>
              </w:rPr>
            </w:pPr>
            <w:r w:rsidRPr="490425B0">
              <w:rPr>
                <w:rFonts w:eastAsia="Arial" w:cs="Arial"/>
              </w:rPr>
              <w:t>0.7</w:t>
            </w:r>
          </w:p>
        </w:tc>
        <w:tc>
          <w:tcPr>
            <w:tcW w:w="2301" w:type="dxa"/>
            <w:tcBorders>
              <w:top w:val="single" w:sz="4" w:space="0" w:color="auto"/>
              <w:left w:val="single" w:sz="4" w:space="0" w:color="auto"/>
              <w:bottom w:val="single" w:sz="4" w:space="0" w:color="auto"/>
              <w:right w:val="single" w:sz="4" w:space="0" w:color="auto"/>
            </w:tcBorders>
          </w:tcPr>
          <w:p w14:paraId="14EF8313" w14:textId="1DB3D7A6" w:rsidR="478F00B7" w:rsidRDefault="7134F639" w:rsidP="490425B0">
            <w:pPr>
              <w:spacing w:line="257" w:lineRule="auto"/>
              <w:jc w:val="center"/>
              <w:rPr>
                <w:rFonts w:eastAsia="Arial" w:cs="Arial"/>
              </w:rPr>
            </w:pPr>
            <w:r w:rsidRPr="490425B0">
              <w:rPr>
                <w:rFonts w:eastAsia="Arial" w:cs="Arial"/>
              </w:rPr>
              <w:t>5.4</w:t>
            </w:r>
          </w:p>
        </w:tc>
        <w:tc>
          <w:tcPr>
            <w:tcW w:w="2445" w:type="dxa"/>
            <w:tcBorders>
              <w:top w:val="single" w:sz="4" w:space="0" w:color="auto"/>
              <w:left w:val="single" w:sz="4" w:space="0" w:color="auto"/>
              <w:bottom w:val="single" w:sz="4" w:space="0" w:color="auto"/>
              <w:right w:val="single" w:sz="4" w:space="0" w:color="auto"/>
            </w:tcBorders>
          </w:tcPr>
          <w:p w14:paraId="6107651B" w14:textId="59B4FAE9"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796CFC07" w14:textId="648A35D8" w:rsidR="478F00B7" w:rsidRDefault="7134F639" w:rsidP="490425B0">
            <w:pPr>
              <w:spacing w:line="257" w:lineRule="auto"/>
              <w:jc w:val="center"/>
              <w:rPr>
                <w:rFonts w:eastAsia="Arial" w:cs="Arial"/>
              </w:rPr>
            </w:pPr>
            <w:r w:rsidRPr="490425B0">
              <w:rPr>
                <w:rFonts w:eastAsia="Arial" w:cs="Arial"/>
              </w:rPr>
              <w:t>6.1</w:t>
            </w:r>
          </w:p>
        </w:tc>
      </w:tr>
      <w:tr w:rsidR="00871C10" w:rsidRPr="002C2ECB" w14:paraId="0512BD25"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E911E" w14:textId="77777777" w:rsidR="00871C10" w:rsidRPr="00233598" w:rsidRDefault="00871C10" w:rsidP="00871C10">
            <w:pPr>
              <w:ind w:left="432"/>
              <w:rPr>
                <w:rFonts w:eastAsia="Times New Roman" w:cs="Arial"/>
              </w:rPr>
            </w:pPr>
            <w:r w:rsidRPr="00233598">
              <w:rPr>
                <w:rFonts w:eastAsia="Times New Roman" w:cs="Arial"/>
              </w:rPr>
              <w:t>Silvergray Rockfish</w:t>
            </w:r>
          </w:p>
        </w:tc>
        <w:tc>
          <w:tcPr>
            <w:tcW w:w="2301" w:type="dxa"/>
            <w:tcBorders>
              <w:top w:val="single" w:sz="4" w:space="0" w:color="auto"/>
              <w:left w:val="single" w:sz="4" w:space="0" w:color="auto"/>
              <w:bottom w:val="single" w:sz="4" w:space="0" w:color="auto"/>
              <w:right w:val="single" w:sz="4" w:space="0" w:color="auto"/>
            </w:tcBorders>
          </w:tcPr>
          <w:p w14:paraId="36C1D5EC" w14:textId="3C581A93" w:rsidR="478F00B7" w:rsidRDefault="7134F639" w:rsidP="490425B0">
            <w:pPr>
              <w:spacing w:line="257" w:lineRule="auto"/>
              <w:jc w:val="center"/>
              <w:rPr>
                <w:rFonts w:eastAsia="Arial" w:cs="Arial"/>
              </w:rPr>
            </w:pPr>
            <w:r w:rsidRPr="490425B0">
              <w:rPr>
                <w:rFonts w:eastAsia="Arial" w:cs="Arial"/>
              </w:rPr>
              <w:t>12.9</w:t>
            </w:r>
          </w:p>
        </w:tc>
        <w:tc>
          <w:tcPr>
            <w:tcW w:w="2301" w:type="dxa"/>
            <w:tcBorders>
              <w:top w:val="single" w:sz="4" w:space="0" w:color="auto"/>
              <w:left w:val="single" w:sz="4" w:space="0" w:color="auto"/>
              <w:bottom w:val="single" w:sz="4" w:space="0" w:color="auto"/>
              <w:right w:val="single" w:sz="4" w:space="0" w:color="auto"/>
            </w:tcBorders>
          </w:tcPr>
          <w:p w14:paraId="39B7DC30" w14:textId="1BAF49B4" w:rsidR="478F00B7" w:rsidRDefault="7134F639" w:rsidP="490425B0">
            <w:pPr>
              <w:spacing w:line="257" w:lineRule="auto"/>
              <w:jc w:val="center"/>
              <w:rPr>
                <w:rFonts w:eastAsia="Arial" w:cs="Arial"/>
              </w:rPr>
            </w:pPr>
            <w:r w:rsidRPr="490425B0">
              <w:rPr>
                <w:rFonts w:eastAsia="Arial" w:cs="Arial"/>
              </w:rPr>
              <w:t>12.7</w:t>
            </w:r>
          </w:p>
        </w:tc>
        <w:tc>
          <w:tcPr>
            <w:tcW w:w="2445" w:type="dxa"/>
            <w:tcBorders>
              <w:top w:val="single" w:sz="4" w:space="0" w:color="auto"/>
              <w:left w:val="single" w:sz="4" w:space="0" w:color="auto"/>
              <w:bottom w:val="single" w:sz="4" w:space="0" w:color="auto"/>
              <w:right w:val="single" w:sz="4" w:space="0" w:color="auto"/>
            </w:tcBorders>
          </w:tcPr>
          <w:p w14:paraId="7A369748" w14:textId="3637AF37"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0EDA1F21" w14:textId="2B4943EA" w:rsidR="478F00B7" w:rsidRDefault="7134F639" w:rsidP="490425B0">
            <w:pPr>
              <w:spacing w:line="257" w:lineRule="auto"/>
              <w:jc w:val="center"/>
              <w:rPr>
                <w:rFonts w:eastAsia="Arial" w:cs="Arial"/>
              </w:rPr>
            </w:pPr>
            <w:r w:rsidRPr="490425B0">
              <w:rPr>
                <w:rFonts w:eastAsia="Arial" w:cs="Arial"/>
              </w:rPr>
              <w:t>25.6</w:t>
            </w:r>
          </w:p>
        </w:tc>
      </w:tr>
      <w:tr w:rsidR="00871C10" w:rsidRPr="002C2ECB" w14:paraId="24645650"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807CF" w14:textId="77777777" w:rsidR="00871C10" w:rsidRPr="00233598" w:rsidRDefault="00871C10" w:rsidP="00871C10">
            <w:pPr>
              <w:ind w:left="432"/>
              <w:rPr>
                <w:rFonts w:eastAsia="Times New Roman" w:cs="Arial"/>
              </w:rPr>
            </w:pPr>
            <w:r w:rsidRPr="00233598">
              <w:rPr>
                <w:rFonts w:eastAsia="Times New Roman" w:cs="Arial"/>
              </w:rPr>
              <w:t>Widow Rockfish</w:t>
            </w:r>
          </w:p>
        </w:tc>
        <w:tc>
          <w:tcPr>
            <w:tcW w:w="2301" w:type="dxa"/>
            <w:tcBorders>
              <w:top w:val="single" w:sz="4" w:space="0" w:color="auto"/>
              <w:left w:val="single" w:sz="4" w:space="0" w:color="auto"/>
              <w:bottom w:val="single" w:sz="4" w:space="0" w:color="auto"/>
              <w:right w:val="single" w:sz="4" w:space="0" w:color="auto"/>
            </w:tcBorders>
          </w:tcPr>
          <w:p w14:paraId="593B656F" w14:textId="17DF4FF0" w:rsidR="478F00B7" w:rsidRDefault="7134F639" w:rsidP="490425B0">
            <w:pPr>
              <w:spacing w:line="257" w:lineRule="auto"/>
              <w:jc w:val="center"/>
              <w:rPr>
                <w:rFonts w:eastAsia="Arial" w:cs="Arial"/>
              </w:rPr>
            </w:pPr>
            <w:r w:rsidRPr="490425B0">
              <w:rPr>
                <w:rFonts w:eastAsia="Arial" w:cs="Arial"/>
              </w:rPr>
              <w:t>0.8</w:t>
            </w:r>
          </w:p>
        </w:tc>
        <w:tc>
          <w:tcPr>
            <w:tcW w:w="2301" w:type="dxa"/>
            <w:tcBorders>
              <w:top w:val="single" w:sz="4" w:space="0" w:color="auto"/>
              <w:left w:val="single" w:sz="4" w:space="0" w:color="auto"/>
              <w:bottom w:val="single" w:sz="4" w:space="0" w:color="auto"/>
              <w:right w:val="single" w:sz="4" w:space="0" w:color="auto"/>
            </w:tcBorders>
          </w:tcPr>
          <w:p w14:paraId="0B9A8B69" w14:textId="0E999953"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782D5390" w14:textId="3EE1CAAF"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44552EEF" w14:textId="38A68AD7" w:rsidR="478F00B7" w:rsidRDefault="7134F639" w:rsidP="490425B0">
            <w:pPr>
              <w:spacing w:line="257" w:lineRule="auto"/>
              <w:jc w:val="center"/>
              <w:rPr>
                <w:rFonts w:eastAsia="Arial" w:cs="Arial"/>
              </w:rPr>
            </w:pPr>
            <w:r w:rsidRPr="490425B0">
              <w:rPr>
                <w:rFonts w:eastAsia="Arial" w:cs="Arial"/>
              </w:rPr>
              <w:t>0.8</w:t>
            </w:r>
          </w:p>
        </w:tc>
      </w:tr>
      <w:tr w:rsidR="00871C10" w:rsidRPr="002C2ECB" w14:paraId="1E8B60CB"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C114C" w14:textId="77777777" w:rsidR="00871C10" w:rsidRPr="00233598" w:rsidRDefault="00871C10" w:rsidP="00871C10">
            <w:pPr>
              <w:ind w:left="432"/>
              <w:rPr>
                <w:rFonts w:eastAsia="Times New Roman" w:cs="Arial"/>
              </w:rPr>
            </w:pPr>
            <w:r w:rsidRPr="00233598">
              <w:rPr>
                <w:rFonts w:eastAsia="Times New Roman" w:cs="Arial"/>
              </w:rPr>
              <w:t>Yellowtail Rockfish</w:t>
            </w:r>
          </w:p>
        </w:tc>
        <w:tc>
          <w:tcPr>
            <w:tcW w:w="2301" w:type="dxa"/>
            <w:tcBorders>
              <w:top w:val="single" w:sz="4" w:space="0" w:color="auto"/>
              <w:left w:val="single" w:sz="4" w:space="0" w:color="auto"/>
              <w:bottom w:val="single" w:sz="4" w:space="0" w:color="auto"/>
              <w:right w:val="single" w:sz="4" w:space="0" w:color="auto"/>
            </w:tcBorders>
          </w:tcPr>
          <w:p w14:paraId="3EAB77CC" w14:textId="66C574E9" w:rsidR="478F00B7" w:rsidRDefault="7134F639" w:rsidP="490425B0">
            <w:pPr>
              <w:spacing w:line="257" w:lineRule="auto"/>
              <w:jc w:val="center"/>
              <w:rPr>
                <w:rFonts w:eastAsia="Arial" w:cs="Arial"/>
              </w:rPr>
            </w:pPr>
            <w:r w:rsidRPr="490425B0">
              <w:rPr>
                <w:rFonts w:eastAsia="Arial" w:cs="Arial"/>
              </w:rPr>
              <w:t>5.7</w:t>
            </w:r>
          </w:p>
        </w:tc>
        <w:tc>
          <w:tcPr>
            <w:tcW w:w="2301" w:type="dxa"/>
            <w:tcBorders>
              <w:top w:val="single" w:sz="4" w:space="0" w:color="auto"/>
              <w:left w:val="single" w:sz="4" w:space="0" w:color="auto"/>
              <w:bottom w:val="single" w:sz="4" w:space="0" w:color="auto"/>
              <w:right w:val="single" w:sz="4" w:space="0" w:color="auto"/>
            </w:tcBorders>
          </w:tcPr>
          <w:p w14:paraId="5D1868AA" w14:textId="5A122C48" w:rsidR="478F00B7" w:rsidRDefault="7134F639" w:rsidP="490425B0">
            <w:pPr>
              <w:spacing w:line="257" w:lineRule="auto"/>
              <w:jc w:val="center"/>
              <w:rPr>
                <w:rFonts w:eastAsia="Arial" w:cs="Arial"/>
              </w:rPr>
            </w:pPr>
            <w:r w:rsidRPr="490425B0">
              <w:rPr>
                <w:rFonts w:eastAsia="Arial" w:cs="Arial"/>
              </w:rPr>
              <w:t>2</w:t>
            </w:r>
          </w:p>
        </w:tc>
        <w:tc>
          <w:tcPr>
            <w:tcW w:w="2445" w:type="dxa"/>
            <w:tcBorders>
              <w:top w:val="single" w:sz="4" w:space="0" w:color="auto"/>
              <w:left w:val="single" w:sz="4" w:space="0" w:color="auto"/>
              <w:bottom w:val="single" w:sz="4" w:space="0" w:color="auto"/>
              <w:right w:val="single" w:sz="4" w:space="0" w:color="auto"/>
            </w:tcBorders>
          </w:tcPr>
          <w:p w14:paraId="3831EE2E" w14:textId="7D82B96C"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525CAF18" w14:textId="7A3E1E70" w:rsidR="478F00B7" w:rsidRDefault="7134F639" w:rsidP="490425B0">
            <w:pPr>
              <w:spacing w:line="257" w:lineRule="auto"/>
              <w:jc w:val="center"/>
              <w:rPr>
                <w:rFonts w:eastAsia="Arial" w:cs="Arial"/>
              </w:rPr>
            </w:pPr>
            <w:r w:rsidRPr="490425B0">
              <w:rPr>
                <w:rFonts w:eastAsia="Arial" w:cs="Arial"/>
              </w:rPr>
              <w:t>7.7</w:t>
            </w:r>
          </w:p>
        </w:tc>
      </w:tr>
      <w:tr w:rsidR="00871C10" w:rsidRPr="002C2ECB" w14:paraId="0ABA7008"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83826" w14:textId="77777777" w:rsidR="00871C10" w:rsidRPr="00233598" w:rsidRDefault="00871C10" w:rsidP="00871C10">
            <w:pPr>
              <w:ind w:left="432"/>
              <w:rPr>
                <w:rFonts w:eastAsia="Times New Roman" w:cs="Arial"/>
              </w:rPr>
            </w:pPr>
            <w:r w:rsidRPr="00233598">
              <w:rPr>
                <w:rFonts w:eastAsia="Times New Roman" w:cs="Arial"/>
              </w:rPr>
              <w:t>Quillback Rockfish</w:t>
            </w:r>
          </w:p>
        </w:tc>
        <w:tc>
          <w:tcPr>
            <w:tcW w:w="2301" w:type="dxa"/>
            <w:tcBorders>
              <w:top w:val="single" w:sz="4" w:space="0" w:color="auto"/>
              <w:left w:val="single" w:sz="4" w:space="0" w:color="auto"/>
              <w:bottom w:val="single" w:sz="4" w:space="0" w:color="auto"/>
              <w:right w:val="single" w:sz="4" w:space="0" w:color="auto"/>
            </w:tcBorders>
          </w:tcPr>
          <w:p w14:paraId="50B1EBF4" w14:textId="7B5B5F92" w:rsidR="478F00B7" w:rsidRDefault="7134F639" w:rsidP="490425B0">
            <w:pPr>
              <w:spacing w:line="257" w:lineRule="auto"/>
              <w:jc w:val="center"/>
              <w:rPr>
                <w:rFonts w:eastAsia="Arial" w:cs="Arial"/>
              </w:rPr>
            </w:pPr>
            <w:r w:rsidRPr="490425B0">
              <w:rPr>
                <w:rFonts w:eastAsia="Arial" w:cs="Arial"/>
              </w:rPr>
              <w:t>0.0</w:t>
            </w:r>
          </w:p>
        </w:tc>
        <w:tc>
          <w:tcPr>
            <w:tcW w:w="2301" w:type="dxa"/>
            <w:tcBorders>
              <w:top w:val="single" w:sz="4" w:space="0" w:color="auto"/>
              <w:left w:val="single" w:sz="4" w:space="0" w:color="auto"/>
              <w:bottom w:val="single" w:sz="4" w:space="0" w:color="auto"/>
              <w:right w:val="single" w:sz="4" w:space="0" w:color="auto"/>
            </w:tcBorders>
          </w:tcPr>
          <w:p w14:paraId="20F3E21D" w14:textId="51985D4C" w:rsidR="478F00B7" w:rsidRDefault="7134F639" w:rsidP="490425B0">
            <w:pPr>
              <w:spacing w:line="257" w:lineRule="auto"/>
              <w:jc w:val="center"/>
              <w:rPr>
                <w:rFonts w:eastAsia="Arial" w:cs="Arial"/>
              </w:rPr>
            </w:pPr>
            <w:r w:rsidRPr="490425B0">
              <w:rPr>
                <w:rFonts w:eastAsia="Arial" w:cs="Arial"/>
              </w:rPr>
              <w:t>5.8</w:t>
            </w:r>
          </w:p>
        </w:tc>
        <w:tc>
          <w:tcPr>
            <w:tcW w:w="2445" w:type="dxa"/>
            <w:tcBorders>
              <w:top w:val="single" w:sz="4" w:space="0" w:color="auto"/>
              <w:left w:val="single" w:sz="4" w:space="0" w:color="auto"/>
              <w:bottom w:val="single" w:sz="4" w:space="0" w:color="auto"/>
              <w:right w:val="single" w:sz="4" w:space="0" w:color="auto"/>
            </w:tcBorders>
          </w:tcPr>
          <w:p w14:paraId="768FA644" w14:textId="59B06FE5"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5E87105D" w14:textId="35BDC4A6" w:rsidR="478F00B7" w:rsidRDefault="7134F639" w:rsidP="490425B0">
            <w:pPr>
              <w:spacing w:line="257" w:lineRule="auto"/>
              <w:jc w:val="center"/>
              <w:rPr>
                <w:rFonts w:eastAsia="Arial" w:cs="Arial"/>
              </w:rPr>
            </w:pPr>
            <w:r w:rsidRPr="490425B0">
              <w:rPr>
                <w:rFonts w:eastAsia="Arial" w:cs="Arial"/>
              </w:rPr>
              <w:t>5.8</w:t>
            </w:r>
          </w:p>
        </w:tc>
      </w:tr>
      <w:tr w:rsidR="00871C10" w:rsidRPr="002C2ECB" w14:paraId="174872E7"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95601" w14:textId="77777777" w:rsidR="00871C10" w:rsidRPr="00233598" w:rsidRDefault="00871C10" w:rsidP="00871C10">
            <w:pPr>
              <w:ind w:left="432"/>
              <w:rPr>
                <w:rFonts w:eastAsia="Times New Roman" w:cs="Arial"/>
              </w:rPr>
            </w:pPr>
            <w:r w:rsidRPr="00233598">
              <w:rPr>
                <w:rFonts w:eastAsia="Times New Roman" w:cs="Arial"/>
              </w:rPr>
              <w:t>Bocaccio</w:t>
            </w:r>
          </w:p>
        </w:tc>
        <w:tc>
          <w:tcPr>
            <w:tcW w:w="2301" w:type="dxa"/>
            <w:tcBorders>
              <w:top w:val="single" w:sz="4" w:space="0" w:color="auto"/>
              <w:left w:val="single" w:sz="4" w:space="0" w:color="auto"/>
              <w:bottom w:val="single" w:sz="4" w:space="0" w:color="auto"/>
              <w:right w:val="single" w:sz="4" w:space="0" w:color="auto"/>
            </w:tcBorders>
          </w:tcPr>
          <w:p w14:paraId="315DC261" w14:textId="755569F8" w:rsidR="478F00B7" w:rsidRDefault="7134F639" w:rsidP="490425B0">
            <w:pPr>
              <w:spacing w:line="257" w:lineRule="auto"/>
              <w:jc w:val="center"/>
              <w:rPr>
                <w:rFonts w:eastAsia="Arial" w:cs="Arial"/>
              </w:rPr>
            </w:pPr>
            <w:r w:rsidRPr="490425B0">
              <w:rPr>
                <w:rFonts w:eastAsia="Arial" w:cs="Arial"/>
              </w:rPr>
              <w:t>2.8</w:t>
            </w:r>
          </w:p>
        </w:tc>
        <w:tc>
          <w:tcPr>
            <w:tcW w:w="2301" w:type="dxa"/>
            <w:tcBorders>
              <w:top w:val="single" w:sz="4" w:space="0" w:color="auto"/>
              <w:left w:val="single" w:sz="4" w:space="0" w:color="auto"/>
              <w:bottom w:val="single" w:sz="4" w:space="0" w:color="auto"/>
              <w:right w:val="single" w:sz="4" w:space="0" w:color="auto"/>
            </w:tcBorders>
          </w:tcPr>
          <w:p w14:paraId="47ACD427" w14:textId="02F2979F"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6A45F440" w14:textId="3514658F"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0B7A6D78" w14:textId="59ED8AB6" w:rsidR="478F00B7" w:rsidRDefault="7134F639" w:rsidP="490425B0">
            <w:pPr>
              <w:spacing w:line="257" w:lineRule="auto"/>
              <w:jc w:val="center"/>
              <w:rPr>
                <w:rFonts w:eastAsia="Arial" w:cs="Arial"/>
              </w:rPr>
            </w:pPr>
            <w:r w:rsidRPr="490425B0">
              <w:rPr>
                <w:rFonts w:eastAsia="Arial" w:cs="Arial"/>
              </w:rPr>
              <w:t>2.8</w:t>
            </w:r>
          </w:p>
        </w:tc>
      </w:tr>
      <w:tr w:rsidR="00871C10" w:rsidRPr="002C2ECB" w14:paraId="4C67C8DB"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0F2CD" w14:textId="77777777" w:rsidR="00871C10" w:rsidRPr="00233598" w:rsidRDefault="00871C10" w:rsidP="00871C10">
            <w:pPr>
              <w:ind w:left="432"/>
              <w:rPr>
                <w:rFonts w:eastAsia="Times New Roman" w:cs="Arial"/>
              </w:rPr>
            </w:pPr>
            <w:r w:rsidRPr="00233598">
              <w:rPr>
                <w:rFonts w:eastAsia="Times New Roman" w:cs="Arial"/>
              </w:rPr>
              <w:t>Canary Rockfish</w:t>
            </w:r>
          </w:p>
        </w:tc>
        <w:tc>
          <w:tcPr>
            <w:tcW w:w="2301" w:type="dxa"/>
            <w:tcBorders>
              <w:top w:val="single" w:sz="4" w:space="0" w:color="auto"/>
              <w:left w:val="single" w:sz="4" w:space="0" w:color="auto"/>
              <w:bottom w:val="single" w:sz="4" w:space="0" w:color="auto"/>
              <w:right w:val="single" w:sz="4" w:space="0" w:color="auto"/>
            </w:tcBorders>
          </w:tcPr>
          <w:p w14:paraId="3A30D3D8" w14:textId="18D3BA44" w:rsidR="478F00B7" w:rsidRDefault="7134F639" w:rsidP="490425B0">
            <w:pPr>
              <w:spacing w:line="257" w:lineRule="auto"/>
              <w:jc w:val="center"/>
              <w:rPr>
                <w:rFonts w:eastAsia="Arial" w:cs="Arial"/>
              </w:rPr>
            </w:pPr>
            <w:r w:rsidRPr="490425B0">
              <w:rPr>
                <w:rFonts w:eastAsia="Arial" w:cs="Arial"/>
              </w:rPr>
              <w:t>7.5</w:t>
            </w:r>
          </w:p>
        </w:tc>
        <w:tc>
          <w:tcPr>
            <w:tcW w:w="2301" w:type="dxa"/>
            <w:tcBorders>
              <w:top w:val="single" w:sz="4" w:space="0" w:color="auto"/>
              <w:left w:val="single" w:sz="4" w:space="0" w:color="auto"/>
              <w:bottom w:val="single" w:sz="4" w:space="0" w:color="auto"/>
              <w:right w:val="single" w:sz="4" w:space="0" w:color="auto"/>
            </w:tcBorders>
          </w:tcPr>
          <w:p w14:paraId="2F0911F6" w14:textId="59049CA6" w:rsidR="478F00B7" w:rsidRDefault="7134F639" w:rsidP="490425B0">
            <w:pPr>
              <w:spacing w:line="257" w:lineRule="auto"/>
              <w:jc w:val="center"/>
              <w:rPr>
                <w:rFonts w:eastAsia="Arial" w:cs="Arial"/>
              </w:rPr>
            </w:pPr>
            <w:r w:rsidRPr="490425B0">
              <w:rPr>
                <w:rFonts w:eastAsia="Arial" w:cs="Arial"/>
              </w:rPr>
              <w:t>6.5</w:t>
            </w:r>
          </w:p>
        </w:tc>
        <w:tc>
          <w:tcPr>
            <w:tcW w:w="2445" w:type="dxa"/>
            <w:tcBorders>
              <w:top w:val="single" w:sz="4" w:space="0" w:color="auto"/>
              <w:left w:val="single" w:sz="4" w:space="0" w:color="auto"/>
              <w:bottom w:val="single" w:sz="4" w:space="0" w:color="auto"/>
              <w:right w:val="single" w:sz="4" w:space="0" w:color="auto"/>
            </w:tcBorders>
          </w:tcPr>
          <w:p w14:paraId="28DA561A" w14:textId="5A32A1FD"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3F677FD5" w14:textId="3CAD65E1" w:rsidR="478F00B7" w:rsidRDefault="7134F639" w:rsidP="490425B0">
            <w:pPr>
              <w:spacing w:line="257" w:lineRule="auto"/>
              <w:jc w:val="center"/>
              <w:rPr>
                <w:rFonts w:eastAsia="Arial" w:cs="Arial"/>
              </w:rPr>
            </w:pPr>
            <w:r w:rsidRPr="490425B0">
              <w:rPr>
                <w:rFonts w:eastAsia="Arial" w:cs="Arial"/>
              </w:rPr>
              <w:t>14.0</w:t>
            </w:r>
          </w:p>
        </w:tc>
      </w:tr>
      <w:tr w:rsidR="00871C10" w:rsidRPr="002C2ECB" w14:paraId="39906350"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FD15E" w14:textId="77777777" w:rsidR="00871C10" w:rsidRPr="00233598" w:rsidRDefault="00871C10" w:rsidP="00871C10">
            <w:pPr>
              <w:ind w:left="432"/>
              <w:rPr>
                <w:rFonts w:eastAsia="Times New Roman" w:cs="Arial"/>
              </w:rPr>
            </w:pPr>
            <w:r w:rsidRPr="00233598">
              <w:rPr>
                <w:rFonts w:eastAsia="Times New Roman" w:cs="Arial"/>
              </w:rPr>
              <w:t>Redstripe Rockfish</w:t>
            </w:r>
          </w:p>
        </w:tc>
        <w:tc>
          <w:tcPr>
            <w:tcW w:w="2301" w:type="dxa"/>
            <w:tcBorders>
              <w:top w:val="single" w:sz="4" w:space="0" w:color="auto"/>
              <w:left w:val="single" w:sz="4" w:space="0" w:color="auto"/>
              <w:bottom w:val="single" w:sz="4" w:space="0" w:color="auto"/>
              <w:right w:val="single" w:sz="4" w:space="0" w:color="auto"/>
            </w:tcBorders>
          </w:tcPr>
          <w:p w14:paraId="159EF5E4" w14:textId="6D3C2B3B" w:rsidR="478F00B7" w:rsidRDefault="7134F639" w:rsidP="490425B0">
            <w:pPr>
              <w:spacing w:line="257" w:lineRule="auto"/>
              <w:jc w:val="center"/>
              <w:rPr>
                <w:rFonts w:eastAsia="Arial" w:cs="Arial"/>
              </w:rPr>
            </w:pPr>
            <w:r w:rsidRPr="490425B0">
              <w:rPr>
                <w:rFonts w:eastAsia="Arial" w:cs="Arial"/>
              </w:rPr>
              <w:t>14.6</w:t>
            </w:r>
          </w:p>
        </w:tc>
        <w:tc>
          <w:tcPr>
            <w:tcW w:w="2301" w:type="dxa"/>
            <w:tcBorders>
              <w:top w:val="single" w:sz="4" w:space="0" w:color="auto"/>
              <w:left w:val="single" w:sz="4" w:space="0" w:color="auto"/>
              <w:bottom w:val="single" w:sz="4" w:space="0" w:color="auto"/>
              <w:right w:val="single" w:sz="4" w:space="0" w:color="auto"/>
            </w:tcBorders>
          </w:tcPr>
          <w:p w14:paraId="797B9F10" w14:textId="31466F31"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53A6618F" w14:textId="255AFDCA"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28FF5544" w14:textId="2F1B9A1F" w:rsidR="478F00B7" w:rsidRDefault="7134F639" w:rsidP="490425B0">
            <w:pPr>
              <w:spacing w:line="257" w:lineRule="auto"/>
              <w:jc w:val="center"/>
              <w:rPr>
                <w:rFonts w:eastAsia="Arial" w:cs="Arial"/>
              </w:rPr>
            </w:pPr>
            <w:r w:rsidRPr="490425B0">
              <w:rPr>
                <w:rFonts w:eastAsia="Arial" w:cs="Arial"/>
              </w:rPr>
              <w:t>14.6</w:t>
            </w:r>
          </w:p>
        </w:tc>
      </w:tr>
      <w:tr w:rsidR="00871C10" w:rsidRPr="002C2ECB" w14:paraId="06906A73"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6975" w14:textId="77777777" w:rsidR="00871C10" w:rsidRPr="00233598" w:rsidRDefault="00871C10" w:rsidP="00871C10">
            <w:pPr>
              <w:ind w:left="432"/>
              <w:rPr>
                <w:rFonts w:eastAsia="Times New Roman" w:cs="Arial"/>
              </w:rPr>
            </w:pPr>
            <w:r w:rsidRPr="00233598">
              <w:rPr>
                <w:rFonts w:eastAsia="Times New Roman" w:cs="Arial"/>
              </w:rPr>
              <w:t>Yellowmouth Rockfish</w:t>
            </w:r>
          </w:p>
        </w:tc>
        <w:tc>
          <w:tcPr>
            <w:tcW w:w="2301" w:type="dxa"/>
            <w:tcBorders>
              <w:top w:val="single" w:sz="4" w:space="0" w:color="auto"/>
              <w:left w:val="single" w:sz="4" w:space="0" w:color="auto"/>
              <w:bottom w:val="single" w:sz="4" w:space="0" w:color="auto"/>
              <w:right w:val="single" w:sz="4" w:space="0" w:color="auto"/>
            </w:tcBorders>
          </w:tcPr>
          <w:p w14:paraId="5B0E3DFF" w14:textId="61D81399" w:rsidR="478F00B7" w:rsidRDefault="7134F639" w:rsidP="490425B0">
            <w:pPr>
              <w:spacing w:line="257" w:lineRule="auto"/>
              <w:jc w:val="center"/>
              <w:rPr>
                <w:rFonts w:eastAsia="Arial" w:cs="Arial"/>
              </w:rPr>
            </w:pPr>
            <w:r w:rsidRPr="490425B0">
              <w:rPr>
                <w:rFonts w:eastAsia="Arial" w:cs="Arial"/>
              </w:rPr>
              <w:t>7.2</w:t>
            </w:r>
          </w:p>
        </w:tc>
        <w:tc>
          <w:tcPr>
            <w:tcW w:w="2301" w:type="dxa"/>
            <w:tcBorders>
              <w:top w:val="single" w:sz="4" w:space="0" w:color="auto"/>
              <w:left w:val="single" w:sz="4" w:space="0" w:color="auto"/>
              <w:bottom w:val="single" w:sz="4" w:space="0" w:color="auto"/>
              <w:right w:val="single" w:sz="4" w:space="0" w:color="auto"/>
            </w:tcBorders>
          </w:tcPr>
          <w:p w14:paraId="74841969" w14:textId="1FB4B2FB" w:rsidR="478F00B7" w:rsidRDefault="7134F639" w:rsidP="490425B0">
            <w:pPr>
              <w:spacing w:line="257" w:lineRule="auto"/>
              <w:jc w:val="center"/>
              <w:rPr>
                <w:rFonts w:eastAsia="Arial" w:cs="Arial"/>
              </w:rPr>
            </w:pPr>
            <w:r w:rsidRPr="490425B0">
              <w:rPr>
                <w:rFonts w:eastAsia="Arial" w:cs="Arial"/>
              </w:rPr>
              <w:t>3.0</w:t>
            </w:r>
          </w:p>
        </w:tc>
        <w:tc>
          <w:tcPr>
            <w:tcW w:w="2445" w:type="dxa"/>
            <w:tcBorders>
              <w:top w:val="single" w:sz="4" w:space="0" w:color="auto"/>
              <w:left w:val="single" w:sz="4" w:space="0" w:color="auto"/>
              <w:bottom w:val="single" w:sz="4" w:space="0" w:color="auto"/>
              <w:right w:val="single" w:sz="4" w:space="0" w:color="auto"/>
            </w:tcBorders>
          </w:tcPr>
          <w:p w14:paraId="0CB5B94A" w14:textId="45DE0658"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41B6AB4C" w14:textId="11303858" w:rsidR="478F00B7" w:rsidRDefault="7134F639" w:rsidP="490425B0">
            <w:pPr>
              <w:spacing w:line="257" w:lineRule="auto"/>
              <w:jc w:val="center"/>
              <w:rPr>
                <w:rFonts w:eastAsia="Arial" w:cs="Arial"/>
              </w:rPr>
            </w:pPr>
            <w:r w:rsidRPr="490425B0">
              <w:rPr>
                <w:rFonts w:eastAsia="Arial" w:cs="Arial"/>
              </w:rPr>
              <w:t>10.2</w:t>
            </w:r>
          </w:p>
        </w:tc>
      </w:tr>
      <w:tr w:rsidR="00871C10" w:rsidRPr="002C2ECB" w14:paraId="7D8E2404"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1F9CA" w14:textId="77777777" w:rsidR="00871C10" w:rsidRPr="00233598" w:rsidRDefault="00871C10" w:rsidP="00871C10">
            <w:pPr>
              <w:ind w:left="432"/>
              <w:rPr>
                <w:rFonts w:eastAsia="Times New Roman" w:cs="Arial"/>
              </w:rPr>
            </w:pPr>
            <w:r w:rsidRPr="00233598">
              <w:rPr>
                <w:rFonts w:eastAsia="Times New Roman" w:cs="Arial"/>
              </w:rPr>
              <w:t>Yelloweye Rockfish</w:t>
            </w:r>
          </w:p>
        </w:tc>
        <w:tc>
          <w:tcPr>
            <w:tcW w:w="2301" w:type="dxa"/>
            <w:tcBorders>
              <w:top w:val="single" w:sz="4" w:space="0" w:color="auto"/>
              <w:left w:val="single" w:sz="4" w:space="0" w:color="auto"/>
              <w:bottom w:val="single" w:sz="4" w:space="0" w:color="auto"/>
              <w:right w:val="single" w:sz="4" w:space="0" w:color="auto"/>
            </w:tcBorders>
          </w:tcPr>
          <w:p w14:paraId="291A778B" w14:textId="27E7BEE0" w:rsidR="478F00B7" w:rsidRDefault="7134F639" w:rsidP="490425B0">
            <w:pPr>
              <w:spacing w:line="257" w:lineRule="auto"/>
              <w:jc w:val="center"/>
              <w:rPr>
                <w:rFonts w:eastAsia="Arial" w:cs="Arial"/>
              </w:rPr>
            </w:pPr>
            <w:r w:rsidRPr="490425B0">
              <w:rPr>
                <w:rFonts w:eastAsia="Arial" w:cs="Arial"/>
              </w:rPr>
              <w:t>0.1</w:t>
            </w:r>
          </w:p>
        </w:tc>
        <w:tc>
          <w:tcPr>
            <w:tcW w:w="2301" w:type="dxa"/>
            <w:tcBorders>
              <w:top w:val="single" w:sz="4" w:space="0" w:color="auto"/>
              <w:left w:val="single" w:sz="4" w:space="0" w:color="auto"/>
              <w:bottom w:val="single" w:sz="4" w:space="0" w:color="auto"/>
              <w:right w:val="single" w:sz="4" w:space="0" w:color="auto"/>
            </w:tcBorders>
          </w:tcPr>
          <w:p w14:paraId="5AD5F4F1" w14:textId="3E68A84C" w:rsidR="478F00B7" w:rsidRDefault="7134F639" w:rsidP="490425B0">
            <w:pPr>
              <w:spacing w:line="257" w:lineRule="auto"/>
              <w:jc w:val="center"/>
              <w:rPr>
                <w:rFonts w:eastAsia="Arial" w:cs="Arial"/>
              </w:rPr>
            </w:pPr>
            <w:r w:rsidRPr="490425B0">
              <w:rPr>
                <w:rFonts w:eastAsia="Arial" w:cs="Arial"/>
              </w:rPr>
              <w:t>16.4</w:t>
            </w:r>
          </w:p>
        </w:tc>
        <w:tc>
          <w:tcPr>
            <w:tcW w:w="2445" w:type="dxa"/>
            <w:tcBorders>
              <w:top w:val="single" w:sz="4" w:space="0" w:color="auto"/>
              <w:left w:val="single" w:sz="4" w:space="0" w:color="auto"/>
              <w:bottom w:val="single" w:sz="4" w:space="0" w:color="auto"/>
              <w:right w:val="single" w:sz="4" w:space="0" w:color="auto"/>
            </w:tcBorders>
          </w:tcPr>
          <w:p w14:paraId="548B5C49" w14:textId="03CE8848"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0FB7C327" w14:textId="12D0691F" w:rsidR="478F00B7" w:rsidRDefault="7134F639" w:rsidP="490425B0">
            <w:pPr>
              <w:spacing w:line="257" w:lineRule="auto"/>
              <w:jc w:val="center"/>
              <w:rPr>
                <w:rFonts w:eastAsia="Arial" w:cs="Arial"/>
              </w:rPr>
            </w:pPr>
            <w:r w:rsidRPr="490425B0">
              <w:rPr>
                <w:rFonts w:eastAsia="Arial" w:cs="Arial"/>
              </w:rPr>
              <w:t>16.5</w:t>
            </w:r>
          </w:p>
        </w:tc>
      </w:tr>
      <w:tr w:rsidR="00871C10" w:rsidRPr="002C2ECB" w14:paraId="348B54F5"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B10E0" w14:textId="77777777" w:rsidR="00871C10" w:rsidRPr="00233598" w:rsidRDefault="00871C10" w:rsidP="00871C10">
            <w:pPr>
              <w:ind w:left="720" w:hanging="288"/>
              <w:rPr>
                <w:rFonts w:eastAsia="Times New Roman" w:cs="Arial"/>
              </w:rPr>
            </w:pPr>
            <w:r w:rsidRPr="00233598">
              <w:rPr>
                <w:rFonts w:eastAsia="Times New Roman" w:cs="Arial"/>
              </w:rPr>
              <w:t>Copper, China, And Tiger Rockfish</w:t>
            </w:r>
          </w:p>
        </w:tc>
        <w:tc>
          <w:tcPr>
            <w:tcW w:w="2301" w:type="dxa"/>
            <w:tcBorders>
              <w:top w:val="single" w:sz="4" w:space="0" w:color="auto"/>
              <w:left w:val="single" w:sz="4" w:space="0" w:color="auto"/>
              <w:bottom w:val="single" w:sz="4" w:space="0" w:color="auto"/>
              <w:right w:val="single" w:sz="4" w:space="0" w:color="auto"/>
            </w:tcBorders>
          </w:tcPr>
          <w:p w14:paraId="18476569" w14:textId="0D69674D" w:rsidR="478F00B7" w:rsidRDefault="7134F639" w:rsidP="490425B0">
            <w:pPr>
              <w:spacing w:line="257" w:lineRule="auto"/>
              <w:jc w:val="center"/>
              <w:rPr>
                <w:rFonts w:eastAsia="Arial" w:cs="Arial"/>
              </w:rPr>
            </w:pPr>
            <w:r w:rsidRPr="490425B0">
              <w:rPr>
                <w:rFonts w:eastAsia="Arial" w:cs="Arial"/>
              </w:rPr>
              <w:t>0.0</w:t>
            </w:r>
          </w:p>
        </w:tc>
        <w:tc>
          <w:tcPr>
            <w:tcW w:w="2301" w:type="dxa"/>
            <w:tcBorders>
              <w:top w:val="single" w:sz="4" w:space="0" w:color="auto"/>
              <w:left w:val="single" w:sz="4" w:space="0" w:color="auto"/>
              <w:bottom w:val="single" w:sz="4" w:space="0" w:color="auto"/>
              <w:right w:val="single" w:sz="4" w:space="0" w:color="auto"/>
            </w:tcBorders>
          </w:tcPr>
          <w:p w14:paraId="3093A86F" w14:textId="396A8C4C" w:rsidR="478F00B7" w:rsidRDefault="7134F639" w:rsidP="490425B0">
            <w:pPr>
              <w:spacing w:line="257" w:lineRule="auto"/>
              <w:jc w:val="center"/>
              <w:rPr>
                <w:rFonts w:eastAsia="Arial" w:cs="Arial"/>
              </w:rPr>
            </w:pPr>
            <w:r w:rsidRPr="490425B0">
              <w:rPr>
                <w:rFonts w:eastAsia="Arial" w:cs="Arial"/>
              </w:rPr>
              <w:t>2.8</w:t>
            </w:r>
          </w:p>
        </w:tc>
        <w:tc>
          <w:tcPr>
            <w:tcW w:w="2445" w:type="dxa"/>
            <w:tcBorders>
              <w:top w:val="single" w:sz="4" w:space="0" w:color="auto"/>
              <w:left w:val="single" w:sz="4" w:space="0" w:color="auto"/>
              <w:bottom w:val="single" w:sz="4" w:space="0" w:color="auto"/>
              <w:right w:val="single" w:sz="4" w:space="0" w:color="auto"/>
            </w:tcBorders>
          </w:tcPr>
          <w:p w14:paraId="16234F67" w14:textId="653BD750"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13241CBF" w14:textId="7CB0380D" w:rsidR="478F00B7" w:rsidRDefault="7134F639" w:rsidP="490425B0">
            <w:pPr>
              <w:spacing w:line="257" w:lineRule="auto"/>
              <w:jc w:val="center"/>
              <w:rPr>
                <w:rFonts w:eastAsia="Arial" w:cs="Arial"/>
              </w:rPr>
            </w:pPr>
            <w:r w:rsidRPr="490425B0">
              <w:rPr>
                <w:rFonts w:eastAsia="Arial" w:cs="Arial"/>
              </w:rPr>
              <w:t>2.8</w:t>
            </w:r>
          </w:p>
        </w:tc>
      </w:tr>
      <w:tr w:rsidR="00871C10" w:rsidRPr="00E54742" w14:paraId="0415D98B"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E202F" w14:textId="77777777" w:rsidR="00871C10" w:rsidRPr="00233598" w:rsidRDefault="00871C10" w:rsidP="00871C10">
            <w:pPr>
              <w:rPr>
                <w:rFonts w:eastAsia="Times New Roman" w:cs="Arial"/>
                <w:i/>
              </w:rPr>
            </w:pPr>
            <w:proofErr w:type="spellStart"/>
            <w:r w:rsidRPr="00233598">
              <w:rPr>
                <w:rFonts w:eastAsia="Times New Roman" w:cs="Arial"/>
                <w:i/>
              </w:rPr>
              <w:t>Thornyheads</w:t>
            </w:r>
            <w:proofErr w:type="spellEnd"/>
          </w:p>
        </w:tc>
        <w:tc>
          <w:tcPr>
            <w:tcW w:w="2301" w:type="dxa"/>
            <w:tcBorders>
              <w:top w:val="single" w:sz="4" w:space="0" w:color="auto"/>
              <w:left w:val="single" w:sz="4" w:space="0" w:color="auto"/>
              <w:bottom w:val="single" w:sz="4" w:space="0" w:color="auto"/>
              <w:right w:val="single" w:sz="4" w:space="0" w:color="auto"/>
            </w:tcBorders>
          </w:tcPr>
          <w:p w14:paraId="2292CB2F" w14:textId="4DB5DE80" w:rsidR="478F00B7" w:rsidRDefault="7134F639" w:rsidP="490425B0">
            <w:pPr>
              <w:spacing w:line="257" w:lineRule="auto"/>
              <w:jc w:val="center"/>
              <w:rPr>
                <w:rFonts w:eastAsia="Arial" w:cs="Arial"/>
              </w:rPr>
            </w:pPr>
            <w:r w:rsidRPr="490425B0">
              <w:rPr>
                <w:rFonts w:eastAsia="Arial" w:cs="Arial"/>
              </w:rPr>
              <w:t xml:space="preserve"> </w:t>
            </w:r>
          </w:p>
        </w:tc>
        <w:tc>
          <w:tcPr>
            <w:tcW w:w="2301" w:type="dxa"/>
            <w:tcBorders>
              <w:top w:val="single" w:sz="4" w:space="0" w:color="auto"/>
              <w:left w:val="single" w:sz="4" w:space="0" w:color="auto"/>
              <w:bottom w:val="single" w:sz="4" w:space="0" w:color="auto"/>
              <w:right w:val="single" w:sz="4" w:space="0" w:color="auto"/>
            </w:tcBorders>
          </w:tcPr>
          <w:p w14:paraId="6D2A348C" w14:textId="7A4D2330" w:rsidR="478F00B7" w:rsidRDefault="7134F639" w:rsidP="490425B0">
            <w:pPr>
              <w:spacing w:line="257" w:lineRule="auto"/>
              <w:jc w:val="center"/>
              <w:rPr>
                <w:rFonts w:eastAsia="Arial" w:cs="Arial"/>
              </w:rPr>
            </w:pPr>
            <w:r w:rsidRPr="490425B0">
              <w:rPr>
                <w:rFonts w:eastAsia="Arial" w:cs="Arial"/>
              </w:rPr>
              <w:t xml:space="preserve"> </w:t>
            </w:r>
          </w:p>
        </w:tc>
        <w:tc>
          <w:tcPr>
            <w:tcW w:w="2445" w:type="dxa"/>
            <w:tcBorders>
              <w:top w:val="single" w:sz="4" w:space="0" w:color="auto"/>
              <w:left w:val="single" w:sz="4" w:space="0" w:color="auto"/>
              <w:bottom w:val="single" w:sz="4" w:space="0" w:color="auto"/>
              <w:right w:val="single" w:sz="4" w:space="0" w:color="auto"/>
            </w:tcBorders>
          </w:tcPr>
          <w:p w14:paraId="5D1C458C" w14:textId="1ECD87FA" w:rsidR="478F00B7" w:rsidRDefault="7134F639" w:rsidP="490425B0">
            <w:pPr>
              <w:spacing w:line="257" w:lineRule="auto"/>
              <w:jc w:val="center"/>
              <w:rPr>
                <w:rFonts w:eastAsia="Arial" w:cs="Arial"/>
              </w:rPr>
            </w:pPr>
            <w:r w:rsidRPr="490425B0">
              <w:rPr>
                <w:rFonts w:eastAsia="Arial" w:cs="Arial"/>
              </w:rPr>
              <w:t xml:space="preserve"> </w:t>
            </w:r>
          </w:p>
        </w:tc>
        <w:tc>
          <w:tcPr>
            <w:tcW w:w="2300" w:type="dxa"/>
            <w:tcBorders>
              <w:top w:val="single" w:sz="4" w:space="0" w:color="auto"/>
              <w:left w:val="single" w:sz="4" w:space="0" w:color="auto"/>
              <w:bottom w:val="single" w:sz="4" w:space="0" w:color="auto"/>
              <w:right w:val="single" w:sz="4" w:space="0" w:color="auto"/>
            </w:tcBorders>
          </w:tcPr>
          <w:p w14:paraId="7857616F" w14:textId="05D092EE" w:rsidR="478F00B7" w:rsidRDefault="7134F639" w:rsidP="490425B0">
            <w:pPr>
              <w:spacing w:line="257" w:lineRule="auto"/>
              <w:jc w:val="center"/>
              <w:rPr>
                <w:rFonts w:eastAsia="Arial" w:cs="Arial"/>
              </w:rPr>
            </w:pPr>
            <w:r w:rsidRPr="490425B0">
              <w:rPr>
                <w:rFonts w:eastAsia="Arial" w:cs="Arial"/>
              </w:rPr>
              <w:t xml:space="preserve"> </w:t>
            </w:r>
          </w:p>
        </w:tc>
      </w:tr>
      <w:tr w:rsidR="00871C10" w:rsidRPr="002C2ECB" w14:paraId="4F293CD2"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57709" w14:textId="77777777" w:rsidR="00871C10" w:rsidRPr="00233598" w:rsidRDefault="00871C10" w:rsidP="00871C10">
            <w:pPr>
              <w:ind w:left="432"/>
              <w:rPr>
                <w:rFonts w:eastAsia="Times New Roman" w:cs="Arial"/>
              </w:rPr>
            </w:pPr>
            <w:r w:rsidRPr="00233598">
              <w:rPr>
                <w:rFonts w:eastAsia="Times New Roman" w:cs="Arial"/>
              </w:rPr>
              <w:t>Shortspine Thornyhead</w:t>
            </w:r>
          </w:p>
        </w:tc>
        <w:tc>
          <w:tcPr>
            <w:tcW w:w="2301" w:type="dxa"/>
            <w:tcBorders>
              <w:top w:val="single" w:sz="4" w:space="0" w:color="auto"/>
              <w:left w:val="single" w:sz="4" w:space="0" w:color="auto"/>
              <w:bottom w:val="single" w:sz="4" w:space="0" w:color="auto"/>
              <w:right w:val="single" w:sz="4" w:space="0" w:color="auto"/>
            </w:tcBorders>
          </w:tcPr>
          <w:p w14:paraId="5CC055B7" w14:textId="3D4FDCC0" w:rsidR="478F00B7" w:rsidRDefault="7134F639" w:rsidP="490425B0">
            <w:pPr>
              <w:spacing w:line="257" w:lineRule="auto"/>
              <w:jc w:val="center"/>
              <w:rPr>
                <w:rFonts w:eastAsia="Arial" w:cs="Arial"/>
              </w:rPr>
            </w:pPr>
            <w:r w:rsidRPr="490425B0">
              <w:rPr>
                <w:rFonts w:eastAsia="Arial" w:cs="Arial"/>
              </w:rPr>
              <w:t>6.9</w:t>
            </w:r>
          </w:p>
        </w:tc>
        <w:tc>
          <w:tcPr>
            <w:tcW w:w="2301" w:type="dxa"/>
            <w:tcBorders>
              <w:top w:val="single" w:sz="4" w:space="0" w:color="auto"/>
              <w:left w:val="single" w:sz="4" w:space="0" w:color="auto"/>
              <w:bottom w:val="single" w:sz="4" w:space="0" w:color="auto"/>
              <w:right w:val="single" w:sz="4" w:space="0" w:color="auto"/>
            </w:tcBorders>
          </w:tcPr>
          <w:p w14:paraId="1E8D64FE" w14:textId="173CF8AE" w:rsidR="478F00B7" w:rsidRDefault="7134F639" w:rsidP="490425B0">
            <w:pPr>
              <w:spacing w:line="257" w:lineRule="auto"/>
              <w:jc w:val="center"/>
              <w:rPr>
                <w:rFonts w:eastAsia="Arial" w:cs="Arial"/>
              </w:rPr>
            </w:pPr>
            <w:r w:rsidRPr="490425B0">
              <w:rPr>
                <w:rFonts w:eastAsia="Arial" w:cs="Arial"/>
              </w:rPr>
              <w:t>0.9</w:t>
            </w:r>
          </w:p>
        </w:tc>
        <w:tc>
          <w:tcPr>
            <w:tcW w:w="2445" w:type="dxa"/>
            <w:tcBorders>
              <w:top w:val="single" w:sz="4" w:space="0" w:color="auto"/>
              <w:left w:val="single" w:sz="4" w:space="0" w:color="auto"/>
              <w:bottom w:val="single" w:sz="4" w:space="0" w:color="auto"/>
              <w:right w:val="single" w:sz="4" w:space="0" w:color="auto"/>
            </w:tcBorders>
          </w:tcPr>
          <w:p w14:paraId="2CF5FEFD" w14:textId="00AEB8A0"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2B9D3872" w14:textId="30BE827D" w:rsidR="478F00B7" w:rsidRDefault="7134F639" w:rsidP="490425B0">
            <w:pPr>
              <w:spacing w:line="257" w:lineRule="auto"/>
              <w:jc w:val="center"/>
              <w:rPr>
                <w:rFonts w:eastAsia="Arial" w:cs="Arial"/>
              </w:rPr>
            </w:pPr>
            <w:r w:rsidRPr="490425B0">
              <w:rPr>
                <w:rFonts w:eastAsia="Arial" w:cs="Arial"/>
              </w:rPr>
              <w:t>7.8</w:t>
            </w:r>
          </w:p>
        </w:tc>
      </w:tr>
      <w:tr w:rsidR="00871C10" w:rsidRPr="002C2ECB" w14:paraId="00A95208"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0F4FF" w14:textId="77777777" w:rsidR="00871C10" w:rsidRPr="00233598" w:rsidRDefault="00871C10" w:rsidP="00871C10">
            <w:pPr>
              <w:ind w:left="432"/>
              <w:rPr>
                <w:rFonts w:eastAsia="Times New Roman" w:cs="Arial"/>
              </w:rPr>
            </w:pPr>
            <w:r w:rsidRPr="00233598">
              <w:rPr>
                <w:rFonts w:eastAsia="Times New Roman" w:cs="Arial"/>
              </w:rPr>
              <w:t>Longspine Thornyhead</w:t>
            </w:r>
          </w:p>
        </w:tc>
        <w:tc>
          <w:tcPr>
            <w:tcW w:w="2301" w:type="dxa"/>
            <w:tcBorders>
              <w:top w:val="single" w:sz="4" w:space="0" w:color="auto"/>
              <w:left w:val="single" w:sz="4" w:space="0" w:color="auto"/>
              <w:bottom w:val="single" w:sz="4" w:space="0" w:color="auto"/>
              <w:right w:val="single" w:sz="4" w:space="0" w:color="auto"/>
            </w:tcBorders>
          </w:tcPr>
          <w:p w14:paraId="1E32838C" w14:textId="10BD2708" w:rsidR="478F00B7" w:rsidRDefault="7134F639" w:rsidP="490425B0">
            <w:pPr>
              <w:spacing w:line="257" w:lineRule="auto"/>
              <w:jc w:val="center"/>
              <w:rPr>
                <w:rFonts w:eastAsia="Arial" w:cs="Arial"/>
              </w:rPr>
            </w:pPr>
            <w:r w:rsidRPr="490425B0">
              <w:rPr>
                <w:rFonts w:eastAsia="Arial" w:cs="Arial"/>
              </w:rPr>
              <w:t>0.4</w:t>
            </w:r>
          </w:p>
        </w:tc>
        <w:tc>
          <w:tcPr>
            <w:tcW w:w="2301" w:type="dxa"/>
            <w:tcBorders>
              <w:top w:val="single" w:sz="4" w:space="0" w:color="auto"/>
              <w:left w:val="single" w:sz="4" w:space="0" w:color="auto"/>
              <w:bottom w:val="single" w:sz="4" w:space="0" w:color="auto"/>
              <w:right w:val="single" w:sz="4" w:space="0" w:color="auto"/>
            </w:tcBorders>
          </w:tcPr>
          <w:p w14:paraId="0FB0BAAE" w14:textId="29F8A96F" w:rsidR="478F00B7" w:rsidRDefault="7134F639" w:rsidP="490425B0">
            <w:pPr>
              <w:spacing w:line="257" w:lineRule="auto"/>
              <w:jc w:val="center"/>
              <w:rPr>
                <w:rFonts w:eastAsia="Arial" w:cs="Arial"/>
              </w:rPr>
            </w:pPr>
            <w:r w:rsidRPr="490425B0">
              <w:rPr>
                <w:rFonts w:eastAsia="Arial" w:cs="Arial"/>
              </w:rPr>
              <w:t>0.0</w:t>
            </w:r>
          </w:p>
        </w:tc>
        <w:tc>
          <w:tcPr>
            <w:tcW w:w="2445" w:type="dxa"/>
            <w:tcBorders>
              <w:top w:val="single" w:sz="4" w:space="0" w:color="auto"/>
              <w:left w:val="single" w:sz="4" w:space="0" w:color="auto"/>
              <w:bottom w:val="single" w:sz="4" w:space="0" w:color="auto"/>
              <w:right w:val="single" w:sz="4" w:space="0" w:color="auto"/>
            </w:tcBorders>
          </w:tcPr>
          <w:p w14:paraId="7A8E3543" w14:textId="59F77FFE"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26646142" w14:textId="03FAC419" w:rsidR="478F00B7" w:rsidRDefault="7134F639" w:rsidP="490425B0">
            <w:pPr>
              <w:spacing w:line="257" w:lineRule="auto"/>
              <w:jc w:val="center"/>
              <w:rPr>
                <w:rFonts w:eastAsia="Arial" w:cs="Arial"/>
              </w:rPr>
            </w:pPr>
            <w:r w:rsidRPr="490425B0">
              <w:rPr>
                <w:rFonts w:eastAsia="Arial" w:cs="Arial"/>
              </w:rPr>
              <w:t>0.4</w:t>
            </w:r>
          </w:p>
        </w:tc>
      </w:tr>
    </w:tbl>
    <w:p w14:paraId="002DC569" w14:textId="77777777" w:rsidR="00020E52" w:rsidRDefault="00020E52" w:rsidP="00020E52">
      <w:pPr>
        <w:pStyle w:val="Caption-Figure"/>
      </w:pPr>
      <w:r>
        <w:lastRenderedPageBreak/>
        <w:t>Table 2. Continued.</w:t>
      </w:r>
    </w:p>
    <w:tbl>
      <w:tblPr>
        <w:tblW w:w="0" w:type="auto"/>
        <w:tblLook w:val="04A0" w:firstRow="1" w:lastRow="0" w:firstColumn="1" w:lastColumn="0" w:noHBand="0" w:noVBand="1"/>
      </w:tblPr>
      <w:tblGrid>
        <w:gridCol w:w="3603"/>
        <w:gridCol w:w="2301"/>
        <w:gridCol w:w="2301"/>
        <w:gridCol w:w="2445"/>
        <w:gridCol w:w="2300"/>
      </w:tblGrid>
      <w:tr w:rsidR="00020E52" w:rsidRPr="002C2ECB" w14:paraId="479F9121" w14:textId="77777777" w:rsidTr="490425B0">
        <w:trPr>
          <w:trHeight w:val="433"/>
        </w:trPr>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00BFB" w14:textId="77777777" w:rsidR="00020E52" w:rsidRPr="002C2ECB" w:rsidRDefault="00020E52" w:rsidP="001306CF">
            <w:pPr>
              <w:rPr>
                <w:rFonts w:eastAsia="Times New Roman" w:cs="Arial"/>
                <w:b/>
                <w:bCs/>
                <w:color w:val="000000"/>
              </w:rPr>
            </w:pPr>
            <w:r w:rsidRPr="004E1074">
              <w:rPr>
                <w:rFonts w:eastAsia="Times New Roman" w:cs="Arial"/>
                <w:b/>
                <w:bCs/>
                <w:color w:val="000000"/>
              </w:rPr>
              <w:t>Species or Species Group</w:t>
            </w:r>
          </w:p>
        </w:tc>
        <w:tc>
          <w:tcPr>
            <w:tcW w:w="2301" w:type="dxa"/>
            <w:tcBorders>
              <w:top w:val="single" w:sz="4" w:space="0" w:color="auto"/>
              <w:left w:val="single" w:sz="4" w:space="0" w:color="auto"/>
              <w:bottom w:val="single" w:sz="4" w:space="0" w:color="auto"/>
              <w:right w:val="single" w:sz="4" w:space="0" w:color="auto"/>
            </w:tcBorders>
            <w:vAlign w:val="center"/>
          </w:tcPr>
          <w:p w14:paraId="0F8E8840" w14:textId="77777777" w:rsidR="00020E52" w:rsidRPr="00337E5C" w:rsidRDefault="00020E52" w:rsidP="001306CF">
            <w:pPr>
              <w:jc w:val="center"/>
              <w:rPr>
                <w:b/>
              </w:rPr>
            </w:pPr>
            <w:r w:rsidRPr="00337E5C">
              <w:rPr>
                <w:b/>
              </w:rPr>
              <w:t>Trawl surveys (t)</w:t>
            </w:r>
          </w:p>
        </w:tc>
        <w:tc>
          <w:tcPr>
            <w:tcW w:w="2301" w:type="dxa"/>
            <w:tcBorders>
              <w:top w:val="single" w:sz="4" w:space="0" w:color="auto"/>
              <w:left w:val="single" w:sz="4" w:space="0" w:color="auto"/>
              <w:bottom w:val="single" w:sz="4" w:space="0" w:color="auto"/>
              <w:right w:val="single" w:sz="4" w:space="0" w:color="auto"/>
            </w:tcBorders>
            <w:vAlign w:val="center"/>
          </w:tcPr>
          <w:p w14:paraId="206E5EB9" w14:textId="77777777" w:rsidR="00020E52" w:rsidRPr="00337E5C" w:rsidRDefault="00020E52" w:rsidP="001306CF">
            <w:pPr>
              <w:jc w:val="center"/>
              <w:rPr>
                <w:b/>
              </w:rPr>
            </w:pPr>
            <w:r w:rsidRPr="00337E5C">
              <w:rPr>
                <w:b/>
              </w:rPr>
              <w:t>Longline surveys (t)</w:t>
            </w:r>
          </w:p>
        </w:tc>
        <w:tc>
          <w:tcPr>
            <w:tcW w:w="2445" w:type="dxa"/>
            <w:tcBorders>
              <w:top w:val="single" w:sz="4" w:space="0" w:color="auto"/>
              <w:left w:val="single" w:sz="4" w:space="0" w:color="auto"/>
              <w:bottom w:val="single" w:sz="4" w:space="0" w:color="auto"/>
              <w:right w:val="single" w:sz="4" w:space="0" w:color="auto"/>
            </w:tcBorders>
            <w:vAlign w:val="center"/>
          </w:tcPr>
          <w:p w14:paraId="7800FA9A" w14:textId="77777777" w:rsidR="00020E52" w:rsidRPr="00337E5C" w:rsidRDefault="00020E52" w:rsidP="001306CF">
            <w:pPr>
              <w:jc w:val="center"/>
              <w:rPr>
                <w:b/>
              </w:rPr>
            </w:pPr>
            <w:r w:rsidRPr="00337E5C">
              <w:rPr>
                <w:b/>
              </w:rPr>
              <w:t>Sablefish surveys (t)</w:t>
            </w:r>
          </w:p>
        </w:tc>
        <w:tc>
          <w:tcPr>
            <w:tcW w:w="2300" w:type="dxa"/>
            <w:tcBorders>
              <w:top w:val="single" w:sz="4" w:space="0" w:color="auto"/>
              <w:left w:val="single" w:sz="4" w:space="0" w:color="auto"/>
              <w:bottom w:val="single" w:sz="4" w:space="0" w:color="auto"/>
              <w:right w:val="single" w:sz="4" w:space="0" w:color="auto"/>
            </w:tcBorders>
            <w:vAlign w:val="center"/>
          </w:tcPr>
          <w:p w14:paraId="540D5CDF" w14:textId="77777777" w:rsidR="00020E52" w:rsidRPr="00337E5C" w:rsidRDefault="00020E52" w:rsidP="001306CF">
            <w:pPr>
              <w:jc w:val="center"/>
              <w:rPr>
                <w:b/>
              </w:rPr>
            </w:pPr>
            <w:r w:rsidRPr="00337E5C">
              <w:rPr>
                <w:b/>
              </w:rPr>
              <w:t>Total (t)</w:t>
            </w:r>
          </w:p>
        </w:tc>
      </w:tr>
      <w:tr w:rsidR="00871C10" w:rsidRPr="002C2ECB" w14:paraId="4F0B1F8E"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A1BE9" w14:textId="77777777" w:rsidR="00871C10" w:rsidRPr="002C2ECB" w:rsidRDefault="00871C10" w:rsidP="00871C10">
            <w:pPr>
              <w:rPr>
                <w:rFonts w:eastAsia="Times New Roman" w:cs="Arial"/>
                <w:color w:val="000000"/>
              </w:rPr>
            </w:pPr>
            <w:r w:rsidRPr="004E1074">
              <w:rPr>
                <w:rFonts w:eastAsia="Times New Roman" w:cs="Arial"/>
                <w:color w:val="000000"/>
              </w:rPr>
              <w:t>Sablefish</w:t>
            </w:r>
          </w:p>
        </w:tc>
        <w:tc>
          <w:tcPr>
            <w:tcW w:w="2301" w:type="dxa"/>
            <w:tcBorders>
              <w:top w:val="single" w:sz="4" w:space="0" w:color="auto"/>
              <w:left w:val="single" w:sz="4" w:space="0" w:color="auto"/>
              <w:bottom w:val="single" w:sz="4" w:space="0" w:color="auto"/>
              <w:right w:val="single" w:sz="4" w:space="0" w:color="auto"/>
            </w:tcBorders>
          </w:tcPr>
          <w:p w14:paraId="1FB46C95" w14:textId="69501BBB" w:rsidR="478F00B7" w:rsidRDefault="7134F639" w:rsidP="490425B0">
            <w:pPr>
              <w:spacing w:line="257" w:lineRule="auto"/>
              <w:jc w:val="center"/>
              <w:rPr>
                <w:rFonts w:eastAsia="Arial" w:cs="Arial"/>
              </w:rPr>
            </w:pPr>
            <w:r w:rsidRPr="490425B0">
              <w:rPr>
                <w:rFonts w:eastAsia="Arial" w:cs="Arial"/>
              </w:rPr>
              <w:t>14.3</w:t>
            </w:r>
          </w:p>
        </w:tc>
        <w:tc>
          <w:tcPr>
            <w:tcW w:w="2301" w:type="dxa"/>
            <w:tcBorders>
              <w:top w:val="single" w:sz="4" w:space="0" w:color="auto"/>
              <w:left w:val="single" w:sz="4" w:space="0" w:color="auto"/>
              <w:bottom w:val="single" w:sz="4" w:space="0" w:color="auto"/>
              <w:right w:val="single" w:sz="4" w:space="0" w:color="auto"/>
            </w:tcBorders>
          </w:tcPr>
          <w:p w14:paraId="613FD628" w14:textId="258C2269" w:rsidR="478F00B7" w:rsidRDefault="7134F639" w:rsidP="490425B0">
            <w:pPr>
              <w:spacing w:line="257" w:lineRule="auto"/>
              <w:jc w:val="center"/>
              <w:rPr>
                <w:rFonts w:eastAsia="Arial" w:cs="Arial"/>
              </w:rPr>
            </w:pPr>
            <w:r w:rsidRPr="490425B0">
              <w:rPr>
                <w:rFonts w:eastAsia="Arial" w:cs="Arial"/>
              </w:rPr>
              <w:t>1</w:t>
            </w:r>
          </w:p>
        </w:tc>
        <w:tc>
          <w:tcPr>
            <w:tcW w:w="2445" w:type="dxa"/>
            <w:tcBorders>
              <w:top w:val="single" w:sz="4" w:space="0" w:color="auto"/>
              <w:left w:val="single" w:sz="4" w:space="0" w:color="auto"/>
              <w:bottom w:val="single" w:sz="4" w:space="0" w:color="auto"/>
              <w:right w:val="single" w:sz="4" w:space="0" w:color="auto"/>
            </w:tcBorders>
          </w:tcPr>
          <w:p w14:paraId="32FC8674" w14:textId="2C1795AB" w:rsidR="478F00B7" w:rsidRDefault="7134F639" w:rsidP="490425B0">
            <w:pPr>
              <w:spacing w:line="257" w:lineRule="auto"/>
              <w:jc w:val="center"/>
              <w:rPr>
                <w:rFonts w:eastAsia="Arial" w:cs="Arial"/>
              </w:rPr>
            </w:pPr>
            <w:r w:rsidRPr="490425B0">
              <w:rPr>
                <w:rFonts w:eastAsia="Arial" w:cs="Arial"/>
              </w:rPr>
              <w:t>100</w:t>
            </w:r>
          </w:p>
        </w:tc>
        <w:tc>
          <w:tcPr>
            <w:tcW w:w="2300" w:type="dxa"/>
            <w:tcBorders>
              <w:top w:val="single" w:sz="4" w:space="0" w:color="auto"/>
              <w:left w:val="single" w:sz="4" w:space="0" w:color="auto"/>
              <w:bottom w:val="single" w:sz="4" w:space="0" w:color="auto"/>
              <w:right w:val="single" w:sz="4" w:space="0" w:color="auto"/>
            </w:tcBorders>
          </w:tcPr>
          <w:p w14:paraId="5E381AFB" w14:textId="15382756" w:rsidR="478F00B7" w:rsidRDefault="7134F639" w:rsidP="490425B0">
            <w:pPr>
              <w:spacing w:line="257" w:lineRule="auto"/>
              <w:jc w:val="center"/>
              <w:rPr>
                <w:rFonts w:eastAsia="Arial" w:cs="Arial"/>
              </w:rPr>
            </w:pPr>
            <w:r w:rsidRPr="490425B0">
              <w:rPr>
                <w:rFonts w:eastAsia="Arial" w:cs="Arial"/>
              </w:rPr>
              <w:t>115.3</w:t>
            </w:r>
          </w:p>
        </w:tc>
      </w:tr>
      <w:tr w:rsidR="00871C10" w:rsidRPr="002C2ECB" w14:paraId="66A31885"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2B4C1" w14:textId="77777777" w:rsidR="00871C10" w:rsidRPr="002C2ECB" w:rsidRDefault="00871C10" w:rsidP="00871C10">
            <w:pPr>
              <w:rPr>
                <w:rFonts w:eastAsia="Times New Roman" w:cs="Arial"/>
                <w:color w:val="000000"/>
              </w:rPr>
            </w:pPr>
            <w:r w:rsidRPr="004E1074">
              <w:rPr>
                <w:rFonts w:eastAsia="Times New Roman" w:cs="Arial"/>
                <w:color w:val="000000"/>
              </w:rPr>
              <w:t>Lingcod</w:t>
            </w:r>
          </w:p>
        </w:tc>
        <w:tc>
          <w:tcPr>
            <w:tcW w:w="2301" w:type="dxa"/>
            <w:tcBorders>
              <w:top w:val="single" w:sz="4" w:space="0" w:color="auto"/>
              <w:left w:val="single" w:sz="4" w:space="0" w:color="auto"/>
              <w:bottom w:val="single" w:sz="4" w:space="0" w:color="auto"/>
              <w:right w:val="single" w:sz="4" w:space="0" w:color="auto"/>
            </w:tcBorders>
          </w:tcPr>
          <w:p w14:paraId="70EC180A" w14:textId="65CE0515" w:rsidR="478F00B7" w:rsidRDefault="7134F639" w:rsidP="490425B0">
            <w:pPr>
              <w:spacing w:line="257" w:lineRule="auto"/>
              <w:jc w:val="center"/>
              <w:rPr>
                <w:rFonts w:eastAsia="Arial" w:cs="Arial"/>
              </w:rPr>
            </w:pPr>
            <w:r w:rsidRPr="490425B0">
              <w:rPr>
                <w:rFonts w:eastAsia="Arial" w:cs="Arial"/>
              </w:rPr>
              <w:t>2.2</w:t>
            </w:r>
          </w:p>
        </w:tc>
        <w:tc>
          <w:tcPr>
            <w:tcW w:w="2301" w:type="dxa"/>
            <w:tcBorders>
              <w:top w:val="single" w:sz="4" w:space="0" w:color="auto"/>
              <w:left w:val="single" w:sz="4" w:space="0" w:color="auto"/>
              <w:bottom w:val="single" w:sz="4" w:space="0" w:color="auto"/>
              <w:right w:val="single" w:sz="4" w:space="0" w:color="auto"/>
            </w:tcBorders>
          </w:tcPr>
          <w:p w14:paraId="256751C4" w14:textId="37EF4DEB" w:rsidR="478F00B7" w:rsidRDefault="7134F639" w:rsidP="490425B0">
            <w:pPr>
              <w:spacing w:line="257" w:lineRule="auto"/>
              <w:jc w:val="center"/>
              <w:rPr>
                <w:rFonts w:eastAsia="Arial" w:cs="Arial"/>
              </w:rPr>
            </w:pPr>
            <w:r w:rsidRPr="490425B0">
              <w:rPr>
                <w:rFonts w:eastAsia="Arial" w:cs="Arial"/>
              </w:rPr>
              <w:t>3.8</w:t>
            </w:r>
          </w:p>
        </w:tc>
        <w:tc>
          <w:tcPr>
            <w:tcW w:w="2445" w:type="dxa"/>
            <w:tcBorders>
              <w:top w:val="single" w:sz="4" w:space="0" w:color="auto"/>
              <w:left w:val="single" w:sz="4" w:space="0" w:color="auto"/>
              <w:bottom w:val="single" w:sz="4" w:space="0" w:color="auto"/>
              <w:right w:val="single" w:sz="4" w:space="0" w:color="auto"/>
            </w:tcBorders>
          </w:tcPr>
          <w:p w14:paraId="008BA17B" w14:textId="378DA4F0"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658A6FF8" w14:textId="5101196C" w:rsidR="478F00B7" w:rsidRDefault="7134F639" w:rsidP="490425B0">
            <w:pPr>
              <w:spacing w:line="257" w:lineRule="auto"/>
              <w:jc w:val="center"/>
              <w:rPr>
                <w:rFonts w:eastAsia="Arial" w:cs="Arial"/>
              </w:rPr>
            </w:pPr>
            <w:r w:rsidRPr="490425B0">
              <w:rPr>
                <w:rFonts w:eastAsia="Arial" w:cs="Arial"/>
              </w:rPr>
              <w:t>6.0</w:t>
            </w:r>
          </w:p>
        </w:tc>
      </w:tr>
      <w:tr w:rsidR="00871C10" w:rsidRPr="00E54742" w14:paraId="1F88DFA4"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C9D67" w14:textId="77777777" w:rsidR="00871C10" w:rsidRPr="00E54742" w:rsidRDefault="00871C10" w:rsidP="00871C10">
            <w:pPr>
              <w:rPr>
                <w:rFonts w:eastAsia="Times New Roman" w:cs="Arial"/>
                <w:i/>
                <w:color w:val="000000"/>
              </w:rPr>
            </w:pPr>
            <w:r w:rsidRPr="00E54742">
              <w:rPr>
                <w:rFonts w:eastAsia="Times New Roman" w:cs="Arial"/>
                <w:i/>
                <w:color w:val="000000"/>
              </w:rPr>
              <w:t>Flatfishes</w:t>
            </w:r>
          </w:p>
        </w:tc>
        <w:tc>
          <w:tcPr>
            <w:tcW w:w="2301" w:type="dxa"/>
            <w:tcBorders>
              <w:top w:val="single" w:sz="4" w:space="0" w:color="auto"/>
              <w:left w:val="single" w:sz="4" w:space="0" w:color="auto"/>
              <w:bottom w:val="single" w:sz="4" w:space="0" w:color="auto"/>
              <w:right w:val="single" w:sz="4" w:space="0" w:color="auto"/>
            </w:tcBorders>
          </w:tcPr>
          <w:p w14:paraId="4AACFB6B" w14:textId="4BC5F00A" w:rsidR="478F00B7" w:rsidRDefault="7134F639" w:rsidP="490425B0">
            <w:pPr>
              <w:spacing w:line="257" w:lineRule="auto"/>
              <w:jc w:val="center"/>
              <w:rPr>
                <w:rFonts w:eastAsia="Arial" w:cs="Arial"/>
              </w:rPr>
            </w:pPr>
            <w:r w:rsidRPr="490425B0">
              <w:rPr>
                <w:rFonts w:eastAsia="Arial" w:cs="Arial"/>
              </w:rPr>
              <w:t xml:space="preserve"> </w:t>
            </w:r>
          </w:p>
        </w:tc>
        <w:tc>
          <w:tcPr>
            <w:tcW w:w="2301" w:type="dxa"/>
            <w:tcBorders>
              <w:top w:val="single" w:sz="4" w:space="0" w:color="auto"/>
              <w:left w:val="single" w:sz="4" w:space="0" w:color="auto"/>
              <w:bottom w:val="single" w:sz="4" w:space="0" w:color="auto"/>
              <w:right w:val="single" w:sz="4" w:space="0" w:color="auto"/>
            </w:tcBorders>
          </w:tcPr>
          <w:p w14:paraId="5CC2016F" w14:textId="7F4C3C77" w:rsidR="478F00B7" w:rsidRDefault="7134F639" w:rsidP="490425B0">
            <w:pPr>
              <w:spacing w:line="257" w:lineRule="auto"/>
              <w:jc w:val="center"/>
              <w:rPr>
                <w:rFonts w:eastAsia="Arial" w:cs="Arial"/>
              </w:rPr>
            </w:pPr>
            <w:r w:rsidRPr="490425B0">
              <w:rPr>
                <w:rFonts w:eastAsia="Arial" w:cs="Arial"/>
              </w:rPr>
              <w:t xml:space="preserve"> </w:t>
            </w:r>
          </w:p>
        </w:tc>
        <w:tc>
          <w:tcPr>
            <w:tcW w:w="2445" w:type="dxa"/>
            <w:tcBorders>
              <w:top w:val="single" w:sz="4" w:space="0" w:color="auto"/>
              <w:left w:val="single" w:sz="4" w:space="0" w:color="auto"/>
              <w:bottom w:val="single" w:sz="4" w:space="0" w:color="auto"/>
              <w:right w:val="single" w:sz="4" w:space="0" w:color="auto"/>
            </w:tcBorders>
          </w:tcPr>
          <w:p w14:paraId="350E2CFB" w14:textId="36A01F7D" w:rsidR="478F00B7" w:rsidRDefault="7134F639" w:rsidP="490425B0">
            <w:pPr>
              <w:spacing w:line="257" w:lineRule="auto"/>
              <w:jc w:val="center"/>
              <w:rPr>
                <w:rFonts w:eastAsia="Arial" w:cs="Arial"/>
              </w:rPr>
            </w:pPr>
            <w:r w:rsidRPr="490425B0">
              <w:rPr>
                <w:rFonts w:eastAsia="Arial" w:cs="Arial"/>
              </w:rPr>
              <w:t xml:space="preserve"> </w:t>
            </w:r>
          </w:p>
        </w:tc>
        <w:tc>
          <w:tcPr>
            <w:tcW w:w="2300" w:type="dxa"/>
            <w:tcBorders>
              <w:top w:val="single" w:sz="4" w:space="0" w:color="auto"/>
              <w:left w:val="single" w:sz="4" w:space="0" w:color="auto"/>
              <w:bottom w:val="single" w:sz="4" w:space="0" w:color="auto"/>
              <w:right w:val="single" w:sz="4" w:space="0" w:color="auto"/>
            </w:tcBorders>
          </w:tcPr>
          <w:p w14:paraId="690FC127" w14:textId="7262C11E" w:rsidR="478F00B7" w:rsidRDefault="7134F639" w:rsidP="490425B0">
            <w:pPr>
              <w:spacing w:line="257" w:lineRule="auto"/>
              <w:jc w:val="center"/>
              <w:rPr>
                <w:rFonts w:eastAsia="Arial" w:cs="Arial"/>
              </w:rPr>
            </w:pPr>
            <w:r w:rsidRPr="490425B0">
              <w:rPr>
                <w:rFonts w:eastAsia="Arial" w:cs="Arial"/>
              </w:rPr>
              <w:t xml:space="preserve"> </w:t>
            </w:r>
          </w:p>
        </w:tc>
      </w:tr>
      <w:tr w:rsidR="00871C10" w:rsidRPr="002C2ECB" w14:paraId="0403F9F6"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B3B7A" w14:textId="77777777" w:rsidR="00871C10" w:rsidRPr="002C2ECB" w:rsidRDefault="00871C10" w:rsidP="00871C10">
            <w:pPr>
              <w:ind w:left="432"/>
              <w:rPr>
                <w:rFonts w:eastAsia="Times New Roman" w:cs="Arial"/>
                <w:color w:val="000000"/>
              </w:rPr>
            </w:pPr>
            <w:r w:rsidRPr="004E1074">
              <w:rPr>
                <w:rFonts w:eastAsia="Times New Roman" w:cs="Arial"/>
                <w:color w:val="000000"/>
              </w:rPr>
              <w:t>Arrowtooth Flounder</w:t>
            </w:r>
          </w:p>
        </w:tc>
        <w:tc>
          <w:tcPr>
            <w:tcW w:w="2301" w:type="dxa"/>
            <w:tcBorders>
              <w:top w:val="single" w:sz="4" w:space="0" w:color="auto"/>
              <w:left w:val="single" w:sz="4" w:space="0" w:color="auto"/>
              <w:bottom w:val="single" w:sz="4" w:space="0" w:color="auto"/>
              <w:right w:val="single" w:sz="4" w:space="0" w:color="auto"/>
            </w:tcBorders>
          </w:tcPr>
          <w:p w14:paraId="4D0F5997" w14:textId="12E87864" w:rsidR="478F00B7" w:rsidRDefault="7134F639" w:rsidP="490425B0">
            <w:pPr>
              <w:spacing w:line="257" w:lineRule="auto"/>
              <w:jc w:val="center"/>
              <w:rPr>
                <w:rFonts w:eastAsia="Arial" w:cs="Arial"/>
              </w:rPr>
            </w:pPr>
            <w:r w:rsidRPr="490425B0">
              <w:rPr>
                <w:rFonts w:eastAsia="Arial" w:cs="Arial"/>
              </w:rPr>
              <w:t>15.5</w:t>
            </w:r>
          </w:p>
        </w:tc>
        <w:tc>
          <w:tcPr>
            <w:tcW w:w="2301" w:type="dxa"/>
            <w:tcBorders>
              <w:top w:val="single" w:sz="4" w:space="0" w:color="auto"/>
              <w:left w:val="single" w:sz="4" w:space="0" w:color="auto"/>
              <w:bottom w:val="single" w:sz="4" w:space="0" w:color="auto"/>
              <w:right w:val="single" w:sz="4" w:space="0" w:color="auto"/>
            </w:tcBorders>
          </w:tcPr>
          <w:p w14:paraId="74409A67" w14:textId="777C4752" w:rsidR="478F00B7" w:rsidRDefault="7134F639" w:rsidP="490425B0">
            <w:pPr>
              <w:spacing w:line="257" w:lineRule="auto"/>
              <w:jc w:val="center"/>
              <w:rPr>
                <w:rFonts w:eastAsia="Arial" w:cs="Arial"/>
              </w:rPr>
            </w:pPr>
            <w:r w:rsidRPr="490425B0">
              <w:rPr>
                <w:rFonts w:eastAsia="Arial" w:cs="Arial"/>
              </w:rPr>
              <w:t>0.0</w:t>
            </w:r>
          </w:p>
        </w:tc>
        <w:tc>
          <w:tcPr>
            <w:tcW w:w="2445" w:type="dxa"/>
            <w:tcBorders>
              <w:top w:val="single" w:sz="4" w:space="0" w:color="auto"/>
              <w:left w:val="single" w:sz="4" w:space="0" w:color="auto"/>
              <w:bottom w:val="single" w:sz="4" w:space="0" w:color="auto"/>
              <w:right w:val="single" w:sz="4" w:space="0" w:color="auto"/>
            </w:tcBorders>
          </w:tcPr>
          <w:p w14:paraId="1804AD12" w14:textId="2404064C"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089BFD93" w14:textId="1A15822D" w:rsidR="478F00B7" w:rsidRDefault="7134F639" w:rsidP="490425B0">
            <w:pPr>
              <w:spacing w:line="257" w:lineRule="auto"/>
              <w:jc w:val="center"/>
              <w:rPr>
                <w:rFonts w:eastAsia="Arial" w:cs="Arial"/>
              </w:rPr>
            </w:pPr>
            <w:r w:rsidRPr="490425B0">
              <w:rPr>
                <w:rFonts w:eastAsia="Arial" w:cs="Arial"/>
              </w:rPr>
              <w:t>15.5</w:t>
            </w:r>
          </w:p>
        </w:tc>
      </w:tr>
      <w:tr w:rsidR="00871C10" w:rsidRPr="002C2ECB" w14:paraId="5FE307AF"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1F791" w14:textId="77777777" w:rsidR="00871C10" w:rsidRPr="002C2ECB" w:rsidRDefault="00871C10" w:rsidP="00871C10">
            <w:pPr>
              <w:ind w:left="432"/>
              <w:rPr>
                <w:rFonts w:eastAsia="Times New Roman" w:cs="Arial"/>
                <w:color w:val="000000"/>
              </w:rPr>
            </w:pPr>
            <w:r w:rsidRPr="004E1074">
              <w:rPr>
                <w:rFonts w:eastAsia="Times New Roman" w:cs="Arial"/>
                <w:color w:val="000000"/>
              </w:rPr>
              <w:t>Petrale Sole</w:t>
            </w:r>
          </w:p>
        </w:tc>
        <w:tc>
          <w:tcPr>
            <w:tcW w:w="2301" w:type="dxa"/>
            <w:tcBorders>
              <w:top w:val="single" w:sz="4" w:space="0" w:color="auto"/>
              <w:left w:val="single" w:sz="4" w:space="0" w:color="auto"/>
              <w:bottom w:val="single" w:sz="4" w:space="0" w:color="auto"/>
              <w:right w:val="single" w:sz="4" w:space="0" w:color="auto"/>
            </w:tcBorders>
          </w:tcPr>
          <w:p w14:paraId="6AF6C54D" w14:textId="31B7A5D4" w:rsidR="478F00B7" w:rsidRDefault="7134F639" w:rsidP="490425B0">
            <w:pPr>
              <w:spacing w:line="257" w:lineRule="auto"/>
              <w:jc w:val="center"/>
              <w:rPr>
                <w:rFonts w:eastAsia="Arial" w:cs="Arial"/>
              </w:rPr>
            </w:pPr>
            <w:r w:rsidRPr="490425B0">
              <w:rPr>
                <w:rFonts w:eastAsia="Arial" w:cs="Arial"/>
              </w:rPr>
              <w:t>1.8</w:t>
            </w:r>
          </w:p>
        </w:tc>
        <w:tc>
          <w:tcPr>
            <w:tcW w:w="2301" w:type="dxa"/>
            <w:tcBorders>
              <w:top w:val="single" w:sz="4" w:space="0" w:color="auto"/>
              <w:left w:val="single" w:sz="4" w:space="0" w:color="auto"/>
              <w:bottom w:val="single" w:sz="4" w:space="0" w:color="auto"/>
              <w:right w:val="single" w:sz="4" w:space="0" w:color="auto"/>
            </w:tcBorders>
          </w:tcPr>
          <w:p w14:paraId="33A6669B" w14:textId="69A57894"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2A3AE7B3" w14:textId="54791C1C"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65E7EF50" w14:textId="73ED3B2D" w:rsidR="478F00B7" w:rsidRDefault="7134F639" w:rsidP="490425B0">
            <w:pPr>
              <w:spacing w:line="257" w:lineRule="auto"/>
              <w:jc w:val="center"/>
              <w:rPr>
                <w:rFonts w:eastAsia="Arial" w:cs="Arial"/>
              </w:rPr>
            </w:pPr>
            <w:r w:rsidRPr="490425B0">
              <w:rPr>
                <w:rFonts w:eastAsia="Arial" w:cs="Arial"/>
              </w:rPr>
              <w:t>1.8</w:t>
            </w:r>
          </w:p>
        </w:tc>
      </w:tr>
      <w:tr w:rsidR="00871C10" w:rsidRPr="002C2ECB" w14:paraId="25C8A18B"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AAD19" w14:textId="77777777" w:rsidR="00871C10" w:rsidRPr="002C2ECB" w:rsidRDefault="00871C10" w:rsidP="00871C10">
            <w:pPr>
              <w:ind w:left="432"/>
              <w:rPr>
                <w:rFonts w:eastAsia="Times New Roman" w:cs="Arial"/>
                <w:color w:val="000000"/>
              </w:rPr>
            </w:pPr>
            <w:r w:rsidRPr="004E1074">
              <w:rPr>
                <w:rFonts w:eastAsia="Times New Roman" w:cs="Arial"/>
                <w:color w:val="000000"/>
              </w:rPr>
              <w:t>Southern Rock Sole</w:t>
            </w:r>
          </w:p>
        </w:tc>
        <w:tc>
          <w:tcPr>
            <w:tcW w:w="2301" w:type="dxa"/>
            <w:tcBorders>
              <w:top w:val="single" w:sz="4" w:space="0" w:color="auto"/>
              <w:left w:val="single" w:sz="4" w:space="0" w:color="auto"/>
              <w:bottom w:val="single" w:sz="4" w:space="0" w:color="auto"/>
              <w:right w:val="single" w:sz="4" w:space="0" w:color="auto"/>
            </w:tcBorders>
          </w:tcPr>
          <w:p w14:paraId="03212869" w14:textId="4E5666E0" w:rsidR="478F00B7" w:rsidRDefault="7134F639" w:rsidP="490425B0">
            <w:pPr>
              <w:spacing w:line="257" w:lineRule="auto"/>
              <w:jc w:val="center"/>
              <w:rPr>
                <w:rFonts w:eastAsia="Arial" w:cs="Arial"/>
              </w:rPr>
            </w:pPr>
            <w:r w:rsidRPr="490425B0">
              <w:rPr>
                <w:rFonts w:eastAsia="Arial" w:cs="Arial"/>
              </w:rPr>
              <w:t>0.5</w:t>
            </w:r>
          </w:p>
        </w:tc>
        <w:tc>
          <w:tcPr>
            <w:tcW w:w="2301" w:type="dxa"/>
            <w:tcBorders>
              <w:top w:val="single" w:sz="4" w:space="0" w:color="auto"/>
              <w:left w:val="single" w:sz="4" w:space="0" w:color="auto"/>
              <w:bottom w:val="single" w:sz="4" w:space="0" w:color="auto"/>
              <w:right w:val="single" w:sz="4" w:space="0" w:color="auto"/>
            </w:tcBorders>
          </w:tcPr>
          <w:p w14:paraId="48031BDC" w14:textId="51B63B16"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33DCFD28" w14:textId="509602C7"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0C00A8EF" w14:textId="04D2FEC4" w:rsidR="478F00B7" w:rsidRDefault="7134F639" w:rsidP="490425B0">
            <w:pPr>
              <w:spacing w:line="257" w:lineRule="auto"/>
              <w:jc w:val="center"/>
              <w:rPr>
                <w:rFonts w:eastAsia="Arial" w:cs="Arial"/>
              </w:rPr>
            </w:pPr>
            <w:r w:rsidRPr="490425B0">
              <w:rPr>
                <w:rFonts w:eastAsia="Arial" w:cs="Arial"/>
              </w:rPr>
              <w:t>0.5</w:t>
            </w:r>
          </w:p>
        </w:tc>
      </w:tr>
      <w:tr w:rsidR="00871C10" w:rsidRPr="002C2ECB" w14:paraId="55BE67F5"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67972" w14:textId="77777777" w:rsidR="00871C10" w:rsidRPr="002C2ECB" w:rsidRDefault="00871C10" w:rsidP="00871C10">
            <w:pPr>
              <w:ind w:left="432"/>
              <w:rPr>
                <w:rFonts w:eastAsia="Times New Roman" w:cs="Arial"/>
                <w:color w:val="000000"/>
              </w:rPr>
            </w:pPr>
            <w:r w:rsidRPr="004E1074">
              <w:rPr>
                <w:rFonts w:eastAsia="Times New Roman" w:cs="Arial"/>
                <w:color w:val="000000"/>
              </w:rPr>
              <w:t>Dover Sole</w:t>
            </w:r>
          </w:p>
        </w:tc>
        <w:tc>
          <w:tcPr>
            <w:tcW w:w="2301" w:type="dxa"/>
            <w:tcBorders>
              <w:top w:val="single" w:sz="4" w:space="0" w:color="auto"/>
              <w:left w:val="single" w:sz="4" w:space="0" w:color="auto"/>
              <w:bottom w:val="single" w:sz="4" w:space="0" w:color="auto"/>
              <w:right w:val="single" w:sz="4" w:space="0" w:color="auto"/>
            </w:tcBorders>
          </w:tcPr>
          <w:p w14:paraId="30C85FA6" w14:textId="622E6D42" w:rsidR="478F00B7" w:rsidRDefault="7134F639" w:rsidP="490425B0">
            <w:pPr>
              <w:spacing w:line="257" w:lineRule="auto"/>
              <w:jc w:val="center"/>
              <w:rPr>
                <w:rFonts w:eastAsia="Arial" w:cs="Arial"/>
              </w:rPr>
            </w:pPr>
            <w:r w:rsidRPr="490425B0">
              <w:rPr>
                <w:rFonts w:eastAsia="Arial" w:cs="Arial"/>
              </w:rPr>
              <w:t>6.4</w:t>
            </w:r>
          </w:p>
        </w:tc>
        <w:tc>
          <w:tcPr>
            <w:tcW w:w="2301" w:type="dxa"/>
            <w:tcBorders>
              <w:top w:val="single" w:sz="4" w:space="0" w:color="auto"/>
              <w:left w:val="single" w:sz="4" w:space="0" w:color="auto"/>
              <w:bottom w:val="single" w:sz="4" w:space="0" w:color="auto"/>
              <w:right w:val="single" w:sz="4" w:space="0" w:color="auto"/>
            </w:tcBorders>
          </w:tcPr>
          <w:p w14:paraId="25D48B14" w14:textId="20C35E8F"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0D024CC7" w14:textId="7B197731"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7CAC237D" w14:textId="703057CD" w:rsidR="478F00B7" w:rsidRDefault="7134F639" w:rsidP="490425B0">
            <w:pPr>
              <w:spacing w:line="257" w:lineRule="auto"/>
              <w:jc w:val="center"/>
              <w:rPr>
                <w:rFonts w:eastAsia="Arial" w:cs="Arial"/>
              </w:rPr>
            </w:pPr>
            <w:r w:rsidRPr="490425B0">
              <w:rPr>
                <w:rFonts w:eastAsia="Arial" w:cs="Arial"/>
              </w:rPr>
              <w:t>6.4</w:t>
            </w:r>
          </w:p>
        </w:tc>
      </w:tr>
      <w:tr w:rsidR="00871C10" w:rsidRPr="002C2ECB" w14:paraId="18850C7B"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8DB6F" w14:textId="77777777" w:rsidR="00871C10" w:rsidRPr="002C2ECB" w:rsidRDefault="00871C10" w:rsidP="00871C10">
            <w:pPr>
              <w:ind w:left="432"/>
              <w:rPr>
                <w:rFonts w:eastAsia="Times New Roman" w:cs="Arial"/>
                <w:color w:val="000000"/>
              </w:rPr>
            </w:pPr>
            <w:r w:rsidRPr="004E1074">
              <w:rPr>
                <w:rFonts w:eastAsia="Times New Roman" w:cs="Arial"/>
                <w:color w:val="000000"/>
              </w:rPr>
              <w:t>English Sole</w:t>
            </w:r>
          </w:p>
        </w:tc>
        <w:tc>
          <w:tcPr>
            <w:tcW w:w="2301" w:type="dxa"/>
            <w:tcBorders>
              <w:top w:val="single" w:sz="4" w:space="0" w:color="auto"/>
              <w:left w:val="single" w:sz="4" w:space="0" w:color="auto"/>
              <w:bottom w:val="single" w:sz="4" w:space="0" w:color="auto"/>
              <w:right w:val="single" w:sz="4" w:space="0" w:color="auto"/>
            </w:tcBorders>
          </w:tcPr>
          <w:p w14:paraId="48596DA2" w14:textId="50B7BF0D" w:rsidR="478F00B7" w:rsidRDefault="7134F639" w:rsidP="490425B0">
            <w:pPr>
              <w:spacing w:line="257" w:lineRule="auto"/>
              <w:jc w:val="center"/>
              <w:rPr>
                <w:rFonts w:eastAsia="Arial" w:cs="Arial"/>
              </w:rPr>
            </w:pPr>
            <w:r w:rsidRPr="490425B0">
              <w:rPr>
                <w:rFonts w:eastAsia="Arial" w:cs="Arial"/>
              </w:rPr>
              <w:t>2.7</w:t>
            </w:r>
          </w:p>
        </w:tc>
        <w:tc>
          <w:tcPr>
            <w:tcW w:w="2301" w:type="dxa"/>
            <w:tcBorders>
              <w:top w:val="single" w:sz="4" w:space="0" w:color="auto"/>
              <w:left w:val="single" w:sz="4" w:space="0" w:color="auto"/>
              <w:bottom w:val="single" w:sz="4" w:space="0" w:color="auto"/>
              <w:right w:val="single" w:sz="4" w:space="0" w:color="auto"/>
            </w:tcBorders>
          </w:tcPr>
          <w:p w14:paraId="30685D7D" w14:textId="3B8F91BE" w:rsidR="478F00B7" w:rsidRDefault="7134F639" w:rsidP="490425B0">
            <w:pPr>
              <w:spacing w:line="257" w:lineRule="auto"/>
              <w:jc w:val="center"/>
              <w:rPr>
                <w:rFonts w:eastAsia="Arial" w:cs="Arial"/>
              </w:rPr>
            </w:pPr>
            <w:r w:rsidRPr="490425B0">
              <w:rPr>
                <w:rFonts w:eastAsia="Arial" w:cs="Arial"/>
              </w:rPr>
              <w:t>--</w:t>
            </w:r>
          </w:p>
        </w:tc>
        <w:tc>
          <w:tcPr>
            <w:tcW w:w="2445" w:type="dxa"/>
            <w:tcBorders>
              <w:top w:val="single" w:sz="4" w:space="0" w:color="auto"/>
              <w:left w:val="single" w:sz="4" w:space="0" w:color="auto"/>
              <w:bottom w:val="single" w:sz="4" w:space="0" w:color="auto"/>
              <w:right w:val="single" w:sz="4" w:space="0" w:color="auto"/>
            </w:tcBorders>
          </w:tcPr>
          <w:p w14:paraId="36844BE1" w14:textId="61901F64"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7E9C68FB" w14:textId="3D7B0071" w:rsidR="478F00B7" w:rsidRDefault="7134F639" w:rsidP="490425B0">
            <w:pPr>
              <w:spacing w:line="257" w:lineRule="auto"/>
              <w:jc w:val="center"/>
              <w:rPr>
                <w:rFonts w:eastAsia="Arial" w:cs="Arial"/>
              </w:rPr>
            </w:pPr>
            <w:r w:rsidRPr="490425B0">
              <w:rPr>
                <w:rFonts w:eastAsia="Arial" w:cs="Arial"/>
              </w:rPr>
              <w:t>2.7</w:t>
            </w:r>
          </w:p>
        </w:tc>
      </w:tr>
      <w:tr w:rsidR="00871C10" w:rsidRPr="002C2ECB" w14:paraId="2EC20154" w14:textId="77777777" w:rsidTr="490425B0">
        <w:tc>
          <w:tcPr>
            <w:tcW w:w="3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8C277" w14:textId="77777777" w:rsidR="00871C10" w:rsidRPr="002C2ECB" w:rsidRDefault="00871C10" w:rsidP="00871C10">
            <w:pPr>
              <w:ind w:left="432"/>
              <w:rPr>
                <w:rFonts w:eastAsia="Times New Roman" w:cs="Arial"/>
                <w:color w:val="000000"/>
              </w:rPr>
            </w:pPr>
            <w:r w:rsidRPr="004E1074">
              <w:rPr>
                <w:rFonts w:eastAsia="Times New Roman" w:cs="Arial"/>
                <w:color w:val="000000"/>
              </w:rPr>
              <w:t xml:space="preserve">Pacific Halibut </w:t>
            </w:r>
            <w:r>
              <w:rPr>
                <w:rFonts w:eastAsia="Times New Roman" w:cs="Arial"/>
                <w:color w:val="000000"/>
                <w:vertAlign w:val="superscript"/>
              </w:rPr>
              <w:t>1</w:t>
            </w:r>
          </w:p>
        </w:tc>
        <w:tc>
          <w:tcPr>
            <w:tcW w:w="2301" w:type="dxa"/>
            <w:tcBorders>
              <w:top w:val="single" w:sz="4" w:space="0" w:color="auto"/>
              <w:left w:val="single" w:sz="4" w:space="0" w:color="auto"/>
              <w:bottom w:val="single" w:sz="4" w:space="0" w:color="auto"/>
              <w:right w:val="single" w:sz="4" w:space="0" w:color="auto"/>
            </w:tcBorders>
          </w:tcPr>
          <w:p w14:paraId="20E26E11" w14:textId="00D04C9C" w:rsidR="478F00B7" w:rsidRDefault="7134F639" w:rsidP="490425B0">
            <w:pPr>
              <w:spacing w:line="257" w:lineRule="auto"/>
              <w:jc w:val="center"/>
              <w:rPr>
                <w:rFonts w:eastAsia="Arial" w:cs="Arial"/>
              </w:rPr>
            </w:pPr>
            <w:r w:rsidRPr="490425B0">
              <w:rPr>
                <w:rFonts w:eastAsia="Arial" w:cs="Arial"/>
              </w:rPr>
              <w:t>1.4</w:t>
            </w:r>
          </w:p>
        </w:tc>
        <w:tc>
          <w:tcPr>
            <w:tcW w:w="2301" w:type="dxa"/>
            <w:tcBorders>
              <w:top w:val="single" w:sz="4" w:space="0" w:color="auto"/>
              <w:left w:val="single" w:sz="4" w:space="0" w:color="auto"/>
              <w:bottom w:val="single" w:sz="4" w:space="0" w:color="auto"/>
              <w:right w:val="single" w:sz="4" w:space="0" w:color="auto"/>
            </w:tcBorders>
          </w:tcPr>
          <w:p w14:paraId="289A2464" w14:textId="1F224B86" w:rsidR="478F00B7" w:rsidRDefault="7134F639" w:rsidP="490425B0">
            <w:pPr>
              <w:spacing w:line="257" w:lineRule="auto"/>
              <w:jc w:val="center"/>
              <w:rPr>
                <w:rFonts w:eastAsia="Arial" w:cs="Arial"/>
              </w:rPr>
            </w:pPr>
            <w:r w:rsidRPr="490425B0">
              <w:rPr>
                <w:rFonts w:eastAsia="Arial" w:cs="Arial"/>
              </w:rPr>
              <w:t>27.2</w:t>
            </w:r>
          </w:p>
        </w:tc>
        <w:tc>
          <w:tcPr>
            <w:tcW w:w="2445" w:type="dxa"/>
            <w:tcBorders>
              <w:top w:val="single" w:sz="4" w:space="0" w:color="auto"/>
              <w:left w:val="single" w:sz="4" w:space="0" w:color="auto"/>
              <w:bottom w:val="single" w:sz="4" w:space="0" w:color="auto"/>
              <w:right w:val="single" w:sz="4" w:space="0" w:color="auto"/>
            </w:tcBorders>
          </w:tcPr>
          <w:p w14:paraId="27DBE1C7" w14:textId="2A0B6488" w:rsidR="478F00B7" w:rsidRDefault="7134F639" w:rsidP="490425B0">
            <w:pPr>
              <w:spacing w:line="257" w:lineRule="auto"/>
              <w:jc w:val="center"/>
              <w:rPr>
                <w:rFonts w:eastAsia="Arial" w:cs="Arial"/>
              </w:rPr>
            </w:pPr>
            <w:r w:rsidRPr="490425B0">
              <w:rPr>
                <w:rFonts w:eastAsia="Arial" w:cs="Arial"/>
              </w:rPr>
              <w:t>--</w:t>
            </w:r>
          </w:p>
        </w:tc>
        <w:tc>
          <w:tcPr>
            <w:tcW w:w="2300" w:type="dxa"/>
            <w:tcBorders>
              <w:top w:val="single" w:sz="4" w:space="0" w:color="auto"/>
              <w:left w:val="single" w:sz="4" w:space="0" w:color="auto"/>
              <w:bottom w:val="single" w:sz="4" w:space="0" w:color="auto"/>
              <w:right w:val="single" w:sz="4" w:space="0" w:color="auto"/>
            </w:tcBorders>
          </w:tcPr>
          <w:p w14:paraId="06404B3D" w14:textId="45EC7E17" w:rsidR="478F00B7" w:rsidRDefault="7134F639" w:rsidP="490425B0">
            <w:pPr>
              <w:spacing w:line="257" w:lineRule="auto"/>
              <w:jc w:val="center"/>
              <w:rPr>
                <w:rFonts w:eastAsia="Arial" w:cs="Arial"/>
              </w:rPr>
            </w:pPr>
            <w:r w:rsidRPr="490425B0">
              <w:rPr>
                <w:rFonts w:eastAsia="Arial" w:cs="Arial"/>
              </w:rPr>
              <w:t>28.6</w:t>
            </w:r>
          </w:p>
        </w:tc>
      </w:tr>
    </w:tbl>
    <w:p w14:paraId="4F0FE1B7" w14:textId="77777777" w:rsidR="00887DB1" w:rsidRPr="00337E5C" w:rsidRDefault="00337E5C" w:rsidP="00020E52">
      <w:pPr>
        <w:pStyle w:val="Caption-Figure"/>
      </w:pPr>
      <w:r w:rsidRPr="5ABB0D50">
        <w:rPr>
          <w:vertAlign w:val="superscript"/>
        </w:rPr>
        <w:t>1</w:t>
      </w:r>
      <w:r>
        <w:t xml:space="preserve"> The halibut poundage for the groundfish trawl survey is part of the trawl fishery’s halibut bycatch mortality cap. The groundfish trawl fishery has a bycatch mortality cap of 454 tonnes that is not part of the allocated commercial TAC.</w:t>
      </w:r>
    </w:p>
    <w:sectPr w:rsidR="00887DB1" w:rsidRPr="00337E5C" w:rsidSect="006D221A">
      <w:footerReference w:type="default" r:id="rId14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0345B" w14:textId="77777777" w:rsidR="000A5309" w:rsidRDefault="000A5309">
      <w:r>
        <w:separator/>
      </w:r>
    </w:p>
  </w:endnote>
  <w:endnote w:type="continuationSeparator" w:id="0">
    <w:p w14:paraId="2023B003" w14:textId="77777777" w:rsidR="000A5309" w:rsidRDefault="000A5309">
      <w:r>
        <w:continuationSeparator/>
      </w:r>
    </w:p>
  </w:endnote>
  <w:endnote w:type="continuationNotice" w:id="1">
    <w:p w14:paraId="47BEE7A2" w14:textId="77777777" w:rsidR="000A5309" w:rsidRDefault="000A5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NimbusSanL-Regu">
    <w:altName w:val="Yu Gothic"/>
    <w:panose1 w:val="00000000000000000000"/>
    <w:charset w:val="80"/>
    <w:family w:val="auto"/>
    <w:notTrueType/>
    <w:pitch w:val="default"/>
    <w:sig w:usb0="00000001" w:usb1="08070000" w:usb2="00000010" w:usb3="00000000" w:csb0="00020000" w:csb1="00000000"/>
  </w:font>
  <w:font w:name="NimbusSanL-ReguItal">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8FF02" w14:textId="77777777" w:rsidR="0026383A" w:rsidRDefault="00263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26383A" w14:paraId="6A414FFE" w14:textId="77777777" w:rsidTr="5ABB0D50">
      <w:tc>
        <w:tcPr>
          <w:tcW w:w="3120" w:type="dxa"/>
        </w:tcPr>
        <w:p w14:paraId="5317BB8E" w14:textId="2B5EF224" w:rsidR="0026383A" w:rsidRDefault="0026383A" w:rsidP="6E029F89">
          <w:pPr>
            <w:pStyle w:val="Header"/>
            <w:ind w:left="-115"/>
          </w:pPr>
        </w:p>
      </w:tc>
      <w:tc>
        <w:tcPr>
          <w:tcW w:w="3120" w:type="dxa"/>
        </w:tcPr>
        <w:p w14:paraId="0B489E2C" w14:textId="1E8B8A40" w:rsidR="0026383A" w:rsidRDefault="0026383A" w:rsidP="6E029F89">
          <w:pPr>
            <w:pStyle w:val="Header"/>
            <w:jc w:val="center"/>
          </w:pPr>
        </w:p>
      </w:tc>
      <w:tc>
        <w:tcPr>
          <w:tcW w:w="3120" w:type="dxa"/>
        </w:tcPr>
        <w:p w14:paraId="6E18C20E" w14:textId="1E61D310" w:rsidR="0026383A" w:rsidRDefault="0026383A" w:rsidP="6E029F89">
          <w:pPr>
            <w:pStyle w:val="Header"/>
            <w:ind w:right="-115"/>
            <w:jc w:val="right"/>
          </w:pPr>
        </w:p>
      </w:tc>
    </w:tr>
  </w:tbl>
  <w:p w14:paraId="05BBA63B" w14:textId="1698472C" w:rsidR="0026383A" w:rsidRDefault="0026383A" w:rsidP="6E029F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58F0C" w14:textId="77777777" w:rsidR="0026383A" w:rsidRDefault="002638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A9836" w14:textId="77777777" w:rsidR="0026383A" w:rsidRDefault="002638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9664E" w14:textId="77777777" w:rsidR="0026383A" w:rsidRDefault="002638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360B8" w14:textId="77777777" w:rsidR="0026383A" w:rsidRPr="004061DB" w:rsidRDefault="0026383A" w:rsidP="002A1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A9D4D" w14:textId="77777777" w:rsidR="000A5309" w:rsidRDefault="000A5309">
      <w:r>
        <w:separator/>
      </w:r>
    </w:p>
  </w:footnote>
  <w:footnote w:type="continuationSeparator" w:id="0">
    <w:p w14:paraId="13F9936B" w14:textId="77777777" w:rsidR="000A5309" w:rsidRDefault="000A5309">
      <w:r>
        <w:continuationSeparator/>
      </w:r>
    </w:p>
  </w:footnote>
  <w:footnote w:type="continuationNotice" w:id="1">
    <w:p w14:paraId="56D0F4C9" w14:textId="77777777" w:rsidR="000A5309" w:rsidRDefault="000A530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A3B09" w14:textId="77777777" w:rsidR="0026383A" w:rsidRDefault="002638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1CA98" w14:textId="77777777" w:rsidR="0026383A" w:rsidRDefault="0026383A">
    <w:pPr>
      <w:pStyle w:val="Header"/>
      <w:jc w:val="center"/>
    </w:pPr>
  </w:p>
  <w:p w14:paraId="1A55251A" w14:textId="77777777" w:rsidR="0026383A" w:rsidRDefault="002638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5431" w14:textId="77777777" w:rsidR="0026383A" w:rsidRDefault="002638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9F8C" w14:textId="73D0AC1A" w:rsidR="0026383A" w:rsidRDefault="0026383A">
    <w:pPr>
      <w:pStyle w:val="Header"/>
      <w:jc w:val="center"/>
    </w:pPr>
  </w:p>
  <w:p w14:paraId="3FFF7D4A" w14:textId="77777777" w:rsidR="0026383A" w:rsidRDefault="002638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F59B0" w14:textId="423163FB" w:rsidR="0026383A" w:rsidRPr="00B41DB6" w:rsidRDefault="0026383A">
    <w:pPr>
      <w:pStyle w:val="Header"/>
      <w:jc w:val="center"/>
      <w:rPr>
        <w:rFonts w:ascii="Arial" w:hAnsi="Arial" w:cs="Arial"/>
      </w:rPr>
    </w:pPr>
    <w:sdt>
      <w:sdtPr>
        <w:id w:val="601929994"/>
        <w:docPartObj>
          <w:docPartGallery w:val="Page Numbers (Top of Page)"/>
          <w:docPartUnique/>
        </w:docPartObj>
      </w:sdtPr>
      <w:sdtEndPr>
        <w:rPr>
          <w:rFonts w:ascii="Arial" w:hAnsi="Arial" w:cs="Arial"/>
          <w:noProof/>
        </w:rPr>
      </w:sdtEndPr>
      <w:sdtContent>
        <w:r w:rsidRPr="00B41DB6">
          <w:rPr>
            <w:rFonts w:ascii="Arial" w:hAnsi="Arial" w:cs="Arial"/>
          </w:rPr>
          <w:fldChar w:fldCharType="begin"/>
        </w:r>
        <w:r w:rsidRPr="00B41DB6">
          <w:rPr>
            <w:rFonts w:ascii="Arial" w:hAnsi="Arial" w:cs="Arial"/>
          </w:rPr>
          <w:instrText xml:space="preserve"> PAGE   \* MERGEFORMAT </w:instrText>
        </w:r>
        <w:r w:rsidRPr="00B41DB6">
          <w:rPr>
            <w:rFonts w:ascii="Arial" w:hAnsi="Arial" w:cs="Arial"/>
          </w:rPr>
          <w:fldChar w:fldCharType="separate"/>
        </w:r>
        <w:r w:rsidR="00CA23CB">
          <w:rPr>
            <w:rFonts w:ascii="Arial" w:hAnsi="Arial" w:cs="Arial"/>
            <w:noProof/>
          </w:rPr>
          <w:t>4</w:t>
        </w:r>
        <w:r w:rsidRPr="00B41DB6">
          <w:rPr>
            <w:rFonts w:ascii="Arial" w:hAnsi="Arial" w:cs="Arial"/>
            <w:noProof/>
          </w:rPr>
          <w:fldChar w:fldCharType="end"/>
        </w:r>
      </w:sdtContent>
    </w:sdt>
  </w:p>
  <w:p w14:paraId="34223B45" w14:textId="77777777" w:rsidR="0026383A" w:rsidRDefault="0026383A">
    <w:pPr>
      <w:pStyle w:val="Header"/>
    </w:pPr>
  </w:p>
</w:hdr>
</file>

<file path=word/intelligence2.xml><?xml version="1.0" encoding="utf-8"?>
<int2:intelligence xmlns:int2="http://schemas.microsoft.com/office/intelligence/2020/intelligence" xmlns:oel="http://schemas.microsoft.com/office/2019/extlst">
  <int2:observations>
    <int2:textHash int2:hashCode="+eSB9g7MBrK3TD" int2:id="mC9li0L6">
      <int2:state int2:value="Rejected" int2:type="LegacyProofing"/>
    </int2:textHash>
    <int2:bookmark int2:bookmarkName="_Int_aPqvjJaI" int2:invalidationBookmarkName="" int2:hashCode="O33e2feeLDXobO" int2:id="Bi1UoJpF">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2261FA2"/>
    <w:lvl w:ilvl="0">
      <w:start w:val="1"/>
      <w:numFmt w:val="decimal"/>
      <w:lvlText w:val="%1."/>
      <w:lvlJc w:val="left"/>
      <w:pPr>
        <w:tabs>
          <w:tab w:val="num" w:pos="360"/>
        </w:tabs>
        <w:ind w:left="360" w:hanging="360"/>
      </w:pPr>
    </w:lvl>
  </w:abstractNum>
  <w:abstractNum w:abstractNumId="1" w15:restartNumberingAfterBreak="0">
    <w:nsid w:val="014C7077"/>
    <w:multiLevelType w:val="hybridMultilevel"/>
    <w:tmpl w:val="C0A63974"/>
    <w:lvl w:ilvl="0" w:tplc="85B4BDC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3F90C1B"/>
    <w:multiLevelType w:val="hybridMultilevel"/>
    <w:tmpl w:val="B0F8B00A"/>
    <w:lvl w:ilvl="0" w:tplc="D632FF10">
      <w:start w:val="1"/>
      <w:numFmt w:val="lowerRoman"/>
      <w:pStyle w:val="Heading4"/>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A6DF8"/>
    <w:multiLevelType w:val="hybridMultilevel"/>
    <w:tmpl w:val="27A4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F447E"/>
    <w:multiLevelType w:val="hybridMultilevel"/>
    <w:tmpl w:val="D528E2CA"/>
    <w:lvl w:ilvl="0" w:tplc="5D7E0A76">
      <w:start w:val="1"/>
      <w:numFmt w:val="upperLetter"/>
      <w:pStyle w:val="Heading2"/>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02343F"/>
    <w:multiLevelType w:val="hybridMultilevel"/>
    <w:tmpl w:val="1D7A2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05752"/>
    <w:multiLevelType w:val="hybridMultilevel"/>
    <w:tmpl w:val="62E4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03ABF"/>
    <w:multiLevelType w:val="hybridMultilevel"/>
    <w:tmpl w:val="0116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2F5F"/>
    <w:multiLevelType w:val="hybridMultilevel"/>
    <w:tmpl w:val="0138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276EEA"/>
    <w:multiLevelType w:val="hybridMultilevel"/>
    <w:tmpl w:val="4D3A2C76"/>
    <w:lvl w:ilvl="0" w:tplc="FFFFFFFF">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934689"/>
    <w:multiLevelType w:val="hybridMultilevel"/>
    <w:tmpl w:val="BC84AB38"/>
    <w:lvl w:ilvl="0" w:tplc="08F26B46">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B2F89"/>
    <w:multiLevelType w:val="hybridMultilevel"/>
    <w:tmpl w:val="24CE5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4E6859"/>
    <w:multiLevelType w:val="hybridMultilevel"/>
    <w:tmpl w:val="897834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48195E"/>
    <w:multiLevelType w:val="multilevel"/>
    <w:tmpl w:val="6844913A"/>
    <w:lvl w:ilvl="0">
      <w:start w:val="1"/>
      <w:numFmt w:val="decimal"/>
      <w:lvlText w:val="%1."/>
      <w:lvlJc w:val="left"/>
      <w:pPr>
        <w:tabs>
          <w:tab w:val="num" w:pos="-1253"/>
        </w:tabs>
        <w:ind w:left="-1253" w:hanging="360"/>
      </w:pPr>
      <w:rPr>
        <w:rFonts w:hint="default"/>
      </w:rPr>
    </w:lvl>
    <w:lvl w:ilvl="1">
      <w:start w:val="1"/>
      <w:numFmt w:val="decimal"/>
      <w:lvlText w:val="%1.%2."/>
      <w:lvlJc w:val="left"/>
      <w:pPr>
        <w:tabs>
          <w:tab w:val="num" w:pos="-821"/>
        </w:tabs>
        <w:ind w:left="-821" w:hanging="792"/>
      </w:pPr>
      <w:rPr>
        <w:rFonts w:hint="default"/>
      </w:rPr>
    </w:lvl>
    <w:lvl w:ilvl="2">
      <w:start w:val="1"/>
      <w:numFmt w:val="decimal"/>
      <w:isLgl/>
      <w:lvlText w:val="%1.%2.%3."/>
      <w:lvlJc w:val="left"/>
      <w:pPr>
        <w:tabs>
          <w:tab w:val="num" w:pos="-173"/>
        </w:tabs>
        <w:ind w:left="-389" w:hanging="504"/>
      </w:pPr>
      <w:rPr>
        <w:rFonts w:hint="default"/>
      </w:rPr>
    </w:lvl>
    <w:lvl w:ilvl="3">
      <w:start w:val="1"/>
      <w:numFmt w:val="decimal"/>
      <w:lvlText w:val="%1.%2.%3.%4."/>
      <w:lvlJc w:val="left"/>
      <w:pPr>
        <w:tabs>
          <w:tab w:val="num" w:pos="187"/>
        </w:tabs>
        <w:ind w:left="115" w:hanging="648"/>
      </w:pPr>
      <w:rPr>
        <w:rFonts w:hint="default"/>
      </w:rPr>
    </w:lvl>
    <w:lvl w:ilvl="4">
      <w:start w:val="1"/>
      <w:numFmt w:val="decimal"/>
      <w:lvlText w:val="%1.%2.%3.%4.%5."/>
      <w:lvlJc w:val="left"/>
      <w:pPr>
        <w:tabs>
          <w:tab w:val="num" w:pos="907"/>
        </w:tabs>
        <w:ind w:left="619" w:hanging="792"/>
      </w:pPr>
      <w:rPr>
        <w:rFonts w:hint="default"/>
      </w:rPr>
    </w:lvl>
    <w:lvl w:ilvl="5">
      <w:start w:val="1"/>
      <w:numFmt w:val="decimal"/>
      <w:lvlText w:val="%1.%2.%3.%4.%5.%6."/>
      <w:lvlJc w:val="left"/>
      <w:pPr>
        <w:tabs>
          <w:tab w:val="num" w:pos="1267"/>
        </w:tabs>
        <w:ind w:left="1123" w:hanging="936"/>
      </w:pPr>
      <w:rPr>
        <w:rFonts w:hint="default"/>
      </w:rPr>
    </w:lvl>
    <w:lvl w:ilvl="6">
      <w:start w:val="1"/>
      <w:numFmt w:val="decimal"/>
      <w:lvlText w:val="%1.%2.%3.%4.%5.%6.%7."/>
      <w:lvlJc w:val="left"/>
      <w:pPr>
        <w:tabs>
          <w:tab w:val="num" w:pos="1987"/>
        </w:tabs>
        <w:ind w:left="1627" w:hanging="1080"/>
      </w:pPr>
      <w:rPr>
        <w:rFonts w:hint="default"/>
      </w:rPr>
    </w:lvl>
    <w:lvl w:ilvl="7">
      <w:start w:val="1"/>
      <w:numFmt w:val="decimal"/>
      <w:lvlText w:val="%1.%2.%3.%4.%5.%6.%7.%8."/>
      <w:lvlJc w:val="left"/>
      <w:pPr>
        <w:tabs>
          <w:tab w:val="num" w:pos="2347"/>
        </w:tabs>
        <w:ind w:left="2131" w:hanging="1224"/>
      </w:pPr>
      <w:rPr>
        <w:rFonts w:hint="default"/>
      </w:rPr>
    </w:lvl>
    <w:lvl w:ilvl="8">
      <w:start w:val="1"/>
      <w:numFmt w:val="decimal"/>
      <w:lvlText w:val="%1.%2.%3.%4.%5.%6.%7.%8.%9."/>
      <w:lvlJc w:val="left"/>
      <w:pPr>
        <w:tabs>
          <w:tab w:val="num" w:pos="3067"/>
        </w:tabs>
        <w:ind w:left="2707" w:hanging="1440"/>
      </w:pPr>
      <w:rPr>
        <w:rFonts w:hint="default"/>
      </w:rPr>
    </w:lvl>
  </w:abstractNum>
  <w:abstractNum w:abstractNumId="14" w15:restartNumberingAfterBreak="0">
    <w:nsid w:val="5C6F4681"/>
    <w:multiLevelType w:val="hybridMultilevel"/>
    <w:tmpl w:val="18DC17B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6D726F64"/>
    <w:multiLevelType w:val="hybridMultilevel"/>
    <w:tmpl w:val="6742AE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304AAB"/>
    <w:multiLevelType w:val="hybridMultilevel"/>
    <w:tmpl w:val="E98E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0F55DA"/>
    <w:multiLevelType w:val="hybridMultilevel"/>
    <w:tmpl w:val="8CCAC406"/>
    <w:lvl w:ilvl="0" w:tplc="1009001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360" w:hanging="360"/>
      </w:pPr>
      <w:rPr>
        <w:rFonts w:ascii="Wingdings" w:hAnsi="Wingdings" w:hint="default"/>
      </w:rPr>
    </w:lvl>
    <w:lvl w:ilvl="3" w:tplc="10090001" w:tentative="1">
      <w:start w:val="1"/>
      <w:numFmt w:val="bullet"/>
      <w:lvlText w:val=""/>
      <w:lvlJc w:val="left"/>
      <w:pPr>
        <w:ind w:left="360" w:hanging="360"/>
      </w:pPr>
      <w:rPr>
        <w:rFonts w:ascii="Symbol" w:hAnsi="Symbol" w:hint="default"/>
      </w:rPr>
    </w:lvl>
    <w:lvl w:ilvl="4" w:tplc="10090003" w:tentative="1">
      <w:start w:val="1"/>
      <w:numFmt w:val="bullet"/>
      <w:lvlText w:val="o"/>
      <w:lvlJc w:val="left"/>
      <w:pPr>
        <w:ind w:left="1080" w:hanging="360"/>
      </w:pPr>
      <w:rPr>
        <w:rFonts w:ascii="Courier New" w:hAnsi="Courier New" w:cs="Courier New" w:hint="default"/>
      </w:rPr>
    </w:lvl>
    <w:lvl w:ilvl="5" w:tplc="10090005" w:tentative="1">
      <w:start w:val="1"/>
      <w:numFmt w:val="bullet"/>
      <w:lvlText w:val=""/>
      <w:lvlJc w:val="left"/>
      <w:pPr>
        <w:ind w:left="1800" w:hanging="360"/>
      </w:pPr>
      <w:rPr>
        <w:rFonts w:ascii="Wingdings" w:hAnsi="Wingdings" w:hint="default"/>
      </w:rPr>
    </w:lvl>
    <w:lvl w:ilvl="6" w:tplc="10090001" w:tentative="1">
      <w:start w:val="1"/>
      <w:numFmt w:val="bullet"/>
      <w:lvlText w:val=""/>
      <w:lvlJc w:val="left"/>
      <w:pPr>
        <w:ind w:left="2520" w:hanging="360"/>
      </w:pPr>
      <w:rPr>
        <w:rFonts w:ascii="Symbol" w:hAnsi="Symbol" w:hint="default"/>
      </w:rPr>
    </w:lvl>
    <w:lvl w:ilvl="7" w:tplc="10090003" w:tentative="1">
      <w:start w:val="1"/>
      <w:numFmt w:val="bullet"/>
      <w:lvlText w:val="o"/>
      <w:lvlJc w:val="left"/>
      <w:pPr>
        <w:ind w:left="3240" w:hanging="360"/>
      </w:pPr>
      <w:rPr>
        <w:rFonts w:ascii="Courier New" w:hAnsi="Courier New" w:cs="Courier New" w:hint="default"/>
      </w:rPr>
    </w:lvl>
    <w:lvl w:ilvl="8" w:tplc="10090005" w:tentative="1">
      <w:start w:val="1"/>
      <w:numFmt w:val="bullet"/>
      <w:lvlText w:val=""/>
      <w:lvlJc w:val="left"/>
      <w:pPr>
        <w:ind w:left="3960" w:hanging="360"/>
      </w:pPr>
      <w:rPr>
        <w:rFonts w:ascii="Wingdings" w:hAnsi="Wingdings" w:hint="default"/>
      </w:rPr>
    </w:lvl>
  </w:abstractNum>
  <w:abstractNum w:abstractNumId="18" w15:restartNumberingAfterBreak="0">
    <w:nsid w:val="78A760EE"/>
    <w:multiLevelType w:val="hybridMultilevel"/>
    <w:tmpl w:val="B16E3A04"/>
    <w:lvl w:ilvl="0" w:tplc="99B8CA1E">
      <w:start w:val="1"/>
      <w:numFmt w:val="bullet"/>
      <w:lvlText w:val=""/>
      <w:lvlJc w:val="left"/>
      <w:pPr>
        <w:tabs>
          <w:tab w:val="num" w:pos="360"/>
        </w:tabs>
        <w:ind w:left="360" w:hanging="360"/>
      </w:pPr>
      <w:rPr>
        <w:rFonts w:ascii="Symbol" w:hAnsi="Symbol" w:hint="default"/>
      </w:rPr>
    </w:lvl>
    <w:lvl w:ilvl="1" w:tplc="81448456">
      <w:start w:val="1"/>
      <w:numFmt w:val="decimal"/>
      <w:lvlText w:val="%2."/>
      <w:lvlJc w:val="left"/>
      <w:pPr>
        <w:tabs>
          <w:tab w:val="num" w:pos="1080"/>
        </w:tabs>
        <w:ind w:left="1080" w:hanging="360"/>
      </w:pPr>
      <w:rPr>
        <w:rFonts w:hint="default"/>
      </w:rPr>
    </w:lvl>
    <w:lvl w:ilvl="2" w:tplc="3760B630">
      <w:start w:val="1"/>
      <w:numFmt w:val="bullet"/>
      <w:lvlText w:val=""/>
      <w:lvlJc w:val="left"/>
      <w:pPr>
        <w:tabs>
          <w:tab w:val="num" w:pos="1800"/>
        </w:tabs>
        <w:ind w:left="1800" w:hanging="360"/>
      </w:pPr>
      <w:rPr>
        <w:rFonts w:ascii="Wingdings" w:hAnsi="Wingdings" w:hint="default"/>
      </w:rPr>
    </w:lvl>
    <w:lvl w:ilvl="3" w:tplc="DAF236B8" w:tentative="1">
      <w:start w:val="1"/>
      <w:numFmt w:val="bullet"/>
      <w:lvlText w:val=""/>
      <w:lvlJc w:val="left"/>
      <w:pPr>
        <w:tabs>
          <w:tab w:val="num" w:pos="2520"/>
        </w:tabs>
        <w:ind w:left="2520" w:hanging="360"/>
      </w:pPr>
      <w:rPr>
        <w:rFonts w:ascii="Symbol" w:hAnsi="Symbol" w:hint="default"/>
      </w:rPr>
    </w:lvl>
    <w:lvl w:ilvl="4" w:tplc="A34E6520" w:tentative="1">
      <w:start w:val="1"/>
      <w:numFmt w:val="bullet"/>
      <w:lvlText w:val="o"/>
      <w:lvlJc w:val="left"/>
      <w:pPr>
        <w:tabs>
          <w:tab w:val="num" w:pos="3240"/>
        </w:tabs>
        <w:ind w:left="3240" w:hanging="360"/>
      </w:pPr>
      <w:rPr>
        <w:rFonts w:ascii="Courier New" w:hAnsi="Courier New" w:cs="Courier New" w:hint="default"/>
      </w:rPr>
    </w:lvl>
    <w:lvl w:ilvl="5" w:tplc="D60AD096" w:tentative="1">
      <w:start w:val="1"/>
      <w:numFmt w:val="bullet"/>
      <w:lvlText w:val=""/>
      <w:lvlJc w:val="left"/>
      <w:pPr>
        <w:tabs>
          <w:tab w:val="num" w:pos="3960"/>
        </w:tabs>
        <w:ind w:left="3960" w:hanging="360"/>
      </w:pPr>
      <w:rPr>
        <w:rFonts w:ascii="Wingdings" w:hAnsi="Wingdings" w:hint="default"/>
      </w:rPr>
    </w:lvl>
    <w:lvl w:ilvl="6" w:tplc="A26C7F38" w:tentative="1">
      <w:start w:val="1"/>
      <w:numFmt w:val="bullet"/>
      <w:lvlText w:val=""/>
      <w:lvlJc w:val="left"/>
      <w:pPr>
        <w:tabs>
          <w:tab w:val="num" w:pos="4680"/>
        </w:tabs>
        <w:ind w:left="4680" w:hanging="360"/>
      </w:pPr>
      <w:rPr>
        <w:rFonts w:ascii="Symbol" w:hAnsi="Symbol" w:hint="default"/>
      </w:rPr>
    </w:lvl>
    <w:lvl w:ilvl="7" w:tplc="1E4A60AC" w:tentative="1">
      <w:start w:val="1"/>
      <w:numFmt w:val="bullet"/>
      <w:lvlText w:val="o"/>
      <w:lvlJc w:val="left"/>
      <w:pPr>
        <w:tabs>
          <w:tab w:val="num" w:pos="5400"/>
        </w:tabs>
        <w:ind w:left="5400" w:hanging="360"/>
      </w:pPr>
      <w:rPr>
        <w:rFonts w:ascii="Courier New" w:hAnsi="Courier New" w:cs="Courier New" w:hint="default"/>
      </w:rPr>
    </w:lvl>
    <w:lvl w:ilvl="8" w:tplc="216807B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DF32127"/>
    <w:multiLevelType w:val="hybridMultilevel"/>
    <w:tmpl w:val="1AFE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9"/>
  </w:num>
  <w:num w:numId="4">
    <w:abstractNumId w:val="3"/>
  </w:num>
  <w:num w:numId="5">
    <w:abstractNumId w:val="6"/>
  </w:num>
  <w:num w:numId="6">
    <w:abstractNumId w:val="16"/>
  </w:num>
  <w:num w:numId="7">
    <w:abstractNumId w:val="4"/>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2"/>
  </w:num>
  <w:num w:numId="21">
    <w:abstractNumId w:val="4"/>
    <w:lvlOverride w:ilvl="0">
      <w:startOverride w:val="1"/>
    </w:lvlOverride>
  </w:num>
  <w:num w:numId="22">
    <w:abstractNumId w:val="4"/>
    <w:lvlOverride w:ilvl="0">
      <w:startOverride w:val="1"/>
    </w:lvlOverride>
  </w:num>
  <w:num w:numId="23">
    <w:abstractNumId w:val="8"/>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4"/>
    <w:lvlOverride w:ilvl="0">
      <w:startOverride w:val="1"/>
    </w:lvlOverride>
  </w:num>
  <w:num w:numId="30">
    <w:abstractNumId w:val="13"/>
  </w:num>
  <w:num w:numId="31">
    <w:abstractNumId w:val="11"/>
  </w:num>
  <w:num w:numId="32">
    <w:abstractNumId w:val="15"/>
  </w:num>
  <w:num w:numId="33">
    <w:abstractNumId w:val="12"/>
  </w:num>
  <w:num w:numId="34">
    <w:abstractNumId w:val="0"/>
    <w:lvlOverride w:ilvl="0">
      <w:startOverride w:val="1"/>
    </w:lvlOverride>
  </w:num>
  <w:num w:numId="35">
    <w:abstractNumId w:val="18"/>
  </w:num>
  <w:num w:numId="36">
    <w:abstractNumId w:val="1"/>
  </w:num>
  <w:num w:numId="37">
    <w:abstractNumId w:val="14"/>
  </w:num>
  <w:num w:numId="38">
    <w:abstractNumId w:val="17"/>
  </w:num>
  <w:num w:numId="39">
    <w:abstractNumId w:val="5"/>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A20"/>
    <w:rsid w:val="0000326E"/>
    <w:rsid w:val="00005692"/>
    <w:rsid w:val="00013C93"/>
    <w:rsid w:val="000165BF"/>
    <w:rsid w:val="000204D5"/>
    <w:rsid w:val="00020E52"/>
    <w:rsid w:val="00021F4B"/>
    <w:rsid w:val="00024D6B"/>
    <w:rsid w:val="00025F4F"/>
    <w:rsid w:val="0003524A"/>
    <w:rsid w:val="00035DCF"/>
    <w:rsid w:val="00037B26"/>
    <w:rsid w:val="000400B3"/>
    <w:rsid w:val="00040214"/>
    <w:rsid w:val="000407F3"/>
    <w:rsid w:val="00042030"/>
    <w:rsid w:val="00050EC9"/>
    <w:rsid w:val="000550E6"/>
    <w:rsid w:val="00063AB2"/>
    <w:rsid w:val="00072E99"/>
    <w:rsid w:val="000746BE"/>
    <w:rsid w:val="00076B00"/>
    <w:rsid w:val="00081209"/>
    <w:rsid w:val="00081A5A"/>
    <w:rsid w:val="00084BAE"/>
    <w:rsid w:val="00095878"/>
    <w:rsid w:val="00096977"/>
    <w:rsid w:val="000A0C54"/>
    <w:rsid w:val="000A5015"/>
    <w:rsid w:val="000A5309"/>
    <w:rsid w:val="000B623C"/>
    <w:rsid w:val="000B697F"/>
    <w:rsid w:val="000C2954"/>
    <w:rsid w:val="000C3246"/>
    <w:rsid w:val="000C568D"/>
    <w:rsid w:val="000D497A"/>
    <w:rsid w:val="000D66EC"/>
    <w:rsid w:val="000E0EA2"/>
    <w:rsid w:val="000E3AF9"/>
    <w:rsid w:val="000E5763"/>
    <w:rsid w:val="000E7F86"/>
    <w:rsid w:val="000F41BE"/>
    <w:rsid w:val="001077F0"/>
    <w:rsid w:val="00110FEB"/>
    <w:rsid w:val="001155AF"/>
    <w:rsid w:val="001203D7"/>
    <w:rsid w:val="00125CE2"/>
    <w:rsid w:val="001306CF"/>
    <w:rsid w:val="00137D10"/>
    <w:rsid w:val="001407FD"/>
    <w:rsid w:val="00143056"/>
    <w:rsid w:val="00145D7F"/>
    <w:rsid w:val="00145E06"/>
    <w:rsid w:val="001560CE"/>
    <w:rsid w:val="001579D3"/>
    <w:rsid w:val="001615EE"/>
    <w:rsid w:val="00165B77"/>
    <w:rsid w:val="00171133"/>
    <w:rsid w:val="00180106"/>
    <w:rsid w:val="00181EAB"/>
    <w:rsid w:val="0018438E"/>
    <w:rsid w:val="00196C79"/>
    <w:rsid w:val="00197185"/>
    <w:rsid w:val="001A08F0"/>
    <w:rsid w:val="001A13EE"/>
    <w:rsid w:val="001A4B75"/>
    <w:rsid w:val="001A4ECC"/>
    <w:rsid w:val="001A7793"/>
    <w:rsid w:val="001B000F"/>
    <w:rsid w:val="001B1A47"/>
    <w:rsid w:val="001B2E7F"/>
    <w:rsid w:val="001B3728"/>
    <w:rsid w:val="001B7B10"/>
    <w:rsid w:val="001C0F3C"/>
    <w:rsid w:val="001C4A47"/>
    <w:rsid w:val="001C5B68"/>
    <w:rsid w:val="001C7769"/>
    <w:rsid w:val="001D067D"/>
    <w:rsid w:val="001D4ACC"/>
    <w:rsid w:val="001E3B61"/>
    <w:rsid w:val="00200C96"/>
    <w:rsid w:val="00200CA9"/>
    <w:rsid w:val="00201488"/>
    <w:rsid w:val="00203471"/>
    <w:rsid w:val="002042BC"/>
    <w:rsid w:val="00205A2E"/>
    <w:rsid w:val="00206AF2"/>
    <w:rsid w:val="00207512"/>
    <w:rsid w:val="00207B2C"/>
    <w:rsid w:val="00212A11"/>
    <w:rsid w:val="0021780A"/>
    <w:rsid w:val="002216CF"/>
    <w:rsid w:val="00222343"/>
    <w:rsid w:val="0022566C"/>
    <w:rsid w:val="00225B33"/>
    <w:rsid w:val="00230A4B"/>
    <w:rsid w:val="00231A72"/>
    <w:rsid w:val="00232F19"/>
    <w:rsid w:val="00233598"/>
    <w:rsid w:val="002360B3"/>
    <w:rsid w:val="002374B6"/>
    <w:rsid w:val="0025095D"/>
    <w:rsid w:val="00255879"/>
    <w:rsid w:val="002562BA"/>
    <w:rsid w:val="00260CBC"/>
    <w:rsid w:val="00261957"/>
    <w:rsid w:val="0026383A"/>
    <w:rsid w:val="00264FC3"/>
    <w:rsid w:val="00267478"/>
    <w:rsid w:val="00272227"/>
    <w:rsid w:val="00272623"/>
    <w:rsid w:val="002737B8"/>
    <w:rsid w:val="002757FE"/>
    <w:rsid w:val="00290689"/>
    <w:rsid w:val="00290CD9"/>
    <w:rsid w:val="0029479E"/>
    <w:rsid w:val="00296C0A"/>
    <w:rsid w:val="002A17D1"/>
    <w:rsid w:val="002A5BF2"/>
    <w:rsid w:val="002B2212"/>
    <w:rsid w:val="002B4B81"/>
    <w:rsid w:val="002C0DF4"/>
    <w:rsid w:val="002C2137"/>
    <w:rsid w:val="002C2775"/>
    <w:rsid w:val="002C54C4"/>
    <w:rsid w:val="002C6DA0"/>
    <w:rsid w:val="002C74D9"/>
    <w:rsid w:val="002D5E86"/>
    <w:rsid w:val="002D5F01"/>
    <w:rsid w:val="002E302D"/>
    <w:rsid w:val="002E64F0"/>
    <w:rsid w:val="002E70D3"/>
    <w:rsid w:val="002E7671"/>
    <w:rsid w:val="002E76F3"/>
    <w:rsid w:val="002F4D1F"/>
    <w:rsid w:val="00304131"/>
    <w:rsid w:val="00307304"/>
    <w:rsid w:val="00307465"/>
    <w:rsid w:val="00312B20"/>
    <w:rsid w:val="00315902"/>
    <w:rsid w:val="00320787"/>
    <w:rsid w:val="00320CB8"/>
    <w:rsid w:val="00322749"/>
    <w:rsid w:val="003228E2"/>
    <w:rsid w:val="0033324D"/>
    <w:rsid w:val="00337E5C"/>
    <w:rsid w:val="00342795"/>
    <w:rsid w:val="003454C2"/>
    <w:rsid w:val="003524DE"/>
    <w:rsid w:val="00353FFB"/>
    <w:rsid w:val="00354ADD"/>
    <w:rsid w:val="003629F7"/>
    <w:rsid w:val="00365384"/>
    <w:rsid w:val="003670FB"/>
    <w:rsid w:val="00375E5D"/>
    <w:rsid w:val="00381042"/>
    <w:rsid w:val="00384B0F"/>
    <w:rsid w:val="00395A20"/>
    <w:rsid w:val="003A00A0"/>
    <w:rsid w:val="003A2A19"/>
    <w:rsid w:val="003B0429"/>
    <w:rsid w:val="003B4BA8"/>
    <w:rsid w:val="003B6356"/>
    <w:rsid w:val="003C3BC9"/>
    <w:rsid w:val="003C47F1"/>
    <w:rsid w:val="003C5C94"/>
    <w:rsid w:val="003C5CED"/>
    <w:rsid w:val="003E2080"/>
    <w:rsid w:val="003E6700"/>
    <w:rsid w:val="003E6A53"/>
    <w:rsid w:val="003E6EDE"/>
    <w:rsid w:val="003F112E"/>
    <w:rsid w:val="003F343E"/>
    <w:rsid w:val="003F4E5A"/>
    <w:rsid w:val="003F7DBB"/>
    <w:rsid w:val="00405046"/>
    <w:rsid w:val="004068CC"/>
    <w:rsid w:val="0041176F"/>
    <w:rsid w:val="00412EDA"/>
    <w:rsid w:val="0041704F"/>
    <w:rsid w:val="00417F12"/>
    <w:rsid w:val="00434D0E"/>
    <w:rsid w:val="004351A5"/>
    <w:rsid w:val="004369E6"/>
    <w:rsid w:val="004430FD"/>
    <w:rsid w:val="004432A8"/>
    <w:rsid w:val="00450655"/>
    <w:rsid w:val="00452E8F"/>
    <w:rsid w:val="00454A18"/>
    <w:rsid w:val="00457FAF"/>
    <w:rsid w:val="0046240A"/>
    <w:rsid w:val="00464AB0"/>
    <w:rsid w:val="004737DC"/>
    <w:rsid w:val="0047527F"/>
    <w:rsid w:val="00480671"/>
    <w:rsid w:val="00483A03"/>
    <w:rsid w:val="00486267"/>
    <w:rsid w:val="00486A10"/>
    <w:rsid w:val="004877D0"/>
    <w:rsid w:val="00497C67"/>
    <w:rsid w:val="004B1C37"/>
    <w:rsid w:val="004C33EF"/>
    <w:rsid w:val="004C7A5D"/>
    <w:rsid w:val="004D2421"/>
    <w:rsid w:val="004D5172"/>
    <w:rsid w:val="004E3009"/>
    <w:rsid w:val="004E6BBD"/>
    <w:rsid w:val="004F2A0B"/>
    <w:rsid w:val="00507B3D"/>
    <w:rsid w:val="00507BE6"/>
    <w:rsid w:val="00514071"/>
    <w:rsid w:val="005169BB"/>
    <w:rsid w:val="00525070"/>
    <w:rsid w:val="005266B3"/>
    <w:rsid w:val="00535BED"/>
    <w:rsid w:val="00536E72"/>
    <w:rsid w:val="005402FE"/>
    <w:rsid w:val="0055084D"/>
    <w:rsid w:val="00551427"/>
    <w:rsid w:val="00552103"/>
    <w:rsid w:val="005560B6"/>
    <w:rsid w:val="0056158C"/>
    <w:rsid w:val="00580718"/>
    <w:rsid w:val="0058146E"/>
    <w:rsid w:val="00582997"/>
    <w:rsid w:val="00584204"/>
    <w:rsid w:val="00593263"/>
    <w:rsid w:val="005948A1"/>
    <w:rsid w:val="005A1B6E"/>
    <w:rsid w:val="005A2E21"/>
    <w:rsid w:val="005A31DA"/>
    <w:rsid w:val="005A5F44"/>
    <w:rsid w:val="005B1D00"/>
    <w:rsid w:val="005B54C4"/>
    <w:rsid w:val="005C43FF"/>
    <w:rsid w:val="005C710E"/>
    <w:rsid w:val="005D0F34"/>
    <w:rsid w:val="005D1E84"/>
    <w:rsid w:val="005D1F09"/>
    <w:rsid w:val="005D46FF"/>
    <w:rsid w:val="005E3574"/>
    <w:rsid w:val="005E439C"/>
    <w:rsid w:val="005F29AD"/>
    <w:rsid w:val="005F7764"/>
    <w:rsid w:val="00606A38"/>
    <w:rsid w:val="00607061"/>
    <w:rsid w:val="00607C5C"/>
    <w:rsid w:val="006109D9"/>
    <w:rsid w:val="00611DD8"/>
    <w:rsid w:val="0061370E"/>
    <w:rsid w:val="00620FC1"/>
    <w:rsid w:val="006214B7"/>
    <w:rsid w:val="0062377A"/>
    <w:rsid w:val="00623DE3"/>
    <w:rsid w:val="00624356"/>
    <w:rsid w:val="006259A7"/>
    <w:rsid w:val="00633E92"/>
    <w:rsid w:val="006353ED"/>
    <w:rsid w:val="0063694D"/>
    <w:rsid w:val="00641ABC"/>
    <w:rsid w:val="006423A9"/>
    <w:rsid w:val="006478F5"/>
    <w:rsid w:val="00652CD6"/>
    <w:rsid w:val="00663B21"/>
    <w:rsid w:val="00665B83"/>
    <w:rsid w:val="0066680C"/>
    <w:rsid w:val="006701B6"/>
    <w:rsid w:val="00671F75"/>
    <w:rsid w:val="00673B40"/>
    <w:rsid w:val="00682160"/>
    <w:rsid w:val="006844B5"/>
    <w:rsid w:val="00684C0D"/>
    <w:rsid w:val="00686C21"/>
    <w:rsid w:val="00690909"/>
    <w:rsid w:val="00695496"/>
    <w:rsid w:val="006B0AEB"/>
    <w:rsid w:val="006B2AB5"/>
    <w:rsid w:val="006B71CB"/>
    <w:rsid w:val="006B74BE"/>
    <w:rsid w:val="006C0AEC"/>
    <w:rsid w:val="006C416D"/>
    <w:rsid w:val="006C64C5"/>
    <w:rsid w:val="006D04C4"/>
    <w:rsid w:val="006D19D2"/>
    <w:rsid w:val="006D221A"/>
    <w:rsid w:val="006D2A18"/>
    <w:rsid w:val="006D366E"/>
    <w:rsid w:val="006E04A3"/>
    <w:rsid w:val="006E08F9"/>
    <w:rsid w:val="006E2939"/>
    <w:rsid w:val="006E67FD"/>
    <w:rsid w:val="006F1C22"/>
    <w:rsid w:val="006F4257"/>
    <w:rsid w:val="006F46E5"/>
    <w:rsid w:val="00702790"/>
    <w:rsid w:val="00703920"/>
    <w:rsid w:val="007118F0"/>
    <w:rsid w:val="00715E8A"/>
    <w:rsid w:val="00715FB7"/>
    <w:rsid w:val="00722FD6"/>
    <w:rsid w:val="007362BF"/>
    <w:rsid w:val="00740670"/>
    <w:rsid w:val="007413B5"/>
    <w:rsid w:val="00744D1E"/>
    <w:rsid w:val="00750A97"/>
    <w:rsid w:val="00752B44"/>
    <w:rsid w:val="0075347D"/>
    <w:rsid w:val="00755C03"/>
    <w:rsid w:val="007569B4"/>
    <w:rsid w:val="00768253"/>
    <w:rsid w:val="00771155"/>
    <w:rsid w:val="00771DD9"/>
    <w:rsid w:val="00774C5A"/>
    <w:rsid w:val="007A610F"/>
    <w:rsid w:val="007A7C95"/>
    <w:rsid w:val="007B45BD"/>
    <w:rsid w:val="007B780A"/>
    <w:rsid w:val="007C6B74"/>
    <w:rsid w:val="007D2A53"/>
    <w:rsid w:val="007E16C4"/>
    <w:rsid w:val="007E5B97"/>
    <w:rsid w:val="007F0AF8"/>
    <w:rsid w:val="007F1411"/>
    <w:rsid w:val="007F3D0C"/>
    <w:rsid w:val="007F52F6"/>
    <w:rsid w:val="008035BA"/>
    <w:rsid w:val="008041F6"/>
    <w:rsid w:val="00806198"/>
    <w:rsid w:val="00815413"/>
    <w:rsid w:val="00815C4C"/>
    <w:rsid w:val="00824448"/>
    <w:rsid w:val="008303A9"/>
    <w:rsid w:val="00830416"/>
    <w:rsid w:val="00831E66"/>
    <w:rsid w:val="0083439F"/>
    <w:rsid w:val="008346BE"/>
    <w:rsid w:val="008350A7"/>
    <w:rsid w:val="00835398"/>
    <w:rsid w:val="00837ECA"/>
    <w:rsid w:val="00843F4B"/>
    <w:rsid w:val="008511A8"/>
    <w:rsid w:val="008516E0"/>
    <w:rsid w:val="00852A9D"/>
    <w:rsid w:val="008532FF"/>
    <w:rsid w:val="00853620"/>
    <w:rsid w:val="00856091"/>
    <w:rsid w:val="00860ACD"/>
    <w:rsid w:val="008638F4"/>
    <w:rsid w:val="008705AE"/>
    <w:rsid w:val="0087062F"/>
    <w:rsid w:val="00871C10"/>
    <w:rsid w:val="00874318"/>
    <w:rsid w:val="008764B3"/>
    <w:rsid w:val="00877820"/>
    <w:rsid w:val="0088029C"/>
    <w:rsid w:val="00880F74"/>
    <w:rsid w:val="00884725"/>
    <w:rsid w:val="008854C6"/>
    <w:rsid w:val="00887DB1"/>
    <w:rsid w:val="0089142D"/>
    <w:rsid w:val="008924C4"/>
    <w:rsid w:val="00894051"/>
    <w:rsid w:val="00894503"/>
    <w:rsid w:val="0089736E"/>
    <w:rsid w:val="008A034F"/>
    <w:rsid w:val="008A523D"/>
    <w:rsid w:val="008A7AC9"/>
    <w:rsid w:val="008B0183"/>
    <w:rsid w:val="008B1866"/>
    <w:rsid w:val="008B4F7C"/>
    <w:rsid w:val="008C1A27"/>
    <w:rsid w:val="008C3FD3"/>
    <w:rsid w:val="008C4DC8"/>
    <w:rsid w:val="008C5C74"/>
    <w:rsid w:val="008D00CD"/>
    <w:rsid w:val="008D4640"/>
    <w:rsid w:val="008D5716"/>
    <w:rsid w:val="008E1EAC"/>
    <w:rsid w:val="008E208A"/>
    <w:rsid w:val="008E6A6D"/>
    <w:rsid w:val="008E6C03"/>
    <w:rsid w:val="008F092E"/>
    <w:rsid w:val="008F2E4B"/>
    <w:rsid w:val="008F6918"/>
    <w:rsid w:val="009007AF"/>
    <w:rsid w:val="009128C9"/>
    <w:rsid w:val="009209BB"/>
    <w:rsid w:val="00920F91"/>
    <w:rsid w:val="00926C1F"/>
    <w:rsid w:val="00927A3B"/>
    <w:rsid w:val="009306F6"/>
    <w:rsid w:val="009332B7"/>
    <w:rsid w:val="009438AB"/>
    <w:rsid w:val="00945A53"/>
    <w:rsid w:val="0095134A"/>
    <w:rsid w:val="009549CA"/>
    <w:rsid w:val="009567C5"/>
    <w:rsid w:val="00962835"/>
    <w:rsid w:val="0096615B"/>
    <w:rsid w:val="009671DD"/>
    <w:rsid w:val="00975D1C"/>
    <w:rsid w:val="009835C4"/>
    <w:rsid w:val="00984678"/>
    <w:rsid w:val="00987A59"/>
    <w:rsid w:val="009908C1"/>
    <w:rsid w:val="00997F01"/>
    <w:rsid w:val="009A484C"/>
    <w:rsid w:val="009A780E"/>
    <w:rsid w:val="009A7D15"/>
    <w:rsid w:val="009B457D"/>
    <w:rsid w:val="009B6E61"/>
    <w:rsid w:val="009C68AF"/>
    <w:rsid w:val="009C7C9D"/>
    <w:rsid w:val="009E06D6"/>
    <w:rsid w:val="009E2DEF"/>
    <w:rsid w:val="009F5131"/>
    <w:rsid w:val="009F7052"/>
    <w:rsid w:val="009F7C9B"/>
    <w:rsid w:val="009F7D90"/>
    <w:rsid w:val="00A24306"/>
    <w:rsid w:val="00A29CF4"/>
    <w:rsid w:val="00A329C8"/>
    <w:rsid w:val="00A333DA"/>
    <w:rsid w:val="00A367C6"/>
    <w:rsid w:val="00A4246E"/>
    <w:rsid w:val="00A4733B"/>
    <w:rsid w:val="00A5282D"/>
    <w:rsid w:val="00A52CC4"/>
    <w:rsid w:val="00A575B3"/>
    <w:rsid w:val="00A57AE8"/>
    <w:rsid w:val="00A665F6"/>
    <w:rsid w:val="00A6C1AC"/>
    <w:rsid w:val="00A70AFA"/>
    <w:rsid w:val="00A729BA"/>
    <w:rsid w:val="00A74079"/>
    <w:rsid w:val="00A825D8"/>
    <w:rsid w:val="00A85458"/>
    <w:rsid w:val="00A878B6"/>
    <w:rsid w:val="00A91C7D"/>
    <w:rsid w:val="00AA147D"/>
    <w:rsid w:val="00AB5C7A"/>
    <w:rsid w:val="00AB6A93"/>
    <w:rsid w:val="00AB79F4"/>
    <w:rsid w:val="00AC321E"/>
    <w:rsid w:val="00AC686C"/>
    <w:rsid w:val="00AC6B17"/>
    <w:rsid w:val="00AC6BF1"/>
    <w:rsid w:val="00AD25E4"/>
    <w:rsid w:val="00AD7C28"/>
    <w:rsid w:val="00AE0DC9"/>
    <w:rsid w:val="00AE4CD6"/>
    <w:rsid w:val="00B02EA9"/>
    <w:rsid w:val="00B0311D"/>
    <w:rsid w:val="00B063A4"/>
    <w:rsid w:val="00B13342"/>
    <w:rsid w:val="00B147DC"/>
    <w:rsid w:val="00B156CB"/>
    <w:rsid w:val="00B20258"/>
    <w:rsid w:val="00B240CA"/>
    <w:rsid w:val="00B3449F"/>
    <w:rsid w:val="00B371B4"/>
    <w:rsid w:val="00B41DB6"/>
    <w:rsid w:val="00B42B19"/>
    <w:rsid w:val="00B4429C"/>
    <w:rsid w:val="00B5504C"/>
    <w:rsid w:val="00B65FAA"/>
    <w:rsid w:val="00B71DB1"/>
    <w:rsid w:val="00B809D5"/>
    <w:rsid w:val="00B83EB5"/>
    <w:rsid w:val="00B8591D"/>
    <w:rsid w:val="00B862E4"/>
    <w:rsid w:val="00B90561"/>
    <w:rsid w:val="00B9059B"/>
    <w:rsid w:val="00B94CD5"/>
    <w:rsid w:val="00B960E6"/>
    <w:rsid w:val="00BA5558"/>
    <w:rsid w:val="00BB04C2"/>
    <w:rsid w:val="00BB53D2"/>
    <w:rsid w:val="00BB5C5D"/>
    <w:rsid w:val="00BC34DC"/>
    <w:rsid w:val="00BD0316"/>
    <w:rsid w:val="00BD2D44"/>
    <w:rsid w:val="00BD7CB0"/>
    <w:rsid w:val="00BE1CC2"/>
    <w:rsid w:val="00BF6159"/>
    <w:rsid w:val="00C01D9D"/>
    <w:rsid w:val="00C14E52"/>
    <w:rsid w:val="00C15AEC"/>
    <w:rsid w:val="00C16229"/>
    <w:rsid w:val="00C17FF2"/>
    <w:rsid w:val="00C20878"/>
    <w:rsid w:val="00C337F8"/>
    <w:rsid w:val="00C33A23"/>
    <w:rsid w:val="00C33EB3"/>
    <w:rsid w:val="00C34D46"/>
    <w:rsid w:val="00C3655E"/>
    <w:rsid w:val="00C459A7"/>
    <w:rsid w:val="00C562BE"/>
    <w:rsid w:val="00C57811"/>
    <w:rsid w:val="00C6325C"/>
    <w:rsid w:val="00C64150"/>
    <w:rsid w:val="00C65384"/>
    <w:rsid w:val="00C66765"/>
    <w:rsid w:val="00C72C4B"/>
    <w:rsid w:val="00C7301E"/>
    <w:rsid w:val="00C76E0C"/>
    <w:rsid w:val="00C80379"/>
    <w:rsid w:val="00C8718F"/>
    <w:rsid w:val="00C87DC2"/>
    <w:rsid w:val="00C923DA"/>
    <w:rsid w:val="00C977C6"/>
    <w:rsid w:val="00CA0182"/>
    <w:rsid w:val="00CA04DF"/>
    <w:rsid w:val="00CA23CB"/>
    <w:rsid w:val="00CA30A6"/>
    <w:rsid w:val="00CA36D2"/>
    <w:rsid w:val="00CA46EC"/>
    <w:rsid w:val="00CA5740"/>
    <w:rsid w:val="00CA702A"/>
    <w:rsid w:val="00CB0E9B"/>
    <w:rsid w:val="00CB312A"/>
    <w:rsid w:val="00CB5F64"/>
    <w:rsid w:val="00CC27BD"/>
    <w:rsid w:val="00CE265D"/>
    <w:rsid w:val="00CE2A3F"/>
    <w:rsid w:val="00CE3671"/>
    <w:rsid w:val="00CE5B88"/>
    <w:rsid w:val="00CF3B66"/>
    <w:rsid w:val="00CF68F3"/>
    <w:rsid w:val="00D01681"/>
    <w:rsid w:val="00D02A3E"/>
    <w:rsid w:val="00D043FA"/>
    <w:rsid w:val="00D06617"/>
    <w:rsid w:val="00D104B7"/>
    <w:rsid w:val="00D11993"/>
    <w:rsid w:val="00D147F4"/>
    <w:rsid w:val="00D20C5F"/>
    <w:rsid w:val="00D24281"/>
    <w:rsid w:val="00D24CE2"/>
    <w:rsid w:val="00D2631A"/>
    <w:rsid w:val="00D27DAF"/>
    <w:rsid w:val="00D31076"/>
    <w:rsid w:val="00D34A10"/>
    <w:rsid w:val="00D44D4F"/>
    <w:rsid w:val="00D46C63"/>
    <w:rsid w:val="00D4795B"/>
    <w:rsid w:val="00D50476"/>
    <w:rsid w:val="00D52526"/>
    <w:rsid w:val="00D549D8"/>
    <w:rsid w:val="00D560CF"/>
    <w:rsid w:val="00D568AD"/>
    <w:rsid w:val="00D57481"/>
    <w:rsid w:val="00D60A3C"/>
    <w:rsid w:val="00D64A99"/>
    <w:rsid w:val="00D65A3F"/>
    <w:rsid w:val="00D72376"/>
    <w:rsid w:val="00D848D4"/>
    <w:rsid w:val="00D940ED"/>
    <w:rsid w:val="00DAA019"/>
    <w:rsid w:val="00DB3023"/>
    <w:rsid w:val="00DC26A3"/>
    <w:rsid w:val="00DD7C28"/>
    <w:rsid w:val="00DE133C"/>
    <w:rsid w:val="00DF2505"/>
    <w:rsid w:val="00DF5238"/>
    <w:rsid w:val="00E0243B"/>
    <w:rsid w:val="00E07D4F"/>
    <w:rsid w:val="00E151CF"/>
    <w:rsid w:val="00E203D6"/>
    <w:rsid w:val="00E20690"/>
    <w:rsid w:val="00E254CA"/>
    <w:rsid w:val="00E25C4C"/>
    <w:rsid w:val="00E2662A"/>
    <w:rsid w:val="00E26FCC"/>
    <w:rsid w:val="00E32C15"/>
    <w:rsid w:val="00E37890"/>
    <w:rsid w:val="00E37EE1"/>
    <w:rsid w:val="00E41051"/>
    <w:rsid w:val="00E45FE4"/>
    <w:rsid w:val="00E53A78"/>
    <w:rsid w:val="00E54742"/>
    <w:rsid w:val="00E56515"/>
    <w:rsid w:val="00E64945"/>
    <w:rsid w:val="00E70497"/>
    <w:rsid w:val="00E71AFF"/>
    <w:rsid w:val="00E84F49"/>
    <w:rsid w:val="00E870AD"/>
    <w:rsid w:val="00E878D1"/>
    <w:rsid w:val="00E9221F"/>
    <w:rsid w:val="00E93C66"/>
    <w:rsid w:val="00E94D55"/>
    <w:rsid w:val="00E96D1B"/>
    <w:rsid w:val="00E96DFD"/>
    <w:rsid w:val="00EA28E7"/>
    <w:rsid w:val="00EA3926"/>
    <w:rsid w:val="00EA755F"/>
    <w:rsid w:val="00EB1F7B"/>
    <w:rsid w:val="00EB23F8"/>
    <w:rsid w:val="00EB4C6B"/>
    <w:rsid w:val="00EB63AC"/>
    <w:rsid w:val="00EB74A4"/>
    <w:rsid w:val="00EC171A"/>
    <w:rsid w:val="00EC2AB9"/>
    <w:rsid w:val="00EC5222"/>
    <w:rsid w:val="00EC5675"/>
    <w:rsid w:val="00EC69B8"/>
    <w:rsid w:val="00ED0D88"/>
    <w:rsid w:val="00ED16FB"/>
    <w:rsid w:val="00ED5134"/>
    <w:rsid w:val="00ED5A52"/>
    <w:rsid w:val="00ED6ED9"/>
    <w:rsid w:val="00EE05A1"/>
    <w:rsid w:val="00EE7D01"/>
    <w:rsid w:val="00F00C1C"/>
    <w:rsid w:val="00F0352B"/>
    <w:rsid w:val="00F06705"/>
    <w:rsid w:val="00F10E7E"/>
    <w:rsid w:val="00F13193"/>
    <w:rsid w:val="00F17A47"/>
    <w:rsid w:val="00F22E19"/>
    <w:rsid w:val="00F338B6"/>
    <w:rsid w:val="00F35B56"/>
    <w:rsid w:val="00F42E40"/>
    <w:rsid w:val="00F475F4"/>
    <w:rsid w:val="00F4C38C"/>
    <w:rsid w:val="00F5069D"/>
    <w:rsid w:val="00F60150"/>
    <w:rsid w:val="00F6538B"/>
    <w:rsid w:val="00F66662"/>
    <w:rsid w:val="00F67A8B"/>
    <w:rsid w:val="00F708E7"/>
    <w:rsid w:val="00F71090"/>
    <w:rsid w:val="00F71B99"/>
    <w:rsid w:val="00F72047"/>
    <w:rsid w:val="00F8470A"/>
    <w:rsid w:val="00F85E76"/>
    <w:rsid w:val="00F87F07"/>
    <w:rsid w:val="00FA54AA"/>
    <w:rsid w:val="00FA6CE6"/>
    <w:rsid w:val="00FB2272"/>
    <w:rsid w:val="00FB7EB8"/>
    <w:rsid w:val="00FC2B6C"/>
    <w:rsid w:val="00FC4BBA"/>
    <w:rsid w:val="00FC7D26"/>
    <w:rsid w:val="00FD5893"/>
    <w:rsid w:val="00FE0FA7"/>
    <w:rsid w:val="00FE2E5E"/>
    <w:rsid w:val="00FE7552"/>
    <w:rsid w:val="00FF34E0"/>
    <w:rsid w:val="0105A8C6"/>
    <w:rsid w:val="011D8235"/>
    <w:rsid w:val="0131B4BE"/>
    <w:rsid w:val="0144B780"/>
    <w:rsid w:val="01467CAC"/>
    <w:rsid w:val="0155C1C7"/>
    <w:rsid w:val="015A800F"/>
    <w:rsid w:val="015FA71F"/>
    <w:rsid w:val="0166D761"/>
    <w:rsid w:val="016C5EE8"/>
    <w:rsid w:val="018E5BDC"/>
    <w:rsid w:val="01BFBD14"/>
    <w:rsid w:val="01C493C5"/>
    <w:rsid w:val="01D6AE4D"/>
    <w:rsid w:val="01D715D7"/>
    <w:rsid w:val="01F7551F"/>
    <w:rsid w:val="01FFA3F7"/>
    <w:rsid w:val="0216E8B4"/>
    <w:rsid w:val="021BBA68"/>
    <w:rsid w:val="0224B3C1"/>
    <w:rsid w:val="02293419"/>
    <w:rsid w:val="0237A0B3"/>
    <w:rsid w:val="0258A60B"/>
    <w:rsid w:val="02676A25"/>
    <w:rsid w:val="027EB5C2"/>
    <w:rsid w:val="02B00545"/>
    <w:rsid w:val="02BAC8CA"/>
    <w:rsid w:val="02BAE94E"/>
    <w:rsid w:val="02CC6D36"/>
    <w:rsid w:val="02DDB658"/>
    <w:rsid w:val="02FA2EF8"/>
    <w:rsid w:val="03455EBA"/>
    <w:rsid w:val="0361123B"/>
    <w:rsid w:val="0369CB3F"/>
    <w:rsid w:val="03722F79"/>
    <w:rsid w:val="038C7D08"/>
    <w:rsid w:val="03B4CB15"/>
    <w:rsid w:val="03C6162C"/>
    <w:rsid w:val="03CC8DE0"/>
    <w:rsid w:val="03D9975F"/>
    <w:rsid w:val="04033A86"/>
    <w:rsid w:val="04078A2C"/>
    <w:rsid w:val="042E3A85"/>
    <w:rsid w:val="0446932E"/>
    <w:rsid w:val="04562FD0"/>
    <w:rsid w:val="04599564"/>
    <w:rsid w:val="0463F669"/>
    <w:rsid w:val="046F3174"/>
    <w:rsid w:val="0473535F"/>
    <w:rsid w:val="0480AE1A"/>
    <w:rsid w:val="048418A2"/>
    <w:rsid w:val="0487094A"/>
    <w:rsid w:val="048D34B4"/>
    <w:rsid w:val="04BE1A52"/>
    <w:rsid w:val="04D83578"/>
    <w:rsid w:val="04EA8818"/>
    <w:rsid w:val="04EC1B91"/>
    <w:rsid w:val="04EDFD8B"/>
    <w:rsid w:val="04FFE623"/>
    <w:rsid w:val="0504D022"/>
    <w:rsid w:val="05301F67"/>
    <w:rsid w:val="054175C6"/>
    <w:rsid w:val="05497711"/>
    <w:rsid w:val="055C4927"/>
    <w:rsid w:val="057A32CF"/>
    <w:rsid w:val="0591C945"/>
    <w:rsid w:val="05B5029C"/>
    <w:rsid w:val="05E0B3D4"/>
    <w:rsid w:val="05E9FC64"/>
    <w:rsid w:val="05EC6E7F"/>
    <w:rsid w:val="05F796F2"/>
    <w:rsid w:val="060676D3"/>
    <w:rsid w:val="0608D16C"/>
    <w:rsid w:val="061C7E7B"/>
    <w:rsid w:val="061F1301"/>
    <w:rsid w:val="06341EB6"/>
    <w:rsid w:val="063691EA"/>
    <w:rsid w:val="064239FF"/>
    <w:rsid w:val="065A9191"/>
    <w:rsid w:val="068317DA"/>
    <w:rsid w:val="069B1AC2"/>
    <w:rsid w:val="06A3D249"/>
    <w:rsid w:val="06AECFE5"/>
    <w:rsid w:val="06B2C22F"/>
    <w:rsid w:val="06C09569"/>
    <w:rsid w:val="06D668D0"/>
    <w:rsid w:val="06D8566A"/>
    <w:rsid w:val="06E54772"/>
    <w:rsid w:val="06E5AB69"/>
    <w:rsid w:val="06E82728"/>
    <w:rsid w:val="06EC6BD7"/>
    <w:rsid w:val="06F8F28E"/>
    <w:rsid w:val="0710E86B"/>
    <w:rsid w:val="0764A1DB"/>
    <w:rsid w:val="07708AB7"/>
    <w:rsid w:val="0781FF4E"/>
    <w:rsid w:val="079F0D3D"/>
    <w:rsid w:val="07A78162"/>
    <w:rsid w:val="07ACFC5E"/>
    <w:rsid w:val="07AF4929"/>
    <w:rsid w:val="07B17B43"/>
    <w:rsid w:val="07E498DA"/>
    <w:rsid w:val="08120D9A"/>
    <w:rsid w:val="083C7197"/>
    <w:rsid w:val="084BD1EB"/>
    <w:rsid w:val="084D8E22"/>
    <w:rsid w:val="08510306"/>
    <w:rsid w:val="0867F9A4"/>
    <w:rsid w:val="086A85BB"/>
    <w:rsid w:val="087DF088"/>
    <w:rsid w:val="08818A31"/>
    <w:rsid w:val="0883F789"/>
    <w:rsid w:val="08850312"/>
    <w:rsid w:val="08890A18"/>
    <w:rsid w:val="08D8DD7A"/>
    <w:rsid w:val="08E7B018"/>
    <w:rsid w:val="08FC78A0"/>
    <w:rsid w:val="08FF9880"/>
    <w:rsid w:val="0900723C"/>
    <w:rsid w:val="090F9135"/>
    <w:rsid w:val="093E3CB6"/>
    <w:rsid w:val="094101DE"/>
    <w:rsid w:val="0942C3D0"/>
    <w:rsid w:val="095F0E24"/>
    <w:rsid w:val="09661302"/>
    <w:rsid w:val="098AB1B1"/>
    <w:rsid w:val="09A1D878"/>
    <w:rsid w:val="09ACBAE4"/>
    <w:rsid w:val="09BAB4F4"/>
    <w:rsid w:val="09BDC70E"/>
    <w:rsid w:val="09BE9655"/>
    <w:rsid w:val="09D952B1"/>
    <w:rsid w:val="0A044814"/>
    <w:rsid w:val="0A26C3A0"/>
    <w:rsid w:val="0A5C53A5"/>
    <w:rsid w:val="0A618458"/>
    <w:rsid w:val="0A61B2EA"/>
    <w:rsid w:val="0A6AEEFB"/>
    <w:rsid w:val="0A6BA576"/>
    <w:rsid w:val="0A730DF7"/>
    <w:rsid w:val="0A7CC1D1"/>
    <w:rsid w:val="0A904390"/>
    <w:rsid w:val="0A91630B"/>
    <w:rsid w:val="0AB1F2AE"/>
    <w:rsid w:val="0AE25CA4"/>
    <w:rsid w:val="0AE793F9"/>
    <w:rsid w:val="0AEFE731"/>
    <w:rsid w:val="0B13B2E4"/>
    <w:rsid w:val="0B26B423"/>
    <w:rsid w:val="0B2B0F06"/>
    <w:rsid w:val="0B31D5F2"/>
    <w:rsid w:val="0B4DD070"/>
    <w:rsid w:val="0B6AC40D"/>
    <w:rsid w:val="0B82723F"/>
    <w:rsid w:val="0B8EB84A"/>
    <w:rsid w:val="0BB96F27"/>
    <w:rsid w:val="0BC890D1"/>
    <w:rsid w:val="0BD49681"/>
    <w:rsid w:val="0C04A439"/>
    <w:rsid w:val="0C0A1BA2"/>
    <w:rsid w:val="0C0A369A"/>
    <w:rsid w:val="0C15A8F1"/>
    <w:rsid w:val="0C1D7436"/>
    <w:rsid w:val="0C1F50DA"/>
    <w:rsid w:val="0C273E60"/>
    <w:rsid w:val="0C29540D"/>
    <w:rsid w:val="0C483F78"/>
    <w:rsid w:val="0C4D3CD5"/>
    <w:rsid w:val="0C88BE3C"/>
    <w:rsid w:val="0CB837DA"/>
    <w:rsid w:val="0CCF37FE"/>
    <w:rsid w:val="0CDD291E"/>
    <w:rsid w:val="0CE9A0D1"/>
    <w:rsid w:val="0CF10BD4"/>
    <w:rsid w:val="0CF6B9AA"/>
    <w:rsid w:val="0CFA2372"/>
    <w:rsid w:val="0CFC9048"/>
    <w:rsid w:val="0D03C0A6"/>
    <w:rsid w:val="0D0A5C46"/>
    <w:rsid w:val="0D0B4530"/>
    <w:rsid w:val="0D40FBA8"/>
    <w:rsid w:val="0D4C9786"/>
    <w:rsid w:val="0D550646"/>
    <w:rsid w:val="0D5A6600"/>
    <w:rsid w:val="0D7F32F2"/>
    <w:rsid w:val="0D8A5255"/>
    <w:rsid w:val="0D9394D2"/>
    <w:rsid w:val="0DA44B4B"/>
    <w:rsid w:val="0DA606FB"/>
    <w:rsid w:val="0DB0059B"/>
    <w:rsid w:val="0DBBF7CA"/>
    <w:rsid w:val="0DDA0B7C"/>
    <w:rsid w:val="0DF9E50F"/>
    <w:rsid w:val="0E5EC956"/>
    <w:rsid w:val="0E634046"/>
    <w:rsid w:val="0E74D01D"/>
    <w:rsid w:val="0E7B51CA"/>
    <w:rsid w:val="0EA5700C"/>
    <w:rsid w:val="0ED56476"/>
    <w:rsid w:val="0ED60026"/>
    <w:rsid w:val="0EF88449"/>
    <w:rsid w:val="0F046AA5"/>
    <w:rsid w:val="0F0C04B7"/>
    <w:rsid w:val="0F108726"/>
    <w:rsid w:val="0F1CFBC4"/>
    <w:rsid w:val="0F25EE3C"/>
    <w:rsid w:val="0F31FC98"/>
    <w:rsid w:val="0F4B96DF"/>
    <w:rsid w:val="0F4BBBA1"/>
    <w:rsid w:val="0F512A51"/>
    <w:rsid w:val="0F53BFD6"/>
    <w:rsid w:val="0F57C82B"/>
    <w:rsid w:val="0F5EDF22"/>
    <w:rsid w:val="0F620217"/>
    <w:rsid w:val="0F65D72E"/>
    <w:rsid w:val="0F717C90"/>
    <w:rsid w:val="0F8C7F96"/>
    <w:rsid w:val="0F96CD12"/>
    <w:rsid w:val="0F9AF45B"/>
    <w:rsid w:val="0FC80EB9"/>
    <w:rsid w:val="100CCD0F"/>
    <w:rsid w:val="100F87AF"/>
    <w:rsid w:val="10403FED"/>
    <w:rsid w:val="10496282"/>
    <w:rsid w:val="106D70DB"/>
    <w:rsid w:val="1072A5BA"/>
    <w:rsid w:val="10797440"/>
    <w:rsid w:val="1079CABE"/>
    <w:rsid w:val="10887970"/>
    <w:rsid w:val="109454AA"/>
    <w:rsid w:val="10A16C9B"/>
    <w:rsid w:val="10A6A8CF"/>
    <w:rsid w:val="10A77680"/>
    <w:rsid w:val="10B46183"/>
    <w:rsid w:val="10B601D5"/>
    <w:rsid w:val="10CB76F6"/>
    <w:rsid w:val="10D0A4E8"/>
    <w:rsid w:val="10DB8140"/>
    <w:rsid w:val="10F16013"/>
    <w:rsid w:val="10F47595"/>
    <w:rsid w:val="10F9C4DE"/>
    <w:rsid w:val="112B7A36"/>
    <w:rsid w:val="1155EF1C"/>
    <w:rsid w:val="11646582"/>
    <w:rsid w:val="116475F7"/>
    <w:rsid w:val="1192ADAF"/>
    <w:rsid w:val="11CED6C1"/>
    <w:rsid w:val="11F3D577"/>
    <w:rsid w:val="1214A2C8"/>
    <w:rsid w:val="1228704B"/>
    <w:rsid w:val="122AA1AA"/>
    <w:rsid w:val="1239CBB8"/>
    <w:rsid w:val="12409615"/>
    <w:rsid w:val="12425BBB"/>
    <w:rsid w:val="127632B8"/>
    <w:rsid w:val="128165A4"/>
    <w:rsid w:val="12AE30BD"/>
    <w:rsid w:val="12BC4E10"/>
    <w:rsid w:val="12DBA758"/>
    <w:rsid w:val="12EB3936"/>
    <w:rsid w:val="13158BDF"/>
    <w:rsid w:val="13208820"/>
    <w:rsid w:val="13451BD1"/>
    <w:rsid w:val="13526447"/>
    <w:rsid w:val="135CA5B4"/>
    <w:rsid w:val="136326AC"/>
    <w:rsid w:val="136FA27D"/>
    <w:rsid w:val="138078AD"/>
    <w:rsid w:val="1386B9FA"/>
    <w:rsid w:val="13A34972"/>
    <w:rsid w:val="13AD58FC"/>
    <w:rsid w:val="13DA137F"/>
    <w:rsid w:val="13EABF31"/>
    <w:rsid w:val="13ECA3BD"/>
    <w:rsid w:val="14201F7D"/>
    <w:rsid w:val="14325734"/>
    <w:rsid w:val="143DD6E1"/>
    <w:rsid w:val="145115D8"/>
    <w:rsid w:val="14530447"/>
    <w:rsid w:val="146D36C8"/>
    <w:rsid w:val="14718881"/>
    <w:rsid w:val="1477F17E"/>
    <w:rsid w:val="148F53B0"/>
    <w:rsid w:val="1491A3E1"/>
    <w:rsid w:val="1495F8E7"/>
    <w:rsid w:val="149BB605"/>
    <w:rsid w:val="14A12BF0"/>
    <w:rsid w:val="14AC6D71"/>
    <w:rsid w:val="14B522F6"/>
    <w:rsid w:val="14B5FDFE"/>
    <w:rsid w:val="14BC1211"/>
    <w:rsid w:val="14BEC3DA"/>
    <w:rsid w:val="14E534CC"/>
    <w:rsid w:val="14F38F6F"/>
    <w:rsid w:val="1501CB8F"/>
    <w:rsid w:val="150AC599"/>
    <w:rsid w:val="150B4D5F"/>
    <w:rsid w:val="152F83D2"/>
    <w:rsid w:val="153EB564"/>
    <w:rsid w:val="15411A98"/>
    <w:rsid w:val="15777778"/>
    <w:rsid w:val="1587BA7A"/>
    <w:rsid w:val="15884500"/>
    <w:rsid w:val="158D45DB"/>
    <w:rsid w:val="159BD7FC"/>
    <w:rsid w:val="15A33360"/>
    <w:rsid w:val="15AACD00"/>
    <w:rsid w:val="15AE8ABE"/>
    <w:rsid w:val="15B59B3B"/>
    <w:rsid w:val="15DF37D6"/>
    <w:rsid w:val="1604CAAA"/>
    <w:rsid w:val="16185D8C"/>
    <w:rsid w:val="1624A28C"/>
    <w:rsid w:val="1645CB79"/>
    <w:rsid w:val="16649924"/>
    <w:rsid w:val="1677D76D"/>
    <w:rsid w:val="167F8390"/>
    <w:rsid w:val="168B3CDF"/>
    <w:rsid w:val="16A22C5A"/>
    <w:rsid w:val="16B76508"/>
    <w:rsid w:val="16C493DA"/>
    <w:rsid w:val="170579F1"/>
    <w:rsid w:val="170D6504"/>
    <w:rsid w:val="171FDC75"/>
    <w:rsid w:val="1738BBCC"/>
    <w:rsid w:val="1739019F"/>
    <w:rsid w:val="173BA632"/>
    <w:rsid w:val="173BD00F"/>
    <w:rsid w:val="174EF958"/>
    <w:rsid w:val="1754D6C7"/>
    <w:rsid w:val="17619D48"/>
    <w:rsid w:val="176EF37F"/>
    <w:rsid w:val="1774D38F"/>
    <w:rsid w:val="17819541"/>
    <w:rsid w:val="17A62116"/>
    <w:rsid w:val="17AD095C"/>
    <w:rsid w:val="17BE3970"/>
    <w:rsid w:val="17C78E93"/>
    <w:rsid w:val="17DAE959"/>
    <w:rsid w:val="17E2A0EE"/>
    <w:rsid w:val="17E535C3"/>
    <w:rsid w:val="17EF2E2F"/>
    <w:rsid w:val="17FBC57A"/>
    <w:rsid w:val="180BFF64"/>
    <w:rsid w:val="180D699F"/>
    <w:rsid w:val="181DBC0E"/>
    <w:rsid w:val="18208F71"/>
    <w:rsid w:val="1825959D"/>
    <w:rsid w:val="1826BB52"/>
    <w:rsid w:val="1833A612"/>
    <w:rsid w:val="1839D536"/>
    <w:rsid w:val="183FEA70"/>
    <w:rsid w:val="186CA50D"/>
    <w:rsid w:val="187939A6"/>
    <w:rsid w:val="18A64549"/>
    <w:rsid w:val="18C202C8"/>
    <w:rsid w:val="18F43BA0"/>
    <w:rsid w:val="1905C168"/>
    <w:rsid w:val="190D9A23"/>
    <w:rsid w:val="192BB7A0"/>
    <w:rsid w:val="19438649"/>
    <w:rsid w:val="195F3CF4"/>
    <w:rsid w:val="19659B57"/>
    <w:rsid w:val="197CCB76"/>
    <w:rsid w:val="19B26902"/>
    <w:rsid w:val="19BE389C"/>
    <w:rsid w:val="19C5BBA4"/>
    <w:rsid w:val="19C67528"/>
    <w:rsid w:val="19D53CB2"/>
    <w:rsid w:val="1A3431A4"/>
    <w:rsid w:val="1A3D8640"/>
    <w:rsid w:val="1A4215AA"/>
    <w:rsid w:val="1A450107"/>
    <w:rsid w:val="1A5AEF18"/>
    <w:rsid w:val="1A5DD329"/>
    <w:rsid w:val="1A607FC9"/>
    <w:rsid w:val="1A62D7C7"/>
    <w:rsid w:val="1A967ABD"/>
    <w:rsid w:val="1A977240"/>
    <w:rsid w:val="1A9EDA7C"/>
    <w:rsid w:val="1A9FEA42"/>
    <w:rsid w:val="1AAE67E1"/>
    <w:rsid w:val="1AAF6756"/>
    <w:rsid w:val="1AB34D3A"/>
    <w:rsid w:val="1AC7DB40"/>
    <w:rsid w:val="1AD6C50E"/>
    <w:rsid w:val="1ADB8F9E"/>
    <w:rsid w:val="1AE36FB9"/>
    <w:rsid w:val="1B024C69"/>
    <w:rsid w:val="1B1FA97D"/>
    <w:rsid w:val="1B23AF90"/>
    <w:rsid w:val="1B618C05"/>
    <w:rsid w:val="1B692F13"/>
    <w:rsid w:val="1B6E88D7"/>
    <w:rsid w:val="1B8118B9"/>
    <w:rsid w:val="1B926ECB"/>
    <w:rsid w:val="1B9EC824"/>
    <w:rsid w:val="1BCBBAA8"/>
    <w:rsid w:val="1BF05B09"/>
    <w:rsid w:val="1C06E3EF"/>
    <w:rsid w:val="1C5C9189"/>
    <w:rsid w:val="1C5F0F3D"/>
    <w:rsid w:val="1C6DD9E8"/>
    <w:rsid w:val="1C746E39"/>
    <w:rsid w:val="1C7A4946"/>
    <w:rsid w:val="1C9FFD90"/>
    <w:rsid w:val="1CB71203"/>
    <w:rsid w:val="1CD962B8"/>
    <w:rsid w:val="1CED9CD9"/>
    <w:rsid w:val="1CF9DEBB"/>
    <w:rsid w:val="1D0AEEDD"/>
    <w:rsid w:val="1D24C003"/>
    <w:rsid w:val="1D3E3C3A"/>
    <w:rsid w:val="1D542A3E"/>
    <w:rsid w:val="1D57712F"/>
    <w:rsid w:val="1D5E92C0"/>
    <w:rsid w:val="1D770821"/>
    <w:rsid w:val="1D79A44B"/>
    <w:rsid w:val="1D8C684D"/>
    <w:rsid w:val="1D8D4B17"/>
    <w:rsid w:val="1DC4184B"/>
    <w:rsid w:val="1DCB8B99"/>
    <w:rsid w:val="1DCE6E17"/>
    <w:rsid w:val="1DCF804B"/>
    <w:rsid w:val="1DE745F3"/>
    <w:rsid w:val="1DEBFE6D"/>
    <w:rsid w:val="1DF2E640"/>
    <w:rsid w:val="1DF7CEC3"/>
    <w:rsid w:val="1E1BA5B4"/>
    <w:rsid w:val="1E2DC5C9"/>
    <w:rsid w:val="1E437035"/>
    <w:rsid w:val="1E4C6BBB"/>
    <w:rsid w:val="1E4C947D"/>
    <w:rsid w:val="1E684852"/>
    <w:rsid w:val="1E753319"/>
    <w:rsid w:val="1E78786C"/>
    <w:rsid w:val="1E86A848"/>
    <w:rsid w:val="1E8C2C01"/>
    <w:rsid w:val="1E9FE568"/>
    <w:rsid w:val="1EA0CFD5"/>
    <w:rsid w:val="1EA8ADD5"/>
    <w:rsid w:val="1EB9F6FE"/>
    <w:rsid w:val="1ECEA145"/>
    <w:rsid w:val="1EEB57E4"/>
    <w:rsid w:val="1EFAEDD1"/>
    <w:rsid w:val="1F1BAE9C"/>
    <w:rsid w:val="1F2CD536"/>
    <w:rsid w:val="1F3CAC4C"/>
    <w:rsid w:val="1F46F320"/>
    <w:rsid w:val="1F475712"/>
    <w:rsid w:val="1F5FE8AC"/>
    <w:rsid w:val="1F7533A2"/>
    <w:rsid w:val="1F75D61F"/>
    <w:rsid w:val="1F7B238C"/>
    <w:rsid w:val="1F81D243"/>
    <w:rsid w:val="1F88CC9F"/>
    <w:rsid w:val="1F931B4E"/>
    <w:rsid w:val="1F9CD003"/>
    <w:rsid w:val="1FBAD168"/>
    <w:rsid w:val="1FDA1979"/>
    <w:rsid w:val="1FF471D7"/>
    <w:rsid w:val="1FF725CA"/>
    <w:rsid w:val="2034467A"/>
    <w:rsid w:val="2042E950"/>
    <w:rsid w:val="2046AB86"/>
    <w:rsid w:val="204AD06B"/>
    <w:rsid w:val="2068C5DF"/>
    <w:rsid w:val="206C53AB"/>
    <w:rsid w:val="206FC716"/>
    <w:rsid w:val="207FE778"/>
    <w:rsid w:val="208B8A6E"/>
    <w:rsid w:val="2090E304"/>
    <w:rsid w:val="2093A405"/>
    <w:rsid w:val="20A71BA7"/>
    <w:rsid w:val="20C1E14F"/>
    <w:rsid w:val="20CAB8E8"/>
    <w:rsid w:val="20D780A8"/>
    <w:rsid w:val="20D8F83D"/>
    <w:rsid w:val="20E1C82B"/>
    <w:rsid w:val="20E81118"/>
    <w:rsid w:val="20E822F1"/>
    <w:rsid w:val="20FD1CE3"/>
    <w:rsid w:val="21033375"/>
    <w:rsid w:val="211DCDD5"/>
    <w:rsid w:val="214200E5"/>
    <w:rsid w:val="2158287F"/>
    <w:rsid w:val="215BBE70"/>
    <w:rsid w:val="2160D9BC"/>
    <w:rsid w:val="2174E6CD"/>
    <w:rsid w:val="21B25674"/>
    <w:rsid w:val="21CD2182"/>
    <w:rsid w:val="21DC241C"/>
    <w:rsid w:val="223533D4"/>
    <w:rsid w:val="22460B69"/>
    <w:rsid w:val="2249433A"/>
    <w:rsid w:val="2268E50E"/>
    <w:rsid w:val="22714B40"/>
    <w:rsid w:val="228231D9"/>
    <w:rsid w:val="22860905"/>
    <w:rsid w:val="228DD839"/>
    <w:rsid w:val="22AD76E1"/>
    <w:rsid w:val="22B97189"/>
    <w:rsid w:val="22BB4636"/>
    <w:rsid w:val="22BDE966"/>
    <w:rsid w:val="22E4CB44"/>
    <w:rsid w:val="232C3AED"/>
    <w:rsid w:val="23345F62"/>
    <w:rsid w:val="233A5ACA"/>
    <w:rsid w:val="2347A12F"/>
    <w:rsid w:val="234924BF"/>
    <w:rsid w:val="234C1B2B"/>
    <w:rsid w:val="23685631"/>
    <w:rsid w:val="23825E74"/>
    <w:rsid w:val="2388F8F1"/>
    <w:rsid w:val="23B9E102"/>
    <w:rsid w:val="23BAC0A2"/>
    <w:rsid w:val="23BF2C34"/>
    <w:rsid w:val="23DA19FE"/>
    <w:rsid w:val="23DAC483"/>
    <w:rsid w:val="23DCC8A0"/>
    <w:rsid w:val="23E0AEDC"/>
    <w:rsid w:val="23F318D7"/>
    <w:rsid w:val="23F898E0"/>
    <w:rsid w:val="240794A0"/>
    <w:rsid w:val="241A83CD"/>
    <w:rsid w:val="241B34DE"/>
    <w:rsid w:val="241F4F98"/>
    <w:rsid w:val="2421D966"/>
    <w:rsid w:val="242EC0FD"/>
    <w:rsid w:val="243C3674"/>
    <w:rsid w:val="243C6F50"/>
    <w:rsid w:val="2443DF39"/>
    <w:rsid w:val="246341B1"/>
    <w:rsid w:val="24666EE7"/>
    <w:rsid w:val="247564B2"/>
    <w:rsid w:val="24795F67"/>
    <w:rsid w:val="2490A0B7"/>
    <w:rsid w:val="24AF67B4"/>
    <w:rsid w:val="24B76890"/>
    <w:rsid w:val="24CB366F"/>
    <w:rsid w:val="2511E932"/>
    <w:rsid w:val="2521F4B1"/>
    <w:rsid w:val="252AC649"/>
    <w:rsid w:val="2535B5E4"/>
    <w:rsid w:val="255650B4"/>
    <w:rsid w:val="25578CDD"/>
    <w:rsid w:val="25649C32"/>
    <w:rsid w:val="2571DC87"/>
    <w:rsid w:val="257852B7"/>
    <w:rsid w:val="2583DC1D"/>
    <w:rsid w:val="25BD6A6D"/>
    <w:rsid w:val="25BD7521"/>
    <w:rsid w:val="25BEFD6A"/>
    <w:rsid w:val="25C331B9"/>
    <w:rsid w:val="260D076E"/>
    <w:rsid w:val="26151C47"/>
    <w:rsid w:val="263C6612"/>
    <w:rsid w:val="26473DC1"/>
    <w:rsid w:val="2663C08C"/>
    <w:rsid w:val="267B5337"/>
    <w:rsid w:val="267EA514"/>
    <w:rsid w:val="26820FE2"/>
    <w:rsid w:val="26C16455"/>
    <w:rsid w:val="26CDF360"/>
    <w:rsid w:val="26D60E86"/>
    <w:rsid w:val="26DF8BD1"/>
    <w:rsid w:val="26E23D80"/>
    <w:rsid w:val="26EDE3F0"/>
    <w:rsid w:val="26EF56C4"/>
    <w:rsid w:val="26FFB8B7"/>
    <w:rsid w:val="27116E10"/>
    <w:rsid w:val="2715456B"/>
    <w:rsid w:val="27381E23"/>
    <w:rsid w:val="2740F809"/>
    <w:rsid w:val="27454F67"/>
    <w:rsid w:val="27502D71"/>
    <w:rsid w:val="27539016"/>
    <w:rsid w:val="27603A53"/>
    <w:rsid w:val="27785ACF"/>
    <w:rsid w:val="278285F2"/>
    <w:rsid w:val="2796ABE4"/>
    <w:rsid w:val="279B7D54"/>
    <w:rsid w:val="27C6E057"/>
    <w:rsid w:val="27CAD212"/>
    <w:rsid w:val="27D98923"/>
    <w:rsid w:val="283065F6"/>
    <w:rsid w:val="28322E01"/>
    <w:rsid w:val="2871C7EA"/>
    <w:rsid w:val="288717A2"/>
    <w:rsid w:val="288B922F"/>
    <w:rsid w:val="28A5FD0B"/>
    <w:rsid w:val="28B7E6BC"/>
    <w:rsid w:val="28C0111C"/>
    <w:rsid w:val="28DE88D8"/>
    <w:rsid w:val="28F7131D"/>
    <w:rsid w:val="28FD4E67"/>
    <w:rsid w:val="28FE5A60"/>
    <w:rsid w:val="29034627"/>
    <w:rsid w:val="293E0C8D"/>
    <w:rsid w:val="294D30BC"/>
    <w:rsid w:val="2967437F"/>
    <w:rsid w:val="298A4A82"/>
    <w:rsid w:val="29C68404"/>
    <w:rsid w:val="29D64EF7"/>
    <w:rsid w:val="29F93C9D"/>
    <w:rsid w:val="2A04E3B1"/>
    <w:rsid w:val="2A22E803"/>
    <w:rsid w:val="2A2CD4F5"/>
    <w:rsid w:val="2A3F9AE6"/>
    <w:rsid w:val="2A4140F3"/>
    <w:rsid w:val="2A90ED5E"/>
    <w:rsid w:val="2AA86EC1"/>
    <w:rsid w:val="2AD42F2E"/>
    <w:rsid w:val="2AE8639E"/>
    <w:rsid w:val="2B051181"/>
    <w:rsid w:val="2B12CCF3"/>
    <w:rsid w:val="2B137676"/>
    <w:rsid w:val="2B143914"/>
    <w:rsid w:val="2B15258E"/>
    <w:rsid w:val="2B15EFD7"/>
    <w:rsid w:val="2B26C4A9"/>
    <w:rsid w:val="2B281A29"/>
    <w:rsid w:val="2B47C0FB"/>
    <w:rsid w:val="2B75683D"/>
    <w:rsid w:val="2B820186"/>
    <w:rsid w:val="2B94F184"/>
    <w:rsid w:val="2BBFAC4C"/>
    <w:rsid w:val="2BF5AB7A"/>
    <w:rsid w:val="2BFF5E64"/>
    <w:rsid w:val="2C0719F7"/>
    <w:rsid w:val="2C20550E"/>
    <w:rsid w:val="2C32D398"/>
    <w:rsid w:val="2C3B81EF"/>
    <w:rsid w:val="2C3FF309"/>
    <w:rsid w:val="2C55186B"/>
    <w:rsid w:val="2C5D3F22"/>
    <w:rsid w:val="2C7A390D"/>
    <w:rsid w:val="2C925381"/>
    <w:rsid w:val="2CC7AED3"/>
    <w:rsid w:val="2D19064A"/>
    <w:rsid w:val="2D27D83A"/>
    <w:rsid w:val="2D3797A7"/>
    <w:rsid w:val="2D3986F7"/>
    <w:rsid w:val="2D3B8E66"/>
    <w:rsid w:val="2D46554D"/>
    <w:rsid w:val="2D8AF252"/>
    <w:rsid w:val="2DDAA5E8"/>
    <w:rsid w:val="2DEC0CE5"/>
    <w:rsid w:val="2DF12CCE"/>
    <w:rsid w:val="2E01BC9C"/>
    <w:rsid w:val="2E0EE631"/>
    <w:rsid w:val="2E17F7DD"/>
    <w:rsid w:val="2E23F92A"/>
    <w:rsid w:val="2E29F408"/>
    <w:rsid w:val="2E2BAF2D"/>
    <w:rsid w:val="2E36150D"/>
    <w:rsid w:val="2E5203AA"/>
    <w:rsid w:val="2E56F43D"/>
    <w:rsid w:val="2E7221A9"/>
    <w:rsid w:val="2E8FD276"/>
    <w:rsid w:val="2EACDE9C"/>
    <w:rsid w:val="2EB8F364"/>
    <w:rsid w:val="2ED899F1"/>
    <w:rsid w:val="2EEF97BA"/>
    <w:rsid w:val="2EF1E74C"/>
    <w:rsid w:val="2F03EEC0"/>
    <w:rsid w:val="2F0DEA9B"/>
    <w:rsid w:val="2F1918F6"/>
    <w:rsid w:val="2F2A2856"/>
    <w:rsid w:val="2F3364F0"/>
    <w:rsid w:val="2F4E004B"/>
    <w:rsid w:val="2F597AC1"/>
    <w:rsid w:val="2F59FF3E"/>
    <w:rsid w:val="2F8731EA"/>
    <w:rsid w:val="2F9433B7"/>
    <w:rsid w:val="2FABD6DB"/>
    <w:rsid w:val="2FADCDF3"/>
    <w:rsid w:val="2FBE99C4"/>
    <w:rsid w:val="2FC6594A"/>
    <w:rsid w:val="2FCA5279"/>
    <w:rsid w:val="2FCEC3F4"/>
    <w:rsid w:val="2FD45EE0"/>
    <w:rsid w:val="2FEA6446"/>
    <w:rsid w:val="30039C22"/>
    <w:rsid w:val="302BC00D"/>
    <w:rsid w:val="302E38E5"/>
    <w:rsid w:val="3036761E"/>
    <w:rsid w:val="305D09C5"/>
    <w:rsid w:val="30665EB5"/>
    <w:rsid w:val="309AFDA9"/>
    <w:rsid w:val="30CBA502"/>
    <w:rsid w:val="30D89CE9"/>
    <w:rsid w:val="30DCCB5A"/>
    <w:rsid w:val="30DE3A65"/>
    <w:rsid w:val="30E332C1"/>
    <w:rsid w:val="30E4DB85"/>
    <w:rsid w:val="30E5231D"/>
    <w:rsid w:val="30E6D463"/>
    <w:rsid w:val="30F7981D"/>
    <w:rsid w:val="31048AC8"/>
    <w:rsid w:val="31066A33"/>
    <w:rsid w:val="3108EBC4"/>
    <w:rsid w:val="311CB194"/>
    <w:rsid w:val="31265392"/>
    <w:rsid w:val="312FB7D0"/>
    <w:rsid w:val="314FBA15"/>
    <w:rsid w:val="315A41E9"/>
    <w:rsid w:val="316BC99E"/>
    <w:rsid w:val="317D4FF7"/>
    <w:rsid w:val="317E7AB7"/>
    <w:rsid w:val="317F3045"/>
    <w:rsid w:val="31C7906E"/>
    <w:rsid w:val="31D0777E"/>
    <w:rsid w:val="31D5B67C"/>
    <w:rsid w:val="31DA9826"/>
    <w:rsid w:val="31E5378A"/>
    <w:rsid w:val="31EA7F80"/>
    <w:rsid w:val="31F25C43"/>
    <w:rsid w:val="31F41E6C"/>
    <w:rsid w:val="320FF596"/>
    <w:rsid w:val="3227B492"/>
    <w:rsid w:val="323F4028"/>
    <w:rsid w:val="324EF8A5"/>
    <w:rsid w:val="3265F4C8"/>
    <w:rsid w:val="3266887A"/>
    <w:rsid w:val="326FCD08"/>
    <w:rsid w:val="32709558"/>
    <w:rsid w:val="327DEB41"/>
    <w:rsid w:val="32816E96"/>
    <w:rsid w:val="32915576"/>
    <w:rsid w:val="3293BC56"/>
    <w:rsid w:val="32980953"/>
    <w:rsid w:val="32B91145"/>
    <w:rsid w:val="32D78B16"/>
    <w:rsid w:val="32D82F11"/>
    <w:rsid w:val="32E0F49D"/>
    <w:rsid w:val="32F90497"/>
    <w:rsid w:val="330E482F"/>
    <w:rsid w:val="331D70D6"/>
    <w:rsid w:val="332E76B5"/>
    <w:rsid w:val="333DC665"/>
    <w:rsid w:val="33422D82"/>
    <w:rsid w:val="3357D2F4"/>
    <w:rsid w:val="335E2335"/>
    <w:rsid w:val="33659B81"/>
    <w:rsid w:val="336B4EC5"/>
    <w:rsid w:val="336F01C1"/>
    <w:rsid w:val="336F1F71"/>
    <w:rsid w:val="33A181C6"/>
    <w:rsid w:val="33C5D8D9"/>
    <w:rsid w:val="33CDD9CC"/>
    <w:rsid w:val="3400E252"/>
    <w:rsid w:val="3412F17E"/>
    <w:rsid w:val="341F4344"/>
    <w:rsid w:val="345A331A"/>
    <w:rsid w:val="34737FE7"/>
    <w:rsid w:val="3475ED95"/>
    <w:rsid w:val="34784463"/>
    <w:rsid w:val="348D5C76"/>
    <w:rsid w:val="349F2E12"/>
    <w:rsid w:val="34A3A9C0"/>
    <w:rsid w:val="34A76219"/>
    <w:rsid w:val="34FC70AB"/>
    <w:rsid w:val="34FF966D"/>
    <w:rsid w:val="35217E73"/>
    <w:rsid w:val="35319E72"/>
    <w:rsid w:val="353C6380"/>
    <w:rsid w:val="353D7298"/>
    <w:rsid w:val="3549436C"/>
    <w:rsid w:val="354E1A53"/>
    <w:rsid w:val="35847DC6"/>
    <w:rsid w:val="358AE5E6"/>
    <w:rsid w:val="3592236D"/>
    <w:rsid w:val="359652F4"/>
    <w:rsid w:val="35991458"/>
    <w:rsid w:val="35A81835"/>
    <w:rsid w:val="35A8361A"/>
    <w:rsid w:val="35AAE578"/>
    <w:rsid w:val="35AD722C"/>
    <w:rsid w:val="35CFAD3E"/>
    <w:rsid w:val="35DFB7C0"/>
    <w:rsid w:val="35E9848C"/>
    <w:rsid w:val="360328F3"/>
    <w:rsid w:val="36049B4A"/>
    <w:rsid w:val="3609E165"/>
    <w:rsid w:val="361DBE43"/>
    <w:rsid w:val="362103F6"/>
    <w:rsid w:val="3648C903"/>
    <w:rsid w:val="36557F9A"/>
    <w:rsid w:val="366E6A8B"/>
    <w:rsid w:val="36A39C6F"/>
    <w:rsid w:val="36A8B6F2"/>
    <w:rsid w:val="36CCAF11"/>
    <w:rsid w:val="36CD9BFA"/>
    <w:rsid w:val="36E16E55"/>
    <w:rsid w:val="36E1C5B9"/>
    <w:rsid w:val="36F5592C"/>
    <w:rsid w:val="3715B02D"/>
    <w:rsid w:val="372F11CB"/>
    <w:rsid w:val="37328DAD"/>
    <w:rsid w:val="373657D5"/>
    <w:rsid w:val="374DC328"/>
    <w:rsid w:val="374E1315"/>
    <w:rsid w:val="374E2DE0"/>
    <w:rsid w:val="375B58F9"/>
    <w:rsid w:val="3765050B"/>
    <w:rsid w:val="376572C4"/>
    <w:rsid w:val="3777014F"/>
    <w:rsid w:val="3778B701"/>
    <w:rsid w:val="37890E7D"/>
    <w:rsid w:val="37CAEC4F"/>
    <w:rsid w:val="37D1E911"/>
    <w:rsid w:val="37E6F135"/>
    <w:rsid w:val="37E88BA2"/>
    <w:rsid w:val="37E91144"/>
    <w:rsid w:val="38015325"/>
    <w:rsid w:val="380DEDD1"/>
    <w:rsid w:val="380E17A0"/>
    <w:rsid w:val="381A7732"/>
    <w:rsid w:val="381A85CB"/>
    <w:rsid w:val="381E73C3"/>
    <w:rsid w:val="382D3BE8"/>
    <w:rsid w:val="383EBFE8"/>
    <w:rsid w:val="38449742"/>
    <w:rsid w:val="384D95D4"/>
    <w:rsid w:val="385385FA"/>
    <w:rsid w:val="385990A7"/>
    <w:rsid w:val="38632C3F"/>
    <w:rsid w:val="3870D331"/>
    <w:rsid w:val="387816AB"/>
    <w:rsid w:val="3898B66A"/>
    <w:rsid w:val="38A14AEF"/>
    <w:rsid w:val="38A1CA3A"/>
    <w:rsid w:val="38B212AB"/>
    <w:rsid w:val="38B40F32"/>
    <w:rsid w:val="38B53A1F"/>
    <w:rsid w:val="38B8FFD9"/>
    <w:rsid w:val="38BF330A"/>
    <w:rsid w:val="38D22474"/>
    <w:rsid w:val="38E14811"/>
    <w:rsid w:val="38E26437"/>
    <w:rsid w:val="38E3D692"/>
    <w:rsid w:val="38FA97FC"/>
    <w:rsid w:val="38FC8D33"/>
    <w:rsid w:val="390D8854"/>
    <w:rsid w:val="39132733"/>
    <w:rsid w:val="3926F2F8"/>
    <w:rsid w:val="393FAFA0"/>
    <w:rsid w:val="39402ACF"/>
    <w:rsid w:val="39560473"/>
    <w:rsid w:val="39861419"/>
    <w:rsid w:val="39C02DE6"/>
    <w:rsid w:val="39C3D08B"/>
    <w:rsid w:val="39C8E4F2"/>
    <w:rsid w:val="39D72D87"/>
    <w:rsid w:val="39DE60F5"/>
    <w:rsid w:val="39F2EF07"/>
    <w:rsid w:val="39FE7143"/>
    <w:rsid w:val="3A01DF1E"/>
    <w:rsid w:val="3A083449"/>
    <w:rsid w:val="3A249060"/>
    <w:rsid w:val="3A341887"/>
    <w:rsid w:val="3A37E45F"/>
    <w:rsid w:val="3A5BCFFF"/>
    <w:rsid w:val="3A5EB058"/>
    <w:rsid w:val="3A78373D"/>
    <w:rsid w:val="3A83ADA0"/>
    <w:rsid w:val="3A88959F"/>
    <w:rsid w:val="3A88C53F"/>
    <w:rsid w:val="3A8BBB6C"/>
    <w:rsid w:val="3A94D716"/>
    <w:rsid w:val="3AACCF66"/>
    <w:rsid w:val="3AE09DFC"/>
    <w:rsid w:val="3AE58672"/>
    <w:rsid w:val="3B08273F"/>
    <w:rsid w:val="3B134B8C"/>
    <w:rsid w:val="3B2158F4"/>
    <w:rsid w:val="3B469762"/>
    <w:rsid w:val="3B58DB82"/>
    <w:rsid w:val="3B8E7560"/>
    <w:rsid w:val="3B94E0C8"/>
    <w:rsid w:val="3B9DAF7F"/>
    <w:rsid w:val="3BA14A9F"/>
    <w:rsid w:val="3BA5422D"/>
    <w:rsid w:val="3BB358F8"/>
    <w:rsid w:val="3BC6EBA9"/>
    <w:rsid w:val="3BDFE4FB"/>
    <w:rsid w:val="3C38F910"/>
    <w:rsid w:val="3C3D4698"/>
    <w:rsid w:val="3C499E25"/>
    <w:rsid w:val="3C4AC7F5"/>
    <w:rsid w:val="3C73C4C2"/>
    <w:rsid w:val="3C7FDCC3"/>
    <w:rsid w:val="3CC1852D"/>
    <w:rsid w:val="3CDA8CAE"/>
    <w:rsid w:val="3CE868DE"/>
    <w:rsid w:val="3CF5A77E"/>
    <w:rsid w:val="3D03551C"/>
    <w:rsid w:val="3D08560B"/>
    <w:rsid w:val="3D0A8E01"/>
    <w:rsid w:val="3D1601B7"/>
    <w:rsid w:val="3D187CEB"/>
    <w:rsid w:val="3D1FDF12"/>
    <w:rsid w:val="3D2BE4AE"/>
    <w:rsid w:val="3D2E0F96"/>
    <w:rsid w:val="3D3247CE"/>
    <w:rsid w:val="3D433EF7"/>
    <w:rsid w:val="3D83BB05"/>
    <w:rsid w:val="3D846DBD"/>
    <w:rsid w:val="3D862FAF"/>
    <w:rsid w:val="3D964751"/>
    <w:rsid w:val="3DD11712"/>
    <w:rsid w:val="3DD43522"/>
    <w:rsid w:val="3DEAFDA2"/>
    <w:rsid w:val="3DEC1416"/>
    <w:rsid w:val="3DF42B78"/>
    <w:rsid w:val="3E015D58"/>
    <w:rsid w:val="3E01EFC6"/>
    <w:rsid w:val="3E1C013C"/>
    <w:rsid w:val="3E243209"/>
    <w:rsid w:val="3E2ABD4C"/>
    <w:rsid w:val="3E5A4F55"/>
    <w:rsid w:val="3E61348A"/>
    <w:rsid w:val="3E9379B2"/>
    <w:rsid w:val="3E9ADA3A"/>
    <w:rsid w:val="3EA694F7"/>
    <w:rsid w:val="3EA6CF13"/>
    <w:rsid w:val="3ED55041"/>
    <w:rsid w:val="3ED90B0C"/>
    <w:rsid w:val="3EDC0875"/>
    <w:rsid w:val="3EE89340"/>
    <w:rsid w:val="3F0E2520"/>
    <w:rsid w:val="3F1C17AE"/>
    <w:rsid w:val="3F1F6520"/>
    <w:rsid w:val="3F4155FE"/>
    <w:rsid w:val="3F5736DA"/>
    <w:rsid w:val="3F84BF3A"/>
    <w:rsid w:val="3F8CF3B0"/>
    <w:rsid w:val="3F951DA6"/>
    <w:rsid w:val="3F9AB77F"/>
    <w:rsid w:val="3FC5DF51"/>
    <w:rsid w:val="3FE0D230"/>
    <w:rsid w:val="3FE79EBF"/>
    <w:rsid w:val="3FEE37E8"/>
    <w:rsid w:val="3FEEE59C"/>
    <w:rsid w:val="40122D70"/>
    <w:rsid w:val="40166759"/>
    <w:rsid w:val="40357AA0"/>
    <w:rsid w:val="403DBCDB"/>
    <w:rsid w:val="404BD9F4"/>
    <w:rsid w:val="404DCECB"/>
    <w:rsid w:val="4053AC3D"/>
    <w:rsid w:val="4061DC8D"/>
    <w:rsid w:val="40677879"/>
    <w:rsid w:val="4085ED41"/>
    <w:rsid w:val="4089053A"/>
    <w:rsid w:val="40C46754"/>
    <w:rsid w:val="40D2E1D8"/>
    <w:rsid w:val="40D61E65"/>
    <w:rsid w:val="40DACB25"/>
    <w:rsid w:val="40EB9CDF"/>
    <w:rsid w:val="40F4E762"/>
    <w:rsid w:val="4102B7BF"/>
    <w:rsid w:val="41123C28"/>
    <w:rsid w:val="411E3918"/>
    <w:rsid w:val="411FBF33"/>
    <w:rsid w:val="41267EFC"/>
    <w:rsid w:val="4138AF61"/>
    <w:rsid w:val="415FE6E8"/>
    <w:rsid w:val="41602D8E"/>
    <w:rsid w:val="419858CC"/>
    <w:rsid w:val="419B811D"/>
    <w:rsid w:val="419E05A1"/>
    <w:rsid w:val="41BF1A33"/>
    <w:rsid w:val="41FA478E"/>
    <w:rsid w:val="41FE1412"/>
    <w:rsid w:val="420B7FC9"/>
    <w:rsid w:val="420CF103"/>
    <w:rsid w:val="4214C1E5"/>
    <w:rsid w:val="424C8E27"/>
    <w:rsid w:val="42B6EB1C"/>
    <w:rsid w:val="42C5DF6B"/>
    <w:rsid w:val="42C7C3D6"/>
    <w:rsid w:val="42E05D7C"/>
    <w:rsid w:val="42E5B95E"/>
    <w:rsid w:val="42F8C596"/>
    <w:rsid w:val="4322C7CB"/>
    <w:rsid w:val="433E48C3"/>
    <w:rsid w:val="4341DBF7"/>
    <w:rsid w:val="43440384"/>
    <w:rsid w:val="4345E0F6"/>
    <w:rsid w:val="434D63C5"/>
    <w:rsid w:val="435ABEC5"/>
    <w:rsid w:val="43620508"/>
    <w:rsid w:val="4374FEA7"/>
    <w:rsid w:val="4379B399"/>
    <w:rsid w:val="438A2A3D"/>
    <w:rsid w:val="438DDE43"/>
    <w:rsid w:val="43AA912F"/>
    <w:rsid w:val="43B31F9F"/>
    <w:rsid w:val="43BC0F97"/>
    <w:rsid w:val="43DC48D6"/>
    <w:rsid w:val="441D4E38"/>
    <w:rsid w:val="44497843"/>
    <w:rsid w:val="44501DDE"/>
    <w:rsid w:val="44545BA2"/>
    <w:rsid w:val="4464AC94"/>
    <w:rsid w:val="447B6D9A"/>
    <w:rsid w:val="449367CA"/>
    <w:rsid w:val="449F8E16"/>
    <w:rsid w:val="44BB50C1"/>
    <w:rsid w:val="44C26BD5"/>
    <w:rsid w:val="44CFB43E"/>
    <w:rsid w:val="44D7C4B0"/>
    <w:rsid w:val="44DCE83D"/>
    <w:rsid w:val="44ED2128"/>
    <w:rsid w:val="44F233EE"/>
    <w:rsid w:val="44F79473"/>
    <w:rsid w:val="44FC5DFF"/>
    <w:rsid w:val="450B3D8C"/>
    <w:rsid w:val="4521080B"/>
    <w:rsid w:val="45354DB0"/>
    <w:rsid w:val="45369431"/>
    <w:rsid w:val="4538969D"/>
    <w:rsid w:val="454BAA7B"/>
    <w:rsid w:val="4553DAEF"/>
    <w:rsid w:val="455D0488"/>
    <w:rsid w:val="4569405D"/>
    <w:rsid w:val="456D204C"/>
    <w:rsid w:val="459D6956"/>
    <w:rsid w:val="459EFD42"/>
    <w:rsid w:val="45B7E0D9"/>
    <w:rsid w:val="45C48159"/>
    <w:rsid w:val="45DB645C"/>
    <w:rsid w:val="45DCC394"/>
    <w:rsid w:val="45E6F187"/>
    <w:rsid w:val="460676D9"/>
    <w:rsid w:val="460AD520"/>
    <w:rsid w:val="46173DFB"/>
    <w:rsid w:val="463DE1A2"/>
    <w:rsid w:val="463F5E1D"/>
    <w:rsid w:val="46405DD2"/>
    <w:rsid w:val="46554085"/>
    <w:rsid w:val="467FFC39"/>
    <w:rsid w:val="46A06017"/>
    <w:rsid w:val="46A1065A"/>
    <w:rsid w:val="46AD0939"/>
    <w:rsid w:val="46BBA1CF"/>
    <w:rsid w:val="46BCACE6"/>
    <w:rsid w:val="46CC1935"/>
    <w:rsid w:val="46D340B2"/>
    <w:rsid w:val="46D3CA7D"/>
    <w:rsid w:val="46DBAA10"/>
    <w:rsid w:val="46EAC061"/>
    <w:rsid w:val="46EBAE70"/>
    <w:rsid w:val="470DCF42"/>
    <w:rsid w:val="4718A191"/>
    <w:rsid w:val="4780DCC1"/>
    <w:rsid w:val="478F00B7"/>
    <w:rsid w:val="479DAB87"/>
    <w:rsid w:val="47A69164"/>
    <w:rsid w:val="47A6A581"/>
    <w:rsid w:val="47C5C130"/>
    <w:rsid w:val="47DCDE4D"/>
    <w:rsid w:val="47EB7344"/>
    <w:rsid w:val="47F2F183"/>
    <w:rsid w:val="48055F41"/>
    <w:rsid w:val="481E6B83"/>
    <w:rsid w:val="4825CDA4"/>
    <w:rsid w:val="48345C55"/>
    <w:rsid w:val="486777F7"/>
    <w:rsid w:val="4869C260"/>
    <w:rsid w:val="4871F399"/>
    <w:rsid w:val="4877D1D1"/>
    <w:rsid w:val="487F8354"/>
    <w:rsid w:val="48845484"/>
    <w:rsid w:val="489BDF09"/>
    <w:rsid w:val="489D9669"/>
    <w:rsid w:val="48A4C10E"/>
    <w:rsid w:val="48AE64D7"/>
    <w:rsid w:val="48B51AD4"/>
    <w:rsid w:val="48B6B3A6"/>
    <w:rsid w:val="48B98423"/>
    <w:rsid w:val="48C54E12"/>
    <w:rsid w:val="490425B0"/>
    <w:rsid w:val="491B98CF"/>
    <w:rsid w:val="4923F2D8"/>
    <w:rsid w:val="492D9F6A"/>
    <w:rsid w:val="4942CA72"/>
    <w:rsid w:val="494855DA"/>
    <w:rsid w:val="495E5FCB"/>
    <w:rsid w:val="495F5C9E"/>
    <w:rsid w:val="4960B165"/>
    <w:rsid w:val="4966CCB8"/>
    <w:rsid w:val="49890E1E"/>
    <w:rsid w:val="4992094F"/>
    <w:rsid w:val="49B4D859"/>
    <w:rsid w:val="49E16D9F"/>
    <w:rsid w:val="49E17119"/>
    <w:rsid w:val="49E95E0C"/>
    <w:rsid w:val="49EE7808"/>
    <w:rsid w:val="49FC7245"/>
    <w:rsid w:val="49FF9FBD"/>
    <w:rsid w:val="4A01EE81"/>
    <w:rsid w:val="4A08D4FE"/>
    <w:rsid w:val="4A19619F"/>
    <w:rsid w:val="4A2024E5"/>
    <w:rsid w:val="4A226123"/>
    <w:rsid w:val="4A2AA112"/>
    <w:rsid w:val="4A413DBD"/>
    <w:rsid w:val="4A64FD92"/>
    <w:rsid w:val="4A6C92D2"/>
    <w:rsid w:val="4A74132C"/>
    <w:rsid w:val="4A817612"/>
    <w:rsid w:val="4AAC41C2"/>
    <w:rsid w:val="4AED9C43"/>
    <w:rsid w:val="4AF86EA0"/>
    <w:rsid w:val="4AF89D48"/>
    <w:rsid w:val="4B0B2E64"/>
    <w:rsid w:val="4B0B377F"/>
    <w:rsid w:val="4B0F2A75"/>
    <w:rsid w:val="4B308D88"/>
    <w:rsid w:val="4B37D2BB"/>
    <w:rsid w:val="4B558BA2"/>
    <w:rsid w:val="4B67374A"/>
    <w:rsid w:val="4B81DE6E"/>
    <w:rsid w:val="4B90435A"/>
    <w:rsid w:val="4B909E1A"/>
    <w:rsid w:val="4BB19926"/>
    <w:rsid w:val="4BD37FCB"/>
    <w:rsid w:val="4C16EFEC"/>
    <w:rsid w:val="4C641FF3"/>
    <w:rsid w:val="4C6D9BBE"/>
    <w:rsid w:val="4C7638C2"/>
    <w:rsid w:val="4C901C2F"/>
    <w:rsid w:val="4CA76F0C"/>
    <w:rsid w:val="4CAE497D"/>
    <w:rsid w:val="4CB818BB"/>
    <w:rsid w:val="4CC25DDE"/>
    <w:rsid w:val="4CD9BA03"/>
    <w:rsid w:val="4CE3C247"/>
    <w:rsid w:val="4CE5EA27"/>
    <w:rsid w:val="4CE93EA9"/>
    <w:rsid w:val="4D15856C"/>
    <w:rsid w:val="4D48B1C2"/>
    <w:rsid w:val="4D50E709"/>
    <w:rsid w:val="4D6797D7"/>
    <w:rsid w:val="4D6A90F5"/>
    <w:rsid w:val="4DB2A14C"/>
    <w:rsid w:val="4DB3F00F"/>
    <w:rsid w:val="4DB8E6D6"/>
    <w:rsid w:val="4DD6873E"/>
    <w:rsid w:val="4DD94E75"/>
    <w:rsid w:val="4DE96F08"/>
    <w:rsid w:val="4DFB2AF0"/>
    <w:rsid w:val="4E1B17C6"/>
    <w:rsid w:val="4E1F1FEF"/>
    <w:rsid w:val="4E28010B"/>
    <w:rsid w:val="4ED3F939"/>
    <w:rsid w:val="4EE85885"/>
    <w:rsid w:val="4EEA485F"/>
    <w:rsid w:val="4EEEA782"/>
    <w:rsid w:val="4F115AB6"/>
    <w:rsid w:val="4F2327B9"/>
    <w:rsid w:val="4F2EC399"/>
    <w:rsid w:val="4F319A73"/>
    <w:rsid w:val="4F39BE9E"/>
    <w:rsid w:val="4F51B9D0"/>
    <w:rsid w:val="4F7F1106"/>
    <w:rsid w:val="4F905B1E"/>
    <w:rsid w:val="4F9B4C1B"/>
    <w:rsid w:val="4FD9FB68"/>
    <w:rsid w:val="4FE8E536"/>
    <w:rsid w:val="4FF3DCFD"/>
    <w:rsid w:val="501A5C52"/>
    <w:rsid w:val="50234427"/>
    <w:rsid w:val="503F7827"/>
    <w:rsid w:val="505045E8"/>
    <w:rsid w:val="5054395A"/>
    <w:rsid w:val="505F2B08"/>
    <w:rsid w:val="506FBFE8"/>
    <w:rsid w:val="50805284"/>
    <w:rsid w:val="5096F9E0"/>
    <w:rsid w:val="50A6F0EE"/>
    <w:rsid w:val="50B351C6"/>
    <w:rsid w:val="50BE8A01"/>
    <w:rsid w:val="50C2B964"/>
    <w:rsid w:val="50C5A7D7"/>
    <w:rsid w:val="50CA62FE"/>
    <w:rsid w:val="50EB435C"/>
    <w:rsid w:val="50F37924"/>
    <w:rsid w:val="50F8E9B2"/>
    <w:rsid w:val="50F9D055"/>
    <w:rsid w:val="5117BC3A"/>
    <w:rsid w:val="51215CF5"/>
    <w:rsid w:val="51298697"/>
    <w:rsid w:val="51396DAA"/>
    <w:rsid w:val="5139847C"/>
    <w:rsid w:val="513DDF5D"/>
    <w:rsid w:val="51504953"/>
    <w:rsid w:val="515061A8"/>
    <w:rsid w:val="515D8031"/>
    <w:rsid w:val="517490FC"/>
    <w:rsid w:val="517F9ACB"/>
    <w:rsid w:val="51C5F53C"/>
    <w:rsid w:val="51C73B5A"/>
    <w:rsid w:val="51EB5B5B"/>
    <w:rsid w:val="51EC54A6"/>
    <w:rsid w:val="521BB788"/>
    <w:rsid w:val="52333BBF"/>
    <w:rsid w:val="5236032A"/>
    <w:rsid w:val="52387DDC"/>
    <w:rsid w:val="5246F805"/>
    <w:rsid w:val="52516DB1"/>
    <w:rsid w:val="526FEA44"/>
    <w:rsid w:val="5273AF6F"/>
    <w:rsid w:val="5288258D"/>
    <w:rsid w:val="5292E53F"/>
    <w:rsid w:val="5297E326"/>
    <w:rsid w:val="52A69C57"/>
    <w:rsid w:val="52A6E461"/>
    <w:rsid w:val="52D1BA66"/>
    <w:rsid w:val="52F0AED7"/>
    <w:rsid w:val="53094A66"/>
    <w:rsid w:val="530DF0D7"/>
    <w:rsid w:val="53237168"/>
    <w:rsid w:val="5324FAE1"/>
    <w:rsid w:val="533B620F"/>
    <w:rsid w:val="53409B36"/>
    <w:rsid w:val="53469700"/>
    <w:rsid w:val="535649A1"/>
    <w:rsid w:val="5369D1F5"/>
    <w:rsid w:val="537B036E"/>
    <w:rsid w:val="537CA5D5"/>
    <w:rsid w:val="538D6C23"/>
    <w:rsid w:val="53962AF3"/>
    <w:rsid w:val="539A76B0"/>
    <w:rsid w:val="53A8CEE4"/>
    <w:rsid w:val="53B0BD18"/>
    <w:rsid w:val="53B443F7"/>
    <w:rsid w:val="53B7F346"/>
    <w:rsid w:val="53C347DC"/>
    <w:rsid w:val="53D2193E"/>
    <w:rsid w:val="53DE91B0"/>
    <w:rsid w:val="53DFF782"/>
    <w:rsid w:val="542BA7FB"/>
    <w:rsid w:val="542CAE88"/>
    <w:rsid w:val="5432E895"/>
    <w:rsid w:val="5451570F"/>
    <w:rsid w:val="546A7E2A"/>
    <w:rsid w:val="548D3557"/>
    <w:rsid w:val="549A8D6D"/>
    <w:rsid w:val="54BE9791"/>
    <w:rsid w:val="54BF33B0"/>
    <w:rsid w:val="54C00676"/>
    <w:rsid w:val="54C3660A"/>
    <w:rsid w:val="54CC6090"/>
    <w:rsid w:val="54CCD0AB"/>
    <w:rsid w:val="54D91D83"/>
    <w:rsid w:val="54DCCF52"/>
    <w:rsid w:val="54F78B00"/>
    <w:rsid w:val="54FB7112"/>
    <w:rsid w:val="55004460"/>
    <w:rsid w:val="550857B8"/>
    <w:rsid w:val="5510A7E3"/>
    <w:rsid w:val="551D4684"/>
    <w:rsid w:val="55465FBD"/>
    <w:rsid w:val="55530321"/>
    <w:rsid w:val="557858DC"/>
    <w:rsid w:val="5583CCF8"/>
    <w:rsid w:val="55891D70"/>
    <w:rsid w:val="55905CD8"/>
    <w:rsid w:val="55944429"/>
    <w:rsid w:val="559ADB16"/>
    <w:rsid w:val="55A5A4E9"/>
    <w:rsid w:val="55E187BC"/>
    <w:rsid w:val="55FC55F9"/>
    <w:rsid w:val="560F5A80"/>
    <w:rsid w:val="563D1813"/>
    <w:rsid w:val="56412DAC"/>
    <w:rsid w:val="56433E7E"/>
    <w:rsid w:val="5650BE14"/>
    <w:rsid w:val="565B6A7F"/>
    <w:rsid w:val="565F2D0A"/>
    <w:rsid w:val="567954A6"/>
    <w:rsid w:val="569C93F9"/>
    <w:rsid w:val="56AC7844"/>
    <w:rsid w:val="56BB5B51"/>
    <w:rsid w:val="56BF0C2D"/>
    <w:rsid w:val="56C17505"/>
    <w:rsid w:val="56C35815"/>
    <w:rsid w:val="56CDCBB5"/>
    <w:rsid w:val="56DDDF3C"/>
    <w:rsid w:val="56EE3E8D"/>
    <w:rsid w:val="56F8CCEB"/>
    <w:rsid w:val="5703D991"/>
    <w:rsid w:val="57223CDE"/>
    <w:rsid w:val="5733C3BC"/>
    <w:rsid w:val="573A1498"/>
    <w:rsid w:val="573B2571"/>
    <w:rsid w:val="57428092"/>
    <w:rsid w:val="576FB12C"/>
    <w:rsid w:val="57722D54"/>
    <w:rsid w:val="577F72CF"/>
    <w:rsid w:val="57957A84"/>
    <w:rsid w:val="57B20BDF"/>
    <w:rsid w:val="57C4ECB5"/>
    <w:rsid w:val="57ED100F"/>
    <w:rsid w:val="57F259A1"/>
    <w:rsid w:val="57F27B86"/>
    <w:rsid w:val="5813B4F3"/>
    <w:rsid w:val="581C0E63"/>
    <w:rsid w:val="582411A2"/>
    <w:rsid w:val="584B9CC3"/>
    <w:rsid w:val="58631DCD"/>
    <w:rsid w:val="586546DA"/>
    <w:rsid w:val="586AC01D"/>
    <w:rsid w:val="586BF7DB"/>
    <w:rsid w:val="58811B7A"/>
    <w:rsid w:val="58867EE0"/>
    <w:rsid w:val="588A0EEE"/>
    <w:rsid w:val="58A90EBF"/>
    <w:rsid w:val="58B6F2C6"/>
    <w:rsid w:val="58C63964"/>
    <w:rsid w:val="58C63B69"/>
    <w:rsid w:val="58C9CAAB"/>
    <w:rsid w:val="58D04F03"/>
    <w:rsid w:val="58D4E202"/>
    <w:rsid w:val="58DD3369"/>
    <w:rsid w:val="58E082D7"/>
    <w:rsid w:val="58FA7CBF"/>
    <w:rsid w:val="59035872"/>
    <w:rsid w:val="590BF382"/>
    <w:rsid w:val="590E9C87"/>
    <w:rsid w:val="5924C832"/>
    <w:rsid w:val="592B45C4"/>
    <w:rsid w:val="592CEBCE"/>
    <w:rsid w:val="59667A84"/>
    <w:rsid w:val="59697532"/>
    <w:rsid w:val="5976D544"/>
    <w:rsid w:val="598196E6"/>
    <w:rsid w:val="59919F0A"/>
    <w:rsid w:val="59ABE4A5"/>
    <w:rsid w:val="59ADC7D7"/>
    <w:rsid w:val="59B01A9F"/>
    <w:rsid w:val="59C0E837"/>
    <w:rsid w:val="59D1ABB3"/>
    <w:rsid w:val="5A2251E1"/>
    <w:rsid w:val="5A37B94C"/>
    <w:rsid w:val="5A57A310"/>
    <w:rsid w:val="5A58E0F6"/>
    <w:rsid w:val="5A93624D"/>
    <w:rsid w:val="5A9D1FA5"/>
    <w:rsid w:val="5AB73B78"/>
    <w:rsid w:val="5ABB0D50"/>
    <w:rsid w:val="5ABD2BC5"/>
    <w:rsid w:val="5AE47A9A"/>
    <w:rsid w:val="5B48D41F"/>
    <w:rsid w:val="5B6464FB"/>
    <w:rsid w:val="5B9BEB7D"/>
    <w:rsid w:val="5B9F1B6E"/>
    <w:rsid w:val="5BA45346"/>
    <w:rsid w:val="5BB8ABD9"/>
    <w:rsid w:val="5BC36F9F"/>
    <w:rsid w:val="5BE8A2E8"/>
    <w:rsid w:val="5BF90F6F"/>
    <w:rsid w:val="5BFE9527"/>
    <w:rsid w:val="5C0695F1"/>
    <w:rsid w:val="5C20DE07"/>
    <w:rsid w:val="5C221516"/>
    <w:rsid w:val="5C23A6C2"/>
    <w:rsid w:val="5C327531"/>
    <w:rsid w:val="5C3AF934"/>
    <w:rsid w:val="5C4057B7"/>
    <w:rsid w:val="5C450B15"/>
    <w:rsid w:val="5C4AE94E"/>
    <w:rsid w:val="5C4EEE08"/>
    <w:rsid w:val="5C6AC53F"/>
    <w:rsid w:val="5C738503"/>
    <w:rsid w:val="5C791E52"/>
    <w:rsid w:val="5C9050BB"/>
    <w:rsid w:val="5C92B3F9"/>
    <w:rsid w:val="5CB1104A"/>
    <w:rsid w:val="5CC39987"/>
    <w:rsid w:val="5CCDD716"/>
    <w:rsid w:val="5CD233E1"/>
    <w:rsid w:val="5CD95F42"/>
    <w:rsid w:val="5CDAB137"/>
    <w:rsid w:val="5D00999A"/>
    <w:rsid w:val="5D24100F"/>
    <w:rsid w:val="5D2CA828"/>
    <w:rsid w:val="5D45AD2F"/>
    <w:rsid w:val="5D48A23F"/>
    <w:rsid w:val="5D53303A"/>
    <w:rsid w:val="5D573E5F"/>
    <w:rsid w:val="5D6A00B6"/>
    <w:rsid w:val="5D70FA74"/>
    <w:rsid w:val="5D90646C"/>
    <w:rsid w:val="5D90663C"/>
    <w:rsid w:val="5D917714"/>
    <w:rsid w:val="5DA069AA"/>
    <w:rsid w:val="5DA6E2DD"/>
    <w:rsid w:val="5DB77C2A"/>
    <w:rsid w:val="5DBB6AA0"/>
    <w:rsid w:val="5DCED7D8"/>
    <w:rsid w:val="5DEB32FB"/>
    <w:rsid w:val="5DEE66D8"/>
    <w:rsid w:val="5DFB4725"/>
    <w:rsid w:val="5E04BC08"/>
    <w:rsid w:val="5E058902"/>
    <w:rsid w:val="5E38427D"/>
    <w:rsid w:val="5E3DCD6B"/>
    <w:rsid w:val="5E5075D7"/>
    <w:rsid w:val="5E7040D4"/>
    <w:rsid w:val="5E83B198"/>
    <w:rsid w:val="5E8AC0E7"/>
    <w:rsid w:val="5E98B53D"/>
    <w:rsid w:val="5E9FA68A"/>
    <w:rsid w:val="5EB357D3"/>
    <w:rsid w:val="5EC8A374"/>
    <w:rsid w:val="5EEF009B"/>
    <w:rsid w:val="5F0C8102"/>
    <w:rsid w:val="5F1B4D76"/>
    <w:rsid w:val="5F372EBC"/>
    <w:rsid w:val="5F509E27"/>
    <w:rsid w:val="5F5869D7"/>
    <w:rsid w:val="5F5B6D4E"/>
    <w:rsid w:val="5F60B31C"/>
    <w:rsid w:val="5F7167F8"/>
    <w:rsid w:val="5F73481E"/>
    <w:rsid w:val="5F86293A"/>
    <w:rsid w:val="5F9403E1"/>
    <w:rsid w:val="5FEB4C59"/>
    <w:rsid w:val="600BF1AB"/>
    <w:rsid w:val="600DA9F8"/>
    <w:rsid w:val="6011600B"/>
    <w:rsid w:val="605441DA"/>
    <w:rsid w:val="6058586A"/>
    <w:rsid w:val="606473D5"/>
    <w:rsid w:val="606795F5"/>
    <w:rsid w:val="606C4FE7"/>
    <w:rsid w:val="6073A1EE"/>
    <w:rsid w:val="607C90A8"/>
    <w:rsid w:val="6084DB1A"/>
    <w:rsid w:val="60853B19"/>
    <w:rsid w:val="60D393B8"/>
    <w:rsid w:val="60D8C96B"/>
    <w:rsid w:val="60E99D68"/>
    <w:rsid w:val="61252488"/>
    <w:rsid w:val="61446426"/>
    <w:rsid w:val="6149A644"/>
    <w:rsid w:val="614DF302"/>
    <w:rsid w:val="61605AF1"/>
    <w:rsid w:val="616E5AA3"/>
    <w:rsid w:val="6176E355"/>
    <w:rsid w:val="61826107"/>
    <w:rsid w:val="6199D969"/>
    <w:rsid w:val="61A2571C"/>
    <w:rsid w:val="61AD263B"/>
    <w:rsid w:val="61F4FD0D"/>
    <w:rsid w:val="6206B7B4"/>
    <w:rsid w:val="6210015F"/>
    <w:rsid w:val="62139776"/>
    <w:rsid w:val="62224507"/>
    <w:rsid w:val="623BD169"/>
    <w:rsid w:val="625A7CE8"/>
    <w:rsid w:val="6295AAE0"/>
    <w:rsid w:val="62B8758E"/>
    <w:rsid w:val="62C3632E"/>
    <w:rsid w:val="62E2C687"/>
    <w:rsid w:val="62F0F4EA"/>
    <w:rsid w:val="62F1CA76"/>
    <w:rsid w:val="63023D7E"/>
    <w:rsid w:val="630A2BB7"/>
    <w:rsid w:val="630D5CCA"/>
    <w:rsid w:val="63178432"/>
    <w:rsid w:val="631C7432"/>
    <w:rsid w:val="63237B0F"/>
    <w:rsid w:val="63353177"/>
    <w:rsid w:val="634B47C0"/>
    <w:rsid w:val="634EE274"/>
    <w:rsid w:val="6361DF26"/>
    <w:rsid w:val="6365F7B6"/>
    <w:rsid w:val="6368AC75"/>
    <w:rsid w:val="6386F1B8"/>
    <w:rsid w:val="639F8773"/>
    <w:rsid w:val="63C23977"/>
    <w:rsid w:val="63DE58D6"/>
    <w:rsid w:val="63E67F63"/>
    <w:rsid w:val="64220104"/>
    <w:rsid w:val="6439F38C"/>
    <w:rsid w:val="64573F64"/>
    <w:rsid w:val="6463DCC4"/>
    <w:rsid w:val="646A2D19"/>
    <w:rsid w:val="6473B8B2"/>
    <w:rsid w:val="6497FBB3"/>
    <w:rsid w:val="64B7D631"/>
    <w:rsid w:val="64D9F7DE"/>
    <w:rsid w:val="64F5EEA2"/>
    <w:rsid w:val="65366D52"/>
    <w:rsid w:val="65401B5C"/>
    <w:rsid w:val="6548F30C"/>
    <w:rsid w:val="6562E322"/>
    <w:rsid w:val="6563FF38"/>
    <w:rsid w:val="6565F776"/>
    <w:rsid w:val="656C8EB8"/>
    <w:rsid w:val="6572D3F9"/>
    <w:rsid w:val="658E4CF1"/>
    <w:rsid w:val="65A6A510"/>
    <w:rsid w:val="65B21CA3"/>
    <w:rsid w:val="65C4A4E5"/>
    <w:rsid w:val="65C56559"/>
    <w:rsid w:val="65D288E6"/>
    <w:rsid w:val="65D65086"/>
    <w:rsid w:val="65D9E9F4"/>
    <w:rsid w:val="65DA37D2"/>
    <w:rsid w:val="65DD0354"/>
    <w:rsid w:val="65E05216"/>
    <w:rsid w:val="65E84960"/>
    <w:rsid w:val="65EA4BD1"/>
    <w:rsid w:val="65FE8ACD"/>
    <w:rsid w:val="65FECA0C"/>
    <w:rsid w:val="660B38C0"/>
    <w:rsid w:val="660CD355"/>
    <w:rsid w:val="66251FF4"/>
    <w:rsid w:val="6652B5C3"/>
    <w:rsid w:val="6653A692"/>
    <w:rsid w:val="666055C1"/>
    <w:rsid w:val="666D98A7"/>
    <w:rsid w:val="669C8CDA"/>
    <w:rsid w:val="66ABFBB3"/>
    <w:rsid w:val="66B2A1CF"/>
    <w:rsid w:val="66BC079A"/>
    <w:rsid w:val="66BDFFD8"/>
    <w:rsid w:val="66D52FF7"/>
    <w:rsid w:val="66DB6748"/>
    <w:rsid w:val="66DBEBBD"/>
    <w:rsid w:val="66E3270C"/>
    <w:rsid w:val="66FB174A"/>
    <w:rsid w:val="6709D53E"/>
    <w:rsid w:val="6716AD1B"/>
    <w:rsid w:val="671AF6F5"/>
    <w:rsid w:val="673F36E2"/>
    <w:rsid w:val="674CD1AE"/>
    <w:rsid w:val="6771DA84"/>
    <w:rsid w:val="677A5C36"/>
    <w:rsid w:val="67871497"/>
    <w:rsid w:val="678F6616"/>
    <w:rsid w:val="679227FE"/>
    <w:rsid w:val="67C10564"/>
    <w:rsid w:val="67D81666"/>
    <w:rsid w:val="67E3C7A0"/>
    <w:rsid w:val="67F8254A"/>
    <w:rsid w:val="6803D7D5"/>
    <w:rsid w:val="68055C33"/>
    <w:rsid w:val="6812159C"/>
    <w:rsid w:val="6823A4AE"/>
    <w:rsid w:val="682C1C11"/>
    <w:rsid w:val="6857E5EE"/>
    <w:rsid w:val="6859D039"/>
    <w:rsid w:val="686331E1"/>
    <w:rsid w:val="687152CA"/>
    <w:rsid w:val="6888E4BA"/>
    <w:rsid w:val="6892A21B"/>
    <w:rsid w:val="68A7AE56"/>
    <w:rsid w:val="68A95188"/>
    <w:rsid w:val="68AF39E7"/>
    <w:rsid w:val="68C82BC6"/>
    <w:rsid w:val="68CF10EB"/>
    <w:rsid w:val="68D65D1B"/>
    <w:rsid w:val="68FFA64F"/>
    <w:rsid w:val="6922D43B"/>
    <w:rsid w:val="69254C11"/>
    <w:rsid w:val="694393D8"/>
    <w:rsid w:val="694729D5"/>
    <w:rsid w:val="696A730D"/>
    <w:rsid w:val="696C1E42"/>
    <w:rsid w:val="6989A5D4"/>
    <w:rsid w:val="69AC2AED"/>
    <w:rsid w:val="69AD42CC"/>
    <w:rsid w:val="69ADB379"/>
    <w:rsid w:val="69D08510"/>
    <w:rsid w:val="69D5F014"/>
    <w:rsid w:val="69D9B1CB"/>
    <w:rsid w:val="69E5C825"/>
    <w:rsid w:val="69EA609A"/>
    <w:rsid w:val="69F3F5ED"/>
    <w:rsid w:val="69FE5F87"/>
    <w:rsid w:val="6A00ADAE"/>
    <w:rsid w:val="6A0341D7"/>
    <w:rsid w:val="6A091213"/>
    <w:rsid w:val="6A0C9646"/>
    <w:rsid w:val="6A356F3E"/>
    <w:rsid w:val="6A368D0A"/>
    <w:rsid w:val="6A39CB48"/>
    <w:rsid w:val="6A47EFAF"/>
    <w:rsid w:val="6A4A02B1"/>
    <w:rsid w:val="6A5F70AD"/>
    <w:rsid w:val="6A6781E5"/>
    <w:rsid w:val="6AABF615"/>
    <w:rsid w:val="6AB02362"/>
    <w:rsid w:val="6AB1EB73"/>
    <w:rsid w:val="6AB1FCF8"/>
    <w:rsid w:val="6ABD3A23"/>
    <w:rsid w:val="6AC2664D"/>
    <w:rsid w:val="6ADCA095"/>
    <w:rsid w:val="6AF1D07B"/>
    <w:rsid w:val="6B04CE5A"/>
    <w:rsid w:val="6B0B6159"/>
    <w:rsid w:val="6B0C0294"/>
    <w:rsid w:val="6B0DAA3B"/>
    <w:rsid w:val="6B153CE9"/>
    <w:rsid w:val="6B2A0763"/>
    <w:rsid w:val="6B2C9A54"/>
    <w:rsid w:val="6B33C48A"/>
    <w:rsid w:val="6B4AA1A9"/>
    <w:rsid w:val="6B537F27"/>
    <w:rsid w:val="6B55FD4A"/>
    <w:rsid w:val="6B58024C"/>
    <w:rsid w:val="6B5C4228"/>
    <w:rsid w:val="6B90BA2D"/>
    <w:rsid w:val="6B9D99A0"/>
    <w:rsid w:val="6BA45ABB"/>
    <w:rsid w:val="6BA77566"/>
    <w:rsid w:val="6BBC2676"/>
    <w:rsid w:val="6BC06E77"/>
    <w:rsid w:val="6BC7D7DB"/>
    <w:rsid w:val="6C0460DD"/>
    <w:rsid w:val="6C3F311F"/>
    <w:rsid w:val="6C4A3A00"/>
    <w:rsid w:val="6C4DE1AB"/>
    <w:rsid w:val="6C578AE4"/>
    <w:rsid w:val="6C78F4E3"/>
    <w:rsid w:val="6C89A8CD"/>
    <w:rsid w:val="6C9F24D0"/>
    <w:rsid w:val="6CB43F10"/>
    <w:rsid w:val="6CB84D2D"/>
    <w:rsid w:val="6CC1E3C8"/>
    <w:rsid w:val="6CC7BB9C"/>
    <w:rsid w:val="6CCCF7EF"/>
    <w:rsid w:val="6CE53ABA"/>
    <w:rsid w:val="6D146528"/>
    <w:rsid w:val="6D2FFBB8"/>
    <w:rsid w:val="6D379848"/>
    <w:rsid w:val="6D3C5BEE"/>
    <w:rsid w:val="6D3F8BD8"/>
    <w:rsid w:val="6D451598"/>
    <w:rsid w:val="6D455BA5"/>
    <w:rsid w:val="6D5C7D34"/>
    <w:rsid w:val="6D5E88EC"/>
    <w:rsid w:val="6D7B2710"/>
    <w:rsid w:val="6DBFCA9C"/>
    <w:rsid w:val="6DC84D84"/>
    <w:rsid w:val="6DF89B6F"/>
    <w:rsid w:val="6DFFA602"/>
    <w:rsid w:val="6E029F89"/>
    <w:rsid w:val="6E1F2453"/>
    <w:rsid w:val="6E274CB0"/>
    <w:rsid w:val="6E345B51"/>
    <w:rsid w:val="6E3AF531"/>
    <w:rsid w:val="6E408C31"/>
    <w:rsid w:val="6E42AC83"/>
    <w:rsid w:val="6E4FF875"/>
    <w:rsid w:val="6E51F0D1"/>
    <w:rsid w:val="6E59F0FC"/>
    <w:rsid w:val="6E5CFF58"/>
    <w:rsid w:val="6E72FE8E"/>
    <w:rsid w:val="6E965730"/>
    <w:rsid w:val="6E976F01"/>
    <w:rsid w:val="6E9CF7C3"/>
    <w:rsid w:val="6EA21E18"/>
    <w:rsid w:val="6EB422F1"/>
    <w:rsid w:val="6EC8A52D"/>
    <w:rsid w:val="6EE6F72C"/>
    <w:rsid w:val="6EE8F7B5"/>
    <w:rsid w:val="6EEFA36C"/>
    <w:rsid w:val="6EF18FB8"/>
    <w:rsid w:val="6F01E39F"/>
    <w:rsid w:val="6F13C7AE"/>
    <w:rsid w:val="6F3B1ADD"/>
    <w:rsid w:val="6F3B312D"/>
    <w:rsid w:val="6F4842EE"/>
    <w:rsid w:val="6F5012EC"/>
    <w:rsid w:val="6F563402"/>
    <w:rsid w:val="6F64D37C"/>
    <w:rsid w:val="6F6B934E"/>
    <w:rsid w:val="6F6C45BE"/>
    <w:rsid w:val="6F7102B7"/>
    <w:rsid w:val="6F80A4D9"/>
    <w:rsid w:val="6FA22550"/>
    <w:rsid w:val="6FA7E5E4"/>
    <w:rsid w:val="6FAE18E4"/>
    <w:rsid w:val="6FB2EEEC"/>
    <w:rsid w:val="6FBCD4B0"/>
    <w:rsid w:val="6FC68F89"/>
    <w:rsid w:val="6FCB5F83"/>
    <w:rsid w:val="6FD4450E"/>
    <w:rsid w:val="6FE24C76"/>
    <w:rsid w:val="6FF9CB4A"/>
    <w:rsid w:val="7010AECF"/>
    <w:rsid w:val="70181EC5"/>
    <w:rsid w:val="702D3C1B"/>
    <w:rsid w:val="702DCB2D"/>
    <w:rsid w:val="703FC498"/>
    <w:rsid w:val="70487F6A"/>
    <w:rsid w:val="704912C0"/>
    <w:rsid w:val="705AD453"/>
    <w:rsid w:val="7065EABD"/>
    <w:rsid w:val="706FFF95"/>
    <w:rsid w:val="708BA28D"/>
    <w:rsid w:val="7091E02A"/>
    <w:rsid w:val="70BC8EC8"/>
    <w:rsid w:val="70DF27D1"/>
    <w:rsid w:val="70E57201"/>
    <w:rsid w:val="70FA2060"/>
    <w:rsid w:val="71082CFD"/>
    <w:rsid w:val="710D7603"/>
    <w:rsid w:val="711443F2"/>
    <w:rsid w:val="71331BF8"/>
    <w:rsid w:val="7134F639"/>
    <w:rsid w:val="7139135D"/>
    <w:rsid w:val="714CAAF0"/>
    <w:rsid w:val="7178A80B"/>
    <w:rsid w:val="717E084A"/>
    <w:rsid w:val="7196141C"/>
    <w:rsid w:val="719AF011"/>
    <w:rsid w:val="71C35DC8"/>
    <w:rsid w:val="71E53034"/>
    <w:rsid w:val="71F5948F"/>
    <w:rsid w:val="72051FE8"/>
    <w:rsid w:val="720A5035"/>
    <w:rsid w:val="720AFDB5"/>
    <w:rsid w:val="7215C15E"/>
    <w:rsid w:val="72238A8D"/>
    <w:rsid w:val="722D0C85"/>
    <w:rsid w:val="72379757"/>
    <w:rsid w:val="72558822"/>
    <w:rsid w:val="7268B55F"/>
    <w:rsid w:val="72776010"/>
    <w:rsid w:val="727D27F2"/>
    <w:rsid w:val="72E8446F"/>
    <w:rsid w:val="72F8FAE3"/>
    <w:rsid w:val="730D6FFF"/>
    <w:rsid w:val="731AC1CD"/>
    <w:rsid w:val="73204ECE"/>
    <w:rsid w:val="73265CBE"/>
    <w:rsid w:val="737CD25A"/>
    <w:rsid w:val="73DE52A1"/>
    <w:rsid w:val="74150C32"/>
    <w:rsid w:val="74285AB7"/>
    <w:rsid w:val="744473DA"/>
    <w:rsid w:val="7448F11E"/>
    <w:rsid w:val="7449AD8E"/>
    <w:rsid w:val="74506D5A"/>
    <w:rsid w:val="745723B4"/>
    <w:rsid w:val="745FD487"/>
    <w:rsid w:val="74704593"/>
    <w:rsid w:val="747F0DCA"/>
    <w:rsid w:val="748E0792"/>
    <w:rsid w:val="74B0120F"/>
    <w:rsid w:val="74F715D0"/>
    <w:rsid w:val="75077D9D"/>
    <w:rsid w:val="7542E48B"/>
    <w:rsid w:val="754DC406"/>
    <w:rsid w:val="7570969B"/>
    <w:rsid w:val="7573EA13"/>
    <w:rsid w:val="758799FD"/>
    <w:rsid w:val="75908352"/>
    <w:rsid w:val="759B8A37"/>
    <w:rsid w:val="75BA5A2A"/>
    <w:rsid w:val="75C0940C"/>
    <w:rsid w:val="75C5E107"/>
    <w:rsid w:val="75C92DCA"/>
    <w:rsid w:val="75D93CFD"/>
    <w:rsid w:val="75EB20AC"/>
    <w:rsid w:val="7603ACAE"/>
    <w:rsid w:val="76135EF6"/>
    <w:rsid w:val="76140AD2"/>
    <w:rsid w:val="761BDC8E"/>
    <w:rsid w:val="76418627"/>
    <w:rsid w:val="76460716"/>
    <w:rsid w:val="764FE471"/>
    <w:rsid w:val="76642589"/>
    <w:rsid w:val="7667D50A"/>
    <w:rsid w:val="766AFE74"/>
    <w:rsid w:val="7692D302"/>
    <w:rsid w:val="7695DA9E"/>
    <w:rsid w:val="76A0D3BD"/>
    <w:rsid w:val="76B3D139"/>
    <w:rsid w:val="76B4731C"/>
    <w:rsid w:val="76C4BC6C"/>
    <w:rsid w:val="76E071AA"/>
    <w:rsid w:val="770B25A9"/>
    <w:rsid w:val="7732090B"/>
    <w:rsid w:val="7747DFCD"/>
    <w:rsid w:val="774EE449"/>
    <w:rsid w:val="7758C573"/>
    <w:rsid w:val="7770E57C"/>
    <w:rsid w:val="77901CD7"/>
    <w:rsid w:val="77C75FF5"/>
    <w:rsid w:val="77DA341C"/>
    <w:rsid w:val="77DEBD1E"/>
    <w:rsid w:val="77F0FF22"/>
    <w:rsid w:val="7802AD27"/>
    <w:rsid w:val="780DC09A"/>
    <w:rsid w:val="78346C3C"/>
    <w:rsid w:val="783C5C77"/>
    <w:rsid w:val="78501DBD"/>
    <w:rsid w:val="7860413E"/>
    <w:rsid w:val="788C7912"/>
    <w:rsid w:val="789173DD"/>
    <w:rsid w:val="78AFAE00"/>
    <w:rsid w:val="78B82951"/>
    <w:rsid w:val="78BEFFB3"/>
    <w:rsid w:val="78C689FB"/>
    <w:rsid w:val="78C76849"/>
    <w:rsid w:val="78D6DF6C"/>
    <w:rsid w:val="78DAD9AF"/>
    <w:rsid w:val="78FC6960"/>
    <w:rsid w:val="79109EA0"/>
    <w:rsid w:val="791F41B6"/>
    <w:rsid w:val="7935449E"/>
    <w:rsid w:val="79448CCC"/>
    <w:rsid w:val="7964802D"/>
    <w:rsid w:val="796C36E6"/>
    <w:rsid w:val="796EC40A"/>
    <w:rsid w:val="79709CFF"/>
    <w:rsid w:val="7986A43C"/>
    <w:rsid w:val="79C669D7"/>
    <w:rsid w:val="79D21283"/>
    <w:rsid w:val="79E9E4D8"/>
    <w:rsid w:val="79EE16B4"/>
    <w:rsid w:val="79F2A7C6"/>
    <w:rsid w:val="7A0A3E18"/>
    <w:rsid w:val="7A123E34"/>
    <w:rsid w:val="7A38E2C2"/>
    <w:rsid w:val="7A3C62DF"/>
    <w:rsid w:val="7A3C78BF"/>
    <w:rsid w:val="7A4C83CC"/>
    <w:rsid w:val="7A4E2E6B"/>
    <w:rsid w:val="7A60FC37"/>
    <w:rsid w:val="7A6ED6DC"/>
    <w:rsid w:val="7A7EB3E1"/>
    <w:rsid w:val="7A98256B"/>
    <w:rsid w:val="7A9A4D8D"/>
    <w:rsid w:val="7A9DD46C"/>
    <w:rsid w:val="7AAD27C3"/>
    <w:rsid w:val="7AAE960B"/>
    <w:rsid w:val="7AB5BD1D"/>
    <w:rsid w:val="7AC93630"/>
    <w:rsid w:val="7AE32838"/>
    <w:rsid w:val="7AE99C34"/>
    <w:rsid w:val="7AEA988B"/>
    <w:rsid w:val="7B0661F4"/>
    <w:rsid w:val="7B1632D3"/>
    <w:rsid w:val="7B288682"/>
    <w:rsid w:val="7B385939"/>
    <w:rsid w:val="7B3CC962"/>
    <w:rsid w:val="7B6DE2E4"/>
    <w:rsid w:val="7B721FE2"/>
    <w:rsid w:val="7B983CDD"/>
    <w:rsid w:val="7B985D1B"/>
    <w:rsid w:val="7BAFAB9D"/>
    <w:rsid w:val="7BBD44A5"/>
    <w:rsid w:val="7BC266CE"/>
    <w:rsid w:val="7BD2F4C7"/>
    <w:rsid w:val="7BF1520C"/>
    <w:rsid w:val="7BFD6068"/>
    <w:rsid w:val="7C12EF1E"/>
    <w:rsid w:val="7C1F23A6"/>
    <w:rsid w:val="7C22556C"/>
    <w:rsid w:val="7C2A26CA"/>
    <w:rsid w:val="7C2AF172"/>
    <w:rsid w:val="7C340A22"/>
    <w:rsid w:val="7C4DA6BE"/>
    <w:rsid w:val="7C6B824B"/>
    <w:rsid w:val="7C6C1226"/>
    <w:rsid w:val="7C6CE560"/>
    <w:rsid w:val="7C759C34"/>
    <w:rsid w:val="7C7C5810"/>
    <w:rsid w:val="7C82BE71"/>
    <w:rsid w:val="7C91C9C0"/>
    <w:rsid w:val="7CD249F3"/>
    <w:rsid w:val="7CD9A2AC"/>
    <w:rsid w:val="7CE9F2B6"/>
    <w:rsid w:val="7CFD729C"/>
    <w:rsid w:val="7D086F16"/>
    <w:rsid w:val="7D15336B"/>
    <w:rsid w:val="7D5F0041"/>
    <w:rsid w:val="7D62F141"/>
    <w:rsid w:val="7D6A8DD4"/>
    <w:rsid w:val="7D85CF2D"/>
    <w:rsid w:val="7D8B48CC"/>
    <w:rsid w:val="7DA1CBAA"/>
    <w:rsid w:val="7DA271AD"/>
    <w:rsid w:val="7DA41F9D"/>
    <w:rsid w:val="7DAE0209"/>
    <w:rsid w:val="7DD3D34E"/>
    <w:rsid w:val="7DD89DAB"/>
    <w:rsid w:val="7DDE5EF8"/>
    <w:rsid w:val="7DEE9D8B"/>
    <w:rsid w:val="7E033374"/>
    <w:rsid w:val="7E1FB42F"/>
    <w:rsid w:val="7E2815DA"/>
    <w:rsid w:val="7E286BD1"/>
    <w:rsid w:val="7E347AC0"/>
    <w:rsid w:val="7E352FDB"/>
    <w:rsid w:val="7E372819"/>
    <w:rsid w:val="7E5D5862"/>
    <w:rsid w:val="7E6749CB"/>
    <w:rsid w:val="7E6FDD44"/>
    <w:rsid w:val="7E7B1B49"/>
    <w:rsid w:val="7EA00AEC"/>
    <w:rsid w:val="7EA5BAC1"/>
    <w:rsid w:val="7ED794C6"/>
    <w:rsid w:val="7EE151B2"/>
    <w:rsid w:val="7EE159F1"/>
    <w:rsid w:val="7EEE30EB"/>
    <w:rsid w:val="7EF03E88"/>
    <w:rsid w:val="7EFA7B78"/>
    <w:rsid w:val="7EFC25A6"/>
    <w:rsid w:val="7F16378E"/>
    <w:rsid w:val="7F2320AC"/>
    <w:rsid w:val="7F2B61EA"/>
    <w:rsid w:val="7F3409FF"/>
    <w:rsid w:val="7F35012A"/>
    <w:rsid w:val="7F35CBCC"/>
    <w:rsid w:val="7F40CDD1"/>
    <w:rsid w:val="7F51A26F"/>
    <w:rsid w:val="7F9357F5"/>
    <w:rsid w:val="7FA8BE9C"/>
    <w:rsid w:val="7FAEC062"/>
    <w:rsid w:val="7FD247B1"/>
    <w:rsid w:val="7FD8DCCB"/>
    <w:rsid w:val="7FE3559C"/>
    <w:rsid w:val="7FF6C6B7"/>
    <w:rsid w:val="7FF8C0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3C364"/>
  <w15:chartTrackingRefBased/>
  <w15:docId w15:val="{912DF559-B4EB-43D2-AEFE-16781C70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5ABB0D50"/>
    <w:pPr>
      <w:spacing w:after="0"/>
    </w:pPr>
    <w:rPr>
      <w:rFonts w:ascii="Arial" w:hAnsi="Arial"/>
      <w:lang w:val="en-CA"/>
    </w:rPr>
  </w:style>
  <w:style w:type="paragraph" w:styleId="Heading1">
    <w:name w:val="heading 1"/>
    <w:basedOn w:val="Normal"/>
    <w:next w:val="Body"/>
    <w:link w:val="Heading1Char"/>
    <w:uiPriority w:val="9"/>
    <w:qFormat/>
    <w:rsid w:val="5ABB0D50"/>
    <w:pPr>
      <w:keepNext/>
      <w:numPr>
        <w:numId w:val="1"/>
      </w:numPr>
      <w:spacing w:before="240" w:after="60"/>
      <w:ind w:left="360"/>
      <w:outlineLvl w:val="0"/>
    </w:pPr>
    <w:rPr>
      <w:rFonts w:eastAsiaTheme="majorEastAsia" w:cstheme="majorBidi"/>
      <w:color w:val="000000" w:themeColor="text1"/>
    </w:rPr>
  </w:style>
  <w:style w:type="paragraph" w:styleId="Heading2">
    <w:name w:val="heading 2"/>
    <w:basedOn w:val="Normal"/>
    <w:next w:val="Body"/>
    <w:link w:val="Heading2Char"/>
    <w:uiPriority w:val="9"/>
    <w:unhideWhenUsed/>
    <w:qFormat/>
    <w:rsid w:val="5ABB0D50"/>
    <w:pPr>
      <w:keepNext/>
      <w:numPr>
        <w:numId w:val="7"/>
      </w:numPr>
      <w:spacing w:before="120" w:after="120"/>
      <w:outlineLvl w:val="1"/>
    </w:pPr>
    <w:rPr>
      <w:rFonts w:eastAsiaTheme="majorEastAsia" w:cstheme="majorBidi"/>
      <w:color w:val="000000" w:themeColor="text1"/>
    </w:rPr>
  </w:style>
  <w:style w:type="paragraph" w:styleId="Heading3">
    <w:name w:val="heading 3"/>
    <w:basedOn w:val="Normal"/>
    <w:next w:val="Body"/>
    <w:link w:val="Heading3Char"/>
    <w:uiPriority w:val="9"/>
    <w:unhideWhenUsed/>
    <w:qFormat/>
    <w:rsid w:val="5ABB0D50"/>
    <w:pPr>
      <w:keepNext/>
      <w:numPr>
        <w:numId w:val="8"/>
      </w:numPr>
      <w:spacing w:before="120" w:after="120"/>
      <w:outlineLvl w:val="2"/>
    </w:pPr>
    <w:rPr>
      <w:rFonts w:eastAsiaTheme="majorEastAsia" w:cstheme="majorBidi"/>
      <w:color w:val="000000" w:themeColor="text1"/>
    </w:rPr>
  </w:style>
  <w:style w:type="paragraph" w:styleId="Heading4">
    <w:name w:val="heading 4"/>
    <w:basedOn w:val="Normal"/>
    <w:next w:val="Body"/>
    <w:link w:val="Heading4Char"/>
    <w:uiPriority w:val="9"/>
    <w:unhideWhenUsed/>
    <w:qFormat/>
    <w:rsid w:val="5ABB0D50"/>
    <w:pPr>
      <w:keepNext/>
      <w:numPr>
        <w:numId w:val="20"/>
      </w:numPr>
      <w:spacing w:after="240"/>
      <w:outlineLvl w:val="3"/>
    </w:pPr>
    <w:rPr>
      <w:rFonts w:eastAsiaTheme="majorEastAsia" w:cs="Arial"/>
    </w:rPr>
  </w:style>
  <w:style w:type="paragraph" w:styleId="Heading5">
    <w:name w:val="heading 5"/>
    <w:basedOn w:val="Normal"/>
    <w:next w:val="Body"/>
    <w:link w:val="Heading5Char"/>
    <w:uiPriority w:val="9"/>
    <w:unhideWhenUsed/>
    <w:qFormat/>
    <w:rsid w:val="5ABB0D50"/>
    <w:pPr>
      <w:keepNext/>
      <w:spacing w:after="240"/>
      <w:outlineLvl w:val="4"/>
    </w:pPr>
    <w:rPr>
      <w:rFonts w:eastAsiaTheme="majorEastAsia" w:cstheme="majorBidi"/>
      <w:i/>
      <w:iCs/>
    </w:rPr>
  </w:style>
  <w:style w:type="paragraph" w:styleId="Heading6">
    <w:name w:val="heading 6"/>
    <w:basedOn w:val="Normal"/>
    <w:next w:val="Normal"/>
    <w:link w:val="Heading6Char"/>
    <w:uiPriority w:val="9"/>
    <w:unhideWhenUsed/>
    <w:qFormat/>
    <w:rsid w:val="5ABB0D50"/>
    <w:pPr>
      <w:keepNext/>
      <w:widowControl w:val="0"/>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unhideWhenUsed/>
    <w:qFormat/>
    <w:rsid w:val="5ABB0D50"/>
    <w:pPr>
      <w:keepNext/>
      <w:widowControl w:val="0"/>
      <w:spacing w:before="200"/>
      <w:outlineLvl w:val="6"/>
    </w:pPr>
    <w:rPr>
      <w:rFonts w:ascii="Cambria" w:eastAsia="Times New Roman" w:hAnsi="Cambria" w:cs="Times New Roman"/>
      <w:i/>
      <w:iCs/>
      <w:color w:val="404040" w:themeColor="text1" w:themeTint="BF"/>
    </w:rPr>
  </w:style>
  <w:style w:type="paragraph" w:styleId="Heading8">
    <w:name w:val="heading 8"/>
    <w:basedOn w:val="Normal"/>
    <w:next w:val="Normal"/>
    <w:link w:val="Heading8Char"/>
    <w:uiPriority w:val="9"/>
    <w:unhideWhenUsed/>
    <w:qFormat/>
    <w:rsid w:val="5ABB0D50"/>
    <w:pPr>
      <w:keepNext/>
      <w:widowControl w:val="0"/>
      <w:spacing w:before="200"/>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uiPriority w:val="9"/>
    <w:unhideWhenUsed/>
    <w:qFormat/>
    <w:rsid w:val="5ABB0D50"/>
    <w:pPr>
      <w:keepNext/>
      <w:widowControl w:val="0"/>
      <w:spacing w:before="200"/>
      <w:outlineLvl w:val="8"/>
    </w:pPr>
    <w:rPr>
      <w:rFonts w:ascii="Cambria" w:eastAsia="Times New Roman" w:hAnsi="Cambria" w:cs="Times New Roman"/>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5ABB0D50"/>
    <w:rPr>
      <w:rFonts w:ascii="Arial" w:eastAsiaTheme="majorEastAsia" w:hAnsi="Arial" w:cstheme="majorBidi"/>
      <w:noProof w:val="0"/>
      <w:color w:val="000000" w:themeColor="text1"/>
      <w:lang w:val="en-CA"/>
    </w:rPr>
  </w:style>
  <w:style w:type="paragraph" w:customStyle="1" w:styleId="Body">
    <w:name w:val="Body"/>
    <w:basedOn w:val="Normal"/>
    <w:link w:val="BodyChar"/>
    <w:uiPriority w:val="1"/>
    <w:qFormat/>
    <w:rsid w:val="5ABB0D50"/>
    <w:pPr>
      <w:spacing w:after="240"/>
    </w:pPr>
  </w:style>
  <w:style w:type="paragraph" w:styleId="ListParagraph">
    <w:name w:val="List Paragraph"/>
    <w:basedOn w:val="Normal"/>
    <w:uiPriority w:val="34"/>
    <w:qFormat/>
    <w:rsid w:val="5ABB0D50"/>
    <w:pPr>
      <w:ind w:left="720"/>
      <w:contextualSpacing/>
    </w:pPr>
  </w:style>
  <w:style w:type="character" w:customStyle="1" w:styleId="BodyChar">
    <w:name w:val="Body Char"/>
    <w:basedOn w:val="DefaultParagraphFont"/>
    <w:link w:val="Body"/>
    <w:uiPriority w:val="1"/>
    <w:rsid w:val="5ABB0D50"/>
    <w:rPr>
      <w:rFonts w:ascii="Arial" w:eastAsiaTheme="minorEastAsia" w:hAnsi="Arial" w:cstheme="minorBidi"/>
      <w:noProof w:val="0"/>
      <w:lang w:val="en-CA"/>
    </w:rPr>
  </w:style>
  <w:style w:type="character" w:styleId="Hyperlink">
    <w:name w:val="Hyperlink"/>
    <w:basedOn w:val="DefaultParagraphFont"/>
    <w:uiPriority w:val="99"/>
    <w:unhideWhenUsed/>
    <w:rsid w:val="00395A20"/>
    <w:rPr>
      <w:color w:val="0563C1" w:themeColor="hyperlink"/>
      <w:u w:val="single"/>
    </w:rPr>
  </w:style>
  <w:style w:type="character" w:customStyle="1" w:styleId="Heading2Char">
    <w:name w:val="Heading 2 Char"/>
    <w:basedOn w:val="DefaultParagraphFont"/>
    <w:link w:val="Heading2"/>
    <w:uiPriority w:val="9"/>
    <w:rsid w:val="5ABB0D50"/>
    <w:rPr>
      <w:rFonts w:ascii="Arial" w:eastAsiaTheme="majorEastAsia" w:hAnsi="Arial" w:cstheme="majorBidi"/>
      <w:noProof w:val="0"/>
      <w:color w:val="000000" w:themeColor="text1"/>
      <w:lang w:val="en-CA"/>
    </w:rPr>
  </w:style>
  <w:style w:type="character" w:customStyle="1" w:styleId="Heading3Char">
    <w:name w:val="Heading 3 Char"/>
    <w:basedOn w:val="DefaultParagraphFont"/>
    <w:link w:val="Heading3"/>
    <w:uiPriority w:val="9"/>
    <w:rsid w:val="5ABB0D50"/>
    <w:rPr>
      <w:rFonts w:ascii="Arial" w:eastAsiaTheme="majorEastAsia" w:hAnsi="Arial" w:cstheme="majorBidi"/>
      <w:noProof w:val="0"/>
      <w:color w:val="000000" w:themeColor="text1"/>
      <w:lang w:val="en-CA"/>
    </w:rPr>
  </w:style>
  <w:style w:type="character" w:customStyle="1" w:styleId="Heading4Char">
    <w:name w:val="Heading 4 Char"/>
    <w:basedOn w:val="DefaultParagraphFont"/>
    <w:link w:val="Heading4"/>
    <w:uiPriority w:val="9"/>
    <w:rsid w:val="5ABB0D50"/>
    <w:rPr>
      <w:rFonts w:ascii="Arial" w:eastAsiaTheme="majorEastAsia" w:hAnsi="Arial" w:cs="Arial"/>
      <w:noProof w:val="0"/>
      <w:lang w:val="en-CA"/>
    </w:rPr>
  </w:style>
  <w:style w:type="character" w:customStyle="1" w:styleId="Heading5Char">
    <w:name w:val="Heading 5 Char"/>
    <w:basedOn w:val="DefaultParagraphFont"/>
    <w:link w:val="Heading5"/>
    <w:uiPriority w:val="9"/>
    <w:rsid w:val="5ABB0D50"/>
    <w:rPr>
      <w:rFonts w:ascii="Arial" w:eastAsiaTheme="majorEastAsia" w:hAnsi="Arial" w:cstheme="majorBidi"/>
      <w:i/>
      <w:iCs/>
      <w:noProof w:val="0"/>
      <w:lang w:val="en-CA"/>
    </w:rPr>
  </w:style>
  <w:style w:type="paragraph" w:customStyle="1" w:styleId="Citation">
    <w:name w:val="Citation"/>
    <w:basedOn w:val="Body"/>
    <w:uiPriority w:val="1"/>
    <w:qFormat/>
    <w:rsid w:val="5ABB0D50"/>
    <w:pPr>
      <w:ind w:left="720" w:hanging="720"/>
    </w:pPr>
  </w:style>
  <w:style w:type="paragraph" w:styleId="Caption">
    <w:name w:val="caption"/>
    <w:basedOn w:val="Normal"/>
    <w:next w:val="Normal"/>
    <w:uiPriority w:val="35"/>
    <w:unhideWhenUsed/>
    <w:qFormat/>
    <w:rsid w:val="5ABB0D50"/>
    <w:pPr>
      <w:spacing w:before="120" w:after="120"/>
    </w:pPr>
    <w:rPr>
      <w:i/>
      <w:iCs/>
      <w:sz w:val="18"/>
      <w:szCs w:val="18"/>
    </w:rPr>
  </w:style>
  <w:style w:type="table" w:styleId="TableGrid">
    <w:name w:val="Table Grid"/>
    <w:basedOn w:val="TableNormal"/>
    <w:rsid w:val="00AD25E4"/>
    <w:pPr>
      <w:spacing w:after="200" w:line="276" w:lineRule="auto"/>
    </w:pPr>
    <w:rPr>
      <w:rFonts w:eastAsia="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7C28"/>
    <w:rPr>
      <w:color w:val="954F72" w:themeColor="followedHyperlink"/>
      <w:u w:val="single"/>
    </w:rPr>
  </w:style>
  <w:style w:type="paragraph" w:styleId="TOC1">
    <w:name w:val="toc 1"/>
    <w:basedOn w:val="Normal"/>
    <w:next w:val="Normal"/>
    <w:uiPriority w:val="39"/>
    <w:unhideWhenUsed/>
    <w:qFormat/>
    <w:rsid w:val="5ABB0D50"/>
    <w:pPr>
      <w:tabs>
        <w:tab w:val="left" w:pos="440"/>
        <w:tab w:val="right" w:leader="dot" w:pos="9350"/>
      </w:tabs>
      <w:spacing w:after="100"/>
    </w:pPr>
  </w:style>
  <w:style w:type="paragraph" w:styleId="TOC2">
    <w:name w:val="toc 2"/>
    <w:basedOn w:val="Normal"/>
    <w:next w:val="Normal"/>
    <w:uiPriority w:val="39"/>
    <w:unhideWhenUsed/>
    <w:qFormat/>
    <w:rsid w:val="5ABB0D50"/>
    <w:pPr>
      <w:tabs>
        <w:tab w:val="left" w:pos="880"/>
        <w:tab w:val="right" w:leader="dot" w:pos="9350"/>
      </w:tabs>
      <w:spacing w:after="100"/>
      <w:ind w:left="288"/>
    </w:pPr>
  </w:style>
  <w:style w:type="paragraph" w:styleId="TOC3">
    <w:name w:val="toc 3"/>
    <w:basedOn w:val="Normal"/>
    <w:next w:val="Normal"/>
    <w:uiPriority w:val="1"/>
    <w:unhideWhenUsed/>
    <w:qFormat/>
    <w:rsid w:val="5ABB0D50"/>
    <w:pPr>
      <w:spacing w:after="100"/>
      <w:ind w:left="440"/>
    </w:pPr>
  </w:style>
  <w:style w:type="character" w:styleId="CommentReference">
    <w:name w:val="annotation reference"/>
    <w:basedOn w:val="DefaultParagraphFont"/>
    <w:uiPriority w:val="99"/>
    <w:semiHidden/>
    <w:unhideWhenUsed/>
    <w:rsid w:val="00755C03"/>
    <w:rPr>
      <w:sz w:val="16"/>
      <w:szCs w:val="16"/>
    </w:rPr>
  </w:style>
  <w:style w:type="paragraph" w:styleId="CommentText">
    <w:name w:val="annotation text"/>
    <w:basedOn w:val="Normal"/>
    <w:link w:val="CommentTextChar"/>
    <w:uiPriority w:val="99"/>
    <w:semiHidden/>
    <w:unhideWhenUsed/>
    <w:rsid w:val="5ABB0D50"/>
    <w:rPr>
      <w:sz w:val="20"/>
      <w:szCs w:val="20"/>
    </w:rPr>
  </w:style>
  <w:style w:type="character" w:customStyle="1" w:styleId="CommentTextChar">
    <w:name w:val="Comment Text Char"/>
    <w:basedOn w:val="DefaultParagraphFont"/>
    <w:link w:val="CommentText"/>
    <w:uiPriority w:val="99"/>
    <w:semiHidden/>
    <w:rsid w:val="5ABB0D50"/>
    <w:rPr>
      <w:rFonts w:ascii="Arial" w:eastAsiaTheme="minorEastAsia" w:hAnsi="Arial" w:cstheme="minorBidi"/>
      <w:noProof w:val="0"/>
      <w:sz w:val="20"/>
      <w:szCs w:val="20"/>
      <w:lang w:val="en-CA"/>
    </w:rPr>
  </w:style>
  <w:style w:type="paragraph" w:styleId="CommentSubject">
    <w:name w:val="annotation subject"/>
    <w:basedOn w:val="CommentText"/>
    <w:next w:val="CommentText"/>
    <w:link w:val="CommentSubjectChar"/>
    <w:uiPriority w:val="99"/>
    <w:semiHidden/>
    <w:unhideWhenUsed/>
    <w:rsid w:val="5ABB0D50"/>
    <w:rPr>
      <w:b/>
      <w:bCs/>
    </w:rPr>
  </w:style>
  <w:style w:type="character" w:customStyle="1" w:styleId="CommentSubjectChar">
    <w:name w:val="Comment Subject Char"/>
    <w:basedOn w:val="CommentTextChar"/>
    <w:link w:val="CommentSubject"/>
    <w:uiPriority w:val="99"/>
    <w:semiHidden/>
    <w:rsid w:val="5ABB0D50"/>
    <w:rPr>
      <w:rFonts w:ascii="Arial" w:eastAsiaTheme="minorEastAsia" w:hAnsi="Arial" w:cstheme="minorBidi"/>
      <w:b/>
      <w:bCs/>
      <w:noProof w:val="0"/>
      <w:sz w:val="20"/>
      <w:szCs w:val="20"/>
      <w:lang w:val="en-CA"/>
    </w:rPr>
  </w:style>
  <w:style w:type="paragraph" w:styleId="BalloonText">
    <w:name w:val="Balloon Text"/>
    <w:basedOn w:val="Normal"/>
    <w:link w:val="BalloonTextChar"/>
    <w:uiPriority w:val="99"/>
    <w:semiHidden/>
    <w:unhideWhenUsed/>
    <w:rsid w:val="5ABB0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5ABB0D50"/>
    <w:rPr>
      <w:rFonts w:ascii="Segoe UI" w:eastAsiaTheme="minorEastAsia" w:hAnsi="Segoe UI" w:cs="Segoe UI"/>
      <w:noProof w:val="0"/>
      <w:sz w:val="18"/>
      <w:szCs w:val="18"/>
      <w:lang w:val="en-CA"/>
    </w:rPr>
  </w:style>
  <w:style w:type="character" w:customStyle="1" w:styleId="Heading6Char">
    <w:name w:val="Heading 6 Char"/>
    <w:basedOn w:val="DefaultParagraphFont"/>
    <w:link w:val="Heading6"/>
    <w:uiPriority w:val="9"/>
    <w:rsid w:val="5ABB0D50"/>
    <w:rPr>
      <w:rFonts w:ascii="Cambria" w:eastAsia="Times New Roman" w:hAnsi="Cambria" w:cs="Times New Roman"/>
      <w:i/>
      <w:iCs/>
      <w:noProof w:val="0"/>
      <w:color w:val="243F60"/>
      <w:lang w:val="en-CA"/>
    </w:rPr>
  </w:style>
  <w:style w:type="character" w:customStyle="1" w:styleId="Heading7Char">
    <w:name w:val="Heading 7 Char"/>
    <w:basedOn w:val="DefaultParagraphFont"/>
    <w:link w:val="Heading7"/>
    <w:uiPriority w:val="9"/>
    <w:rsid w:val="5ABB0D50"/>
    <w:rPr>
      <w:rFonts w:ascii="Cambria" w:eastAsia="Times New Roman" w:hAnsi="Cambria" w:cs="Times New Roman"/>
      <w:i/>
      <w:iCs/>
      <w:noProof w:val="0"/>
      <w:color w:val="404040" w:themeColor="text1" w:themeTint="BF"/>
      <w:lang w:val="en-CA"/>
    </w:rPr>
  </w:style>
  <w:style w:type="character" w:customStyle="1" w:styleId="Heading8Char">
    <w:name w:val="Heading 8 Char"/>
    <w:basedOn w:val="DefaultParagraphFont"/>
    <w:link w:val="Heading8"/>
    <w:uiPriority w:val="9"/>
    <w:rsid w:val="5ABB0D50"/>
    <w:rPr>
      <w:rFonts w:ascii="Cambria" w:eastAsia="Times New Roman" w:hAnsi="Cambria" w:cs="Times New Roman"/>
      <w:noProof w:val="0"/>
      <w:color w:val="4F81BD"/>
      <w:sz w:val="20"/>
      <w:szCs w:val="20"/>
      <w:lang w:val="en-CA"/>
    </w:rPr>
  </w:style>
  <w:style w:type="character" w:customStyle="1" w:styleId="Heading9Char">
    <w:name w:val="Heading 9 Char"/>
    <w:basedOn w:val="DefaultParagraphFont"/>
    <w:link w:val="Heading9"/>
    <w:uiPriority w:val="9"/>
    <w:rsid w:val="5ABB0D50"/>
    <w:rPr>
      <w:rFonts w:ascii="Cambria" w:eastAsia="Times New Roman" w:hAnsi="Cambria" w:cs="Times New Roman"/>
      <w:i/>
      <w:iCs/>
      <w:noProof w:val="0"/>
      <w:color w:val="404040" w:themeColor="text1" w:themeTint="BF"/>
      <w:sz w:val="20"/>
      <w:szCs w:val="20"/>
      <w:lang w:val="en-CA"/>
    </w:rPr>
  </w:style>
  <w:style w:type="paragraph" w:styleId="TOC4">
    <w:name w:val="toc 4"/>
    <w:basedOn w:val="Normal"/>
    <w:uiPriority w:val="1"/>
    <w:qFormat/>
    <w:rsid w:val="5ABB0D50"/>
    <w:pPr>
      <w:widowControl w:val="0"/>
      <w:ind w:left="1422" w:hanging="480"/>
    </w:pPr>
    <w:rPr>
      <w:rFonts w:eastAsia="Arial" w:cs="Arial"/>
      <w:sz w:val="24"/>
      <w:szCs w:val="24"/>
      <w:lang w:bidi="en-US"/>
    </w:rPr>
  </w:style>
  <w:style w:type="paragraph" w:customStyle="1" w:styleId="TableParagraph">
    <w:name w:val="Table Paragraph"/>
    <w:basedOn w:val="Normal"/>
    <w:uiPriority w:val="1"/>
    <w:qFormat/>
    <w:rsid w:val="5ABB0D50"/>
    <w:pPr>
      <w:widowControl w:val="0"/>
      <w:spacing w:before="96"/>
      <w:jc w:val="right"/>
    </w:pPr>
    <w:rPr>
      <w:rFonts w:eastAsia="Arial" w:cs="Arial"/>
      <w:lang w:bidi="en-US"/>
    </w:rPr>
  </w:style>
  <w:style w:type="paragraph" w:customStyle="1" w:styleId="Heading61">
    <w:name w:val="Heading 61"/>
    <w:basedOn w:val="Normal"/>
    <w:next w:val="Normal"/>
    <w:uiPriority w:val="9"/>
    <w:unhideWhenUsed/>
    <w:qFormat/>
    <w:rsid w:val="5ABB0D50"/>
    <w:pPr>
      <w:keepNext/>
      <w:spacing w:before="200"/>
      <w:outlineLvl w:val="5"/>
    </w:pPr>
    <w:rPr>
      <w:rFonts w:ascii="Cambria" w:eastAsia="Times New Roman" w:hAnsi="Cambria" w:cs="Times New Roman"/>
      <w:i/>
      <w:iCs/>
      <w:color w:val="243F60"/>
      <w:lang w:eastAsia="en-CA"/>
    </w:rPr>
  </w:style>
  <w:style w:type="paragraph" w:customStyle="1" w:styleId="Heading71">
    <w:name w:val="Heading 71"/>
    <w:basedOn w:val="Normal"/>
    <w:next w:val="Normal"/>
    <w:uiPriority w:val="9"/>
    <w:unhideWhenUsed/>
    <w:qFormat/>
    <w:rsid w:val="5ABB0D50"/>
    <w:pPr>
      <w:keepNext/>
      <w:spacing w:before="200"/>
      <w:outlineLvl w:val="6"/>
    </w:pPr>
    <w:rPr>
      <w:rFonts w:ascii="Cambria" w:eastAsia="Times New Roman" w:hAnsi="Cambria" w:cs="Times New Roman"/>
      <w:i/>
      <w:iCs/>
      <w:color w:val="404040" w:themeColor="text1" w:themeTint="BF"/>
      <w:lang w:eastAsia="en-CA"/>
    </w:rPr>
  </w:style>
  <w:style w:type="paragraph" w:customStyle="1" w:styleId="Heading81">
    <w:name w:val="Heading 81"/>
    <w:basedOn w:val="Normal"/>
    <w:next w:val="Normal"/>
    <w:uiPriority w:val="9"/>
    <w:unhideWhenUsed/>
    <w:qFormat/>
    <w:rsid w:val="5ABB0D50"/>
    <w:pPr>
      <w:keepNext/>
      <w:spacing w:before="200"/>
      <w:outlineLvl w:val="7"/>
    </w:pPr>
    <w:rPr>
      <w:rFonts w:ascii="Cambria" w:eastAsia="Times New Roman" w:hAnsi="Cambria" w:cs="Times New Roman"/>
      <w:color w:val="4F81BD"/>
      <w:sz w:val="20"/>
      <w:szCs w:val="20"/>
      <w:lang w:eastAsia="en-CA"/>
    </w:rPr>
  </w:style>
  <w:style w:type="paragraph" w:customStyle="1" w:styleId="Heading91">
    <w:name w:val="Heading 91"/>
    <w:basedOn w:val="Normal"/>
    <w:next w:val="Normal"/>
    <w:uiPriority w:val="9"/>
    <w:unhideWhenUsed/>
    <w:qFormat/>
    <w:rsid w:val="5ABB0D50"/>
    <w:pPr>
      <w:keepNext/>
      <w:spacing w:before="200"/>
      <w:outlineLvl w:val="8"/>
    </w:pPr>
    <w:rPr>
      <w:rFonts w:ascii="Cambria" w:eastAsia="Times New Roman" w:hAnsi="Cambria" w:cs="Times New Roman"/>
      <w:i/>
      <w:iCs/>
      <w:color w:val="404040" w:themeColor="text1" w:themeTint="BF"/>
      <w:sz w:val="20"/>
      <w:szCs w:val="20"/>
      <w:lang w:eastAsia="en-CA"/>
    </w:rPr>
  </w:style>
  <w:style w:type="numbering" w:customStyle="1" w:styleId="NoList1">
    <w:name w:val="No List1"/>
    <w:next w:val="NoList"/>
    <w:uiPriority w:val="99"/>
    <w:semiHidden/>
    <w:unhideWhenUsed/>
    <w:rsid w:val="00381042"/>
  </w:style>
  <w:style w:type="paragraph" w:styleId="TOC5">
    <w:name w:val="toc 5"/>
    <w:basedOn w:val="Normal"/>
    <w:next w:val="Normal"/>
    <w:uiPriority w:val="1"/>
    <w:semiHidden/>
    <w:rsid w:val="5ABB0D50"/>
    <w:pPr>
      <w:spacing w:after="200"/>
      <w:ind w:left="960"/>
    </w:pPr>
    <w:rPr>
      <w:rFonts w:ascii="Calibri" w:eastAsia="Times New Roman" w:hAnsi="Calibri" w:cs="Times New Roman"/>
      <w:sz w:val="18"/>
      <w:szCs w:val="18"/>
      <w:lang w:eastAsia="en-CA"/>
    </w:rPr>
  </w:style>
  <w:style w:type="paragraph" w:styleId="TOC6">
    <w:name w:val="toc 6"/>
    <w:basedOn w:val="Normal"/>
    <w:next w:val="Normal"/>
    <w:uiPriority w:val="1"/>
    <w:semiHidden/>
    <w:rsid w:val="5ABB0D50"/>
    <w:pPr>
      <w:spacing w:after="200"/>
      <w:ind w:left="1200"/>
    </w:pPr>
    <w:rPr>
      <w:rFonts w:ascii="Calibri" w:eastAsia="Times New Roman" w:hAnsi="Calibri" w:cs="Times New Roman"/>
      <w:sz w:val="18"/>
      <w:szCs w:val="18"/>
      <w:lang w:eastAsia="en-CA"/>
    </w:rPr>
  </w:style>
  <w:style w:type="paragraph" w:styleId="TOC7">
    <w:name w:val="toc 7"/>
    <w:basedOn w:val="Normal"/>
    <w:next w:val="Normal"/>
    <w:uiPriority w:val="1"/>
    <w:semiHidden/>
    <w:rsid w:val="5ABB0D50"/>
    <w:pPr>
      <w:spacing w:after="200"/>
      <w:ind w:left="1440"/>
    </w:pPr>
    <w:rPr>
      <w:rFonts w:ascii="Calibri" w:eastAsia="Times New Roman" w:hAnsi="Calibri" w:cs="Times New Roman"/>
      <w:sz w:val="18"/>
      <w:szCs w:val="18"/>
      <w:lang w:eastAsia="en-CA"/>
    </w:rPr>
  </w:style>
  <w:style w:type="paragraph" w:styleId="TOC8">
    <w:name w:val="toc 8"/>
    <w:basedOn w:val="Normal"/>
    <w:next w:val="Normal"/>
    <w:uiPriority w:val="1"/>
    <w:semiHidden/>
    <w:rsid w:val="5ABB0D50"/>
    <w:pPr>
      <w:spacing w:after="200"/>
      <w:ind w:left="1680"/>
    </w:pPr>
    <w:rPr>
      <w:rFonts w:ascii="Calibri" w:eastAsia="Times New Roman" w:hAnsi="Calibri" w:cs="Times New Roman"/>
      <w:sz w:val="18"/>
      <w:szCs w:val="18"/>
      <w:lang w:eastAsia="en-CA"/>
    </w:rPr>
  </w:style>
  <w:style w:type="paragraph" w:styleId="TOC9">
    <w:name w:val="toc 9"/>
    <w:basedOn w:val="Normal"/>
    <w:next w:val="Normal"/>
    <w:uiPriority w:val="1"/>
    <w:semiHidden/>
    <w:rsid w:val="5ABB0D50"/>
    <w:pPr>
      <w:spacing w:after="200"/>
      <w:ind w:left="1920"/>
    </w:pPr>
    <w:rPr>
      <w:rFonts w:ascii="Calibri" w:eastAsia="Times New Roman" w:hAnsi="Calibri" w:cs="Times New Roman"/>
      <w:sz w:val="18"/>
      <w:szCs w:val="18"/>
      <w:lang w:eastAsia="en-CA"/>
    </w:rPr>
  </w:style>
  <w:style w:type="paragraph" w:styleId="Header">
    <w:name w:val="header"/>
    <w:basedOn w:val="Normal"/>
    <w:link w:val="HeaderChar"/>
    <w:uiPriority w:val="1"/>
    <w:rsid w:val="5ABB0D50"/>
    <w:pPr>
      <w:tabs>
        <w:tab w:val="center" w:pos="4320"/>
        <w:tab w:val="right" w:pos="8640"/>
      </w:tabs>
      <w:spacing w:after="200"/>
    </w:pPr>
    <w:rPr>
      <w:rFonts w:ascii="Calibri" w:eastAsia="Times New Roman" w:hAnsi="Calibri" w:cs="Times New Roman"/>
      <w:lang w:eastAsia="en-CA"/>
    </w:rPr>
  </w:style>
  <w:style w:type="character" w:customStyle="1" w:styleId="HeaderChar">
    <w:name w:val="Header Char"/>
    <w:basedOn w:val="DefaultParagraphFont"/>
    <w:link w:val="Header"/>
    <w:uiPriority w:val="99"/>
    <w:rsid w:val="5ABB0D50"/>
    <w:rPr>
      <w:rFonts w:ascii="Calibri" w:eastAsia="Times New Roman" w:hAnsi="Calibri" w:cs="Times New Roman"/>
      <w:noProof w:val="0"/>
      <w:lang w:val="en-CA" w:eastAsia="en-CA"/>
    </w:rPr>
  </w:style>
  <w:style w:type="paragraph" w:styleId="Footer">
    <w:name w:val="footer"/>
    <w:basedOn w:val="Normal"/>
    <w:link w:val="FooterChar"/>
    <w:uiPriority w:val="1"/>
    <w:rsid w:val="5ABB0D50"/>
    <w:pPr>
      <w:tabs>
        <w:tab w:val="center" w:pos="4320"/>
        <w:tab w:val="right" w:pos="8640"/>
      </w:tabs>
      <w:spacing w:after="200"/>
    </w:pPr>
    <w:rPr>
      <w:rFonts w:ascii="Calibri" w:eastAsia="Times New Roman" w:hAnsi="Calibri" w:cs="Times New Roman"/>
      <w:lang w:eastAsia="en-CA"/>
    </w:rPr>
  </w:style>
  <w:style w:type="character" w:customStyle="1" w:styleId="FooterChar">
    <w:name w:val="Footer Char"/>
    <w:basedOn w:val="DefaultParagraphFont"/>
    <w:link w:val="Footer"/>
    <w:uiPriority w:val="1"/>
    <w:rsid w:val="5ABB0D50"/>
    <w:rPr>
      <w:rFonts w:ascii="Calibri" w:eastAsia="Times New Roman" w:hAnsi="Calibri" w:cs="Times New Roman"/>
      <w:noProof w:val="0"/>
      <w:lang w:val="en-CA" w:eastAsia="en-CA"/>
    </w:rPr>
  </w:style>
  <w:style w:type="character" w:styleId="PageNumber">
    <w:name w:val="page number"/>
    <w:basedOn w:val="DefaultParagraphFont"/>
    <w:rsid w:val="00381042"/>
  </w:style>
  <w:style w:type="paragraph" w:customStyle="1" w:styleId="Caption1">
    <w:name w:val="Caption1"/>
    <w:basedOn w:val="Normal"/>
    <w:next w:val="Normal"/>
    <w:uiPriority w:val="35"/>
    <w:unhideWhenUsed/>
    <w:qFormat/>
    <w:rsid w:val="5ABB0D50"/>
    <w:pPr>
      <w:spacing w:after="200"/>
    </w:pPr>
    <w:rPr>
      <w:rFonts w:ascii="Calibri" w:eastAsia="Times New Roman" w:hAnsi="Calibri" w:cs="Times New Roman"/>
      <w:b/>
      <w:bCs/>
      <w:color w:val="000000" w:themeColor="text1"/>
      <w:sz w:val="20"/>
      <w:szCs w:val="20"/>
      <w:lang w:eastAsia="en-CA"/>
    </w:rPr>
  </w:style>
  <w:style w:type="paragraph" w:customStyle="1" w:styleId="Title1">
    <w:name w:val="Title1"/>
    <w:basedOn w:val="Normal"/>
    <w:next w:val="Normal"/>
    <w:uiPriority w:val="10"/>
    <w:qFormat/>
    <w:rsid w:val="5ABB0D50"/>
    <w:pPr>
      <w:spacing w:after="300"/>
      <w:contextualSpacing/>
    </w:pPr>
    <w:rPr>
      <w:rFonts w:ascii="Cambria" w:eastAsia="Times New Roman" w:hAnsi="Cambria" w:cs="Times New Roman"/>
      <w:color w:val="17365D"/>
      <w:sz w:val="52"/>
      <w:szCs w:val="52"/>
      <w:lang w:eastAsia="en-CA"/>
    </w:rPr>
  </w:style>
  <w:style w:type="character" w:customStyle="1" w:styleId="TitleChar">
    <w:name w:val="Title Char"/>
    <w:basedOn w:val="DefaultParagraphFont"/>
    <w:link w:val="Title"/>
    <w:uiPriority w:val="10"/>
    <w:rsid w:val="5ABB0D50"/>
    <w:rPr>
      <w:rFonts w:ascii="Cambria" w:eastAsia="Times New Roman" w:hAnsi="Cambria" w:cs="Times New Roman"/>
      <w:noProof w:val="0"/>
      <w:color w:val="17365D"/>
      <w:sz w:val="52"/>
      <w:szCs w:val="52"/>
      <w:lang w:val="en-CA"/>
    </w:rPr>
  </w:style>
  <w:style w:type="paragraph" w:customStyle="1" w:styleId="Subtitle1">
    <w:name w:val="Subtitle1"/>
    <w:basedOn w:val="Normal"/>
    <w:next w:val="Normal"/>
    <w:uiPriority w:val="11"/>
    <w:qFormat/>
    <w:rsid w:val="5ABB0D50"/>
    <w:pPr>
      <w:spacing w:after="200"/>
    </w:pPr>
    <w:rPr>
      <w:rFonts w:ascii="Cambria" w:eastAsia="Times New Roman" w:hAnsi="Cambria" w:cs="Times New Roman"/>
      <w:i/>
      <w:iCs/>
      <w:color w:val="4F81BD"/>
      <w:sz w:val="24"/>
      <w:szCs w:val="24"/>
      <w:lang w:eastAsia="en-CA"/>
    </w:rPr>
  </w:style>
  <w:style w:type="character" w:customStyle="1" w:styleId="SubtitleChar">
    <w:name w:val="Subtitle Char"/>
    <w:basedOn w:val="DefaultParagraphFont"/>
    <w:link w:val="Subtitle"/>
    <w:uiPriority w:val="11"/>
    <w:rsid w:val="5ABB0D50"/>
    <w:rPr>
      <w:rFonts w:ascii="Cambria" w:eastAsia="Times New Roman" w:hAnsi="Cambria" w:cs="Times New Roman"/>
      <w:i/>
      <w:iCs/>
      <w:noProof w:val="0"/>
      <w:color w:val="4F81BD"/>
      <w:sz w:val="24"/>
      <w:szCs w:val="24"/>
      <w:lang w:val="en-CA"/>
    </w:rPr>
  </w:style>
  <w:style w:type="character" w:styleId="Strong">
    <w:name w:val="Strong"/>
    <w:basedOn w:val="DefaultParagraphFont"/>
    <w:uiPriority w:val="22"/>
    <w:qFormat/>
    <w:rsid w:val="00381042"/>
    <w:rPr>
      <w:b/>
      <w:bCs/>
    </w:rPr>
  </w:style>
  <w:style w:type="character" w:styleId="Emphasis">
    <w:name w:val="Emphasis"/>
    <w:basedOn w:val="DefaultParagraphFont"/>
    <w:uiPriority w:val="20"/>
    <w:qFormat/>
    <w:rsid w:val="00381042"/>
    <w:rPr>
      <w:i/>
      <w:iCs/>
    </w:rPr>
  </w:style>
  <w:style w:type="paragraph" w:styleId="NoSpacing">
    <w:name w:val="No Spacing"/>
    <w:uiPriority w:val="1"/>
    <w:qFormat/>
    <w:rsid w:val="00381042"/>
    <w:pPr>
      <w:spacing w:after="0" w:line="240" w:lineRule="auto"/>
    </w:pPr>
    <w:rPr>
      <w:rFonts w:eastAsia="Times New Roman"/>
      <w:lang w:val="en-CA" w:eastAsia="en-CA"/>
    </w:rPr>
  </w:style>
  <w:style w:type="paragraph" w:customStyle="1" w:styleId="Quote1">
    <w:name w:val="Quote1"/>
    <w:basedOn w:val="Normal"/>
    <w:next w:val="Normal"/>
    <w:uiPriority w:val="29"/>
    <w:qFormat/>
    <w:rsid w:val="5ABB0D50"/>
    <w:pPr>
      <w:spacing w:after="200"/>
    </w:pPr>
    <w:rPr>
      <w:rFonts w:ascii="Calibri" w:eastAsia="Times New Roman" w:hAnsi="Calibri" w:cs="Times New Roman"/>
      <w:i/>
      <w:iCs/>
      <w:color w:val="000000" w:themeColor="text1"/>
      <w:lang w:eastAsia="en-CA"/>
    </w:rPr>
  </w:style>
  <w:style w:type="character" w:customStyle="1" w:styleId="QuoteChar">
    <w:name w:val="Quote Char"/>
    <w:basedOn w:val="DefaultParagraphFont"/>
    <w:link w:val="Quote"/>
    <w:uiPriority w:val="29"/>
    <w:rsid w:val="5ABB0D50"/>
    <w:rPr>
      <w:i/>
      <w:iCs/>
      <w:noProof w:val="0"/>
      <w:color w:val="000000" w:themeColor="text1"/>
      <w:lang w:val="en-CA"/>
    </w:rPr>
  </w:style>
  <w:style w:type="paragraph" w:customStyle="1" w:styleId="IntenseQuote1">
    <w:name w:val="Intense Quote1"/>
    <w:basedOn w:val="Normal"/>
    <w:next w:val="Normal"/>
    <w:uiPriority w:val="30"/>
    <w:qFormat/>
    <w:rsid w:val="5ABB0D50"/>
    <w:pPr>
      <w:spacing w:before="200" w:after="280"/>
      <w:ind w:left="936" w:right="936"/>
    </w:pPr>
    <w:rPr>
      <w:rFonts w:ascii="Calibri" w:eastAsia="Times New Roman" w:hAnsi="Calibri" w:cs="Times New Roman"/>
      <w:b/>
      <w:bCs/>
      <w:i/>
      <w:iCs/>
      <w:color w:val="4F81BD"/>
      <w:lang w:eastAsia="en-CA"/>
    </w:rPr>
  </w:style>
  <w:style w:type="character" w:customStyle="1" w:styleId="IntenseQuoteChar">
    <w:name w:val="Intense Quote Char"/>
    <w:basedOn w:val="DefaultParagraphFont"/>
    <w:link w:val="IntenseQuote"/>
    <w:uiPriority w:val="30"/>
    <w:rsid w:val="5ABB0D50"/>
    <w:rPr>
      <w:b/>
      <w:bCs/>
      <w:i/>
      <w:iCs/>
      <w:noProof w:val="0"/>
      <w:color w:val="4F81BD"/>
      <w:lang w:val="en-CA"/>
    </w:rPr>
  </w:style>
  <w:style w:type="character" w:customStyle="1" w:styleId="SubtleEmphasis1">
    <w:name w:val="Subtle Emphasis1"/>
    <w:basedOn w:val="DefaultParagraphFont"/>
    <w:uiPriority w:val="19"/>
    <w:qFormat/>
    <w:rsid w:val="00381042"/>
    <w:rPr>
      <w:i/>
      <w:iCs/>
      <w:color w:val="808080"/>
    </w:rPr>
  </w:style>
  <w:style w:type="character" w:customStyle="1" w:styleId="IntenseEmphasis1">
    <w:name w:val="Intense Emphasis1"/>
    <w:basedOn w:val="DefaultParagraphFont"/>
    <w:uiPriority w:val="21"/>
    <w:qFormat/>
    <w:rsid w:val="00381042"/>
    <w:rPr>
      <w:b/>
      <w:bCs/>
      <w:i/>
      <w:iCs/>
      <w:color w:val="4F81BD"/>
    </w:rPr>
  </w:style>
  <w:style w:type="character" w:customStyle="1" w:styleId="SubtleReference1">
    <w:name w:val="Subtle Reference1"/>
    <w:basedOn w:val="DefaultParagraphFont"/>
    <w:uiPriority w:val="31"/>
    <w:qFormat/>
    <w:rsid w:val="00381042"/>
    <w:rPr>
      <w:smallCaps/>
      <w:color w:val="C0504D"/>
      <w:u w:val="single"/>
    </w:rPr>
  </w:style>
  <w:style w:type="character" w:customStyle="1" w:styleId="IntenseReference1">
    <w:name w:val="Intense Reference1"/>
    <w:basedOn w:val="DefaultParagraphFont"/>
    <w:uiPriority w:val="32"/>
    <w:qFormat/>
    <w:rsid w:val="00381042"/>
    <w:rPr>
      <w:b/>
      <w:bCs/>
      <w:smallCaps/>
      <w:color w:val="C0504D"/>
      <w:spacing w:val="5"/>
      <w:u w:val="single"/>
    </w:rPr>
  </w:style>
  <w:style w:type="character" w:styleId="BookTitle">
    <w:name w:val="Book Title"/>
    <w:basedOn w:val="DefaultParagraphFont"/>
    <w:uiPriority w:val="33"/>
    <w:qFormat/>
    <w:rsid w:val="00381042"/>
    <w:rPr>
      <w:b/>
      <w:bCs/>
      <w:smallCaps/>
      <w:spacing w:val="5"/>
    </w:rPr>
  </w:style>
  <w:style w:type="paragraph" w:styleId="TOCHeading">
    <w:name w:val="TOC Heading"/>
    <w:basedOn w:val="Heading1"/>
    <w:next w:val="Normal"/>
    <w:uiPriority w:val="39"/>
    <w:semiHidden/>
    <w:unhideWhenUsed/>
    <w:qFormat/>
    <w:rsid w:val="5ABB0D50"/>
    <w:pPr>
      <w:spacing w:before="480" w:after="0"/>
    </w:pPr>
    <w:rPr>
      <w:rFonts w:ascii="Cambria" w:eastAsia="Times New Roman" w:hAnsi="Cambria" w:cs="Times New Roman"/>
      <w:b/>
      <w:bCs/>
      <w:color w:val="365F91"/>
      <w:sz w:val="28"/>
      <w:szCs w:val="28"/>
      <w:lang w:eastAsia="en-CA"/>
    </w:rPr>
  </w:style>
  <w:style w:type="paragraph" w:styleId="ListBullet">
    <w:name w:val="List Bullet"/>
    <w:basedOn w:val="Normal"/>
    <w:uiPriority w:val="1"/>
    <w:semiHidden/>
    <w:rsid w:val="5ABB0D50"/>
    <w:pPr>
      <w:tabs>
        <w:tab w:val="left" w:pos="3840"/>
      </w:tabs>
      <w:ind w:left="462" w:hanging="534"/>
    </w:pPr>
    <w:rPr>
      <w:rFonts w:ascii="Calibri" w:eastAsia="Times New Roman" w:hAnsi="Calibri" w:cs="Times New Roman"/>
      <w:lang w:eastAsia="en-CA"/>
    </w:rPr>
  </w:style>
  <w:style w:type="paragraph" w:styleId="ListNumber">
    <w:name w:val="List Number"/>
    <w:basedOn w:val="Normal"/>
    <w:uiPriority w:val="1"/>
    <w:rsid w:val="5ABB0D50"/>
    <w:pPr>
      <w:tabs>
        <w:tab w:val="num" w:pos="360"/>
      </w:tabs>
      <w:spacing w:after="200"/>
      <w:ind w:left="360" w:hanging="360"/>
    </w:pPr>
    <w:rPr>
      <w:rFonts w:ascii="Calibri" w:eastAsia="Times New Roman" w:hAnsi="Calibri" w:cs="Times New Roman"/>
      <w:lang w:eastAsia="en-CA"/>
    </w:rPr>
  </w:style>
  <w:style w:type="paragraph" w:customStyle="1" w:styleId="Tablerows">
    <w:name w:val="Table rows"/>
    <w:basedOn w:val="Normal"/>
    <w:link w:val="TablerowsChar"/>
    <w:uiPriority w:val="1"/>
    <w:qFormat/>
    <w:rsid w:val="5ABB0D50"/>
    <w:rPr>
      <w:rFonts w:ascii="Calibri" w:eastAsia="Times New Roman" w:hAnsi="Calibri" w:cs="Times New Roman"/>
      <w:sz w:val="20"/>
      <w:szCs w:val="20"/>
      <w:lang w:eastAsia="en-CA"/>
    </w:rPr>
  </w:style>
  <w:style w:type="character" w:customStyle="1" w:styleId="TablerowsChar">
    <w:name w:val="Table rows Char"/>
    <w:basedOn w:val="DefaultParagraphFont"/>
    <w:link w:val="Tablerows"/>
    <w:uiPriority w:val="1"/>
    <w:rsid w:val="5ABB0D50"/>
    <w:rPr>
      <w:rFonts w:ascii="Calibri" w:eastAsia="Times New Roman" w:hAnsi="Calibri" w:cs="Times New Roman"/>
      <w:noProof w:val="0"/>
      <w:sz w:val="20"/>
      <w:szCs w:val="20"/>
      <w:lang w:val="en-CA" w:eastAsia="en-CA"/>
    </w:rPr>
  </w:style>
  <w:style w:type="character" w:customStyle="1" w:styleId="Heading2Char1">
    <w:name w:val="Heading 2 Char1"/>
    <w:basedOn w:val="DefaultParagraphFont"/>
    <w:uiPriority w:val="9"/>
    <w:semiHidden/>
    <w:rsid w:val="00381042"/>
    <w:rPr>
      <w:rFonts w:asciiTheme="majorHAnsi" w:eastAsiaTheme="majorEastAsia" w:hAnsiTheme="majorHAnsi" w:cstheme="majorBidi"/>
      <w:b/>
      <w:bCs/>
      <w:color w:val="5B9BD5" w:themeColor="accent1"/>
      <w:sz w:val="26"/>
      <w:szCs w:val="26"/>
      <w:lang w:bidi="en-US"/>
    </w:rPr>
  </w:style>
  <w:style w:type="character" w:customStyle="1" w:styleId="Heading3Char1">
    <w:name w:val="Heading 3 Char1"/>
    <w:basedOn w:val="DefaultParagraphFont"/>
    <w:uiPriority w:val="9"/>
    <w:semiHidden/>
    <w:rsid w:val="00381042"/>
    <w:rPr>
      <w:rFonts w:asciiTheme="majorHAnsi" w:eastAsiaTheme="majorEastAsia" w:hAnsiTheme="majorHAnsi" w:cstheme="majorBidi"/>
      <w:b/>
      <w:bCs/>
      <w:color w:val="5B9BD5" w:themeColor="accent1"/>
      <w:lang w:bidi="en-US"/>
    </w:rPr>
  </w:style>
  <w:style w:type="character" w:customStyle="1" w:styleId="Heading4Char1">
    <w:name w:val="Heading 4 Char1"/>
    <w:basedOn w:val="DefaultParagraphFont"/>
    <w:uiPriority w:val="9"/>
    <w:semiHidden/>
    <w:rsid w:val="00381042"/>
    <w:rPr>
      <w:rFonts w:asciiTheme="majorHAnsi" w:eastAsiaTheme="majorEastAsia" w:hAnsiTheme="majorHAnsi" w:cstheme="majorBidi"/>
      <w:b/>
      <w:bCs/>
      <w:i/>
      <w:iCs/>
      <w:color w:val="5B9BD5" w:themeColor="accent1"/>
      <w:lang w:bidi="en-US"/>
    </w:rPr>
  </w:style>
  <w:style w:type="character" w:customStyle="1" w:styleId="Heading5Char1">
    <w:name w:val="Heading 5 Char1"/>
    <w:basedOn w:val="DefaultParagraphFont"/>
    <w:uiPriority w:val="9"/>
    <w:semiHidden/>
    <w:rsid w:val="00381042"/>
    <w:rPr>
      <w:rFonts w:asciiTheme="majorHAnsi" w:eastAsiaTheme="majorEastAsia" w:hAnsiTheme="majorHAnsi" w:cstheme="majorBidi"/>
      <w:color w:val="1F4D78" w:themeColor="accent1" w:themeShade="7F"/>
      <w:lang w:bidi="en-US"/>
    </w:rPr>
  </w:style>
  <w:style w:type="character" w:customStyle="1" w:styleId="Heading6Char1">
    <w:name w:val="Heading 6 Char1"/>
    <w:basedOn w:val="DefaultParagraphFont"/>
    <w:uiPriority w:val="9"/>
    <w:semiHidden/>
    <w:rsid w:val="00381042"/>
    <w:rPr>
      <w:rFonts w:asciiTheme="majorHAnsi" w:eastAsiaTheme="majorEastAsia" w:hAnsiTheme="majorHAnsi" w:cstheme="majorBidi"/>
      <w:i/>
      <w:iCs/>
      <w:color w:val="1F4D78" w:themeColor="accent1" w:themeShade="7F"/>
      <w:lang w:bidi="en-US"/>
    </w:rPr>
  </w:style>
  <w:style w:type="character" w:customStyle="1" w:styleId="Heading7Char1">
    <w:name w:val="Heading 7 Char1"/>
    <w:basedOn w:val="DefaultParagraphFont"/>
    <w:uiPriority w:val="9"/>
    <w:semiHidden/>
    <w:rsid w:val="00381042"/>
    <w:rPr>
      <w:rFonts w:asciiTheme="majorHAnsi" w:eastAsiaTheme="majorEastAsia" w:hAnsiTheme="majorHAnsi" w:cstheme="majorBidi"/>
      <w:i/>
      <w:iCs/>
      <w:color w:val="404040" w:themeColor="text1" w:themeTint="BF"/>
      <w:lang w:bidi="en-US"/>
    </w:rPr>
  </w:style>
  <w:style w:type="character" w:customStyle="1" w:styleId="Heading8Char1">
    <w:name w:val="Heading 8 Char1"/>
    <w:basedOn w:val="DefaultParagraphFont"/>
    <w:uiPriority w:val="9"/>
    <w:semiHidden/>
    <w:rsid w:val="00381042"/>
    <w:rPr>
      <w:rFonts w:asciiTheme="majorHAnsi" w:eastAsiaTheme="majorEastAsia" w:hAnsiTheme="majorHAnsi" w:cstheme="majorBidi"/>
      <w:color w:val="404040" w:themeColor="text1" w:themeTint="BF"/>
      <w:sz w:val="20"/>
      <w:szCs w:val="20"/>
      <w:lang w:bidi="en-US"/>
    </w:rPr>
  </w:style>
  <w:style w:type="character" w:customStyle="1" w:styleId="Heading9Char1">
    <w:name w:val="Heading 9 Char1"/>
    <w:basedOn w:val="DefaultParagraphFont"/>
    <w:uiPriority w:val="9"/>
    <w:semiHidden/>
    <w:rsid w:val="00381042"/>
    <w:rPr>
      <w:rFonts w:asciiTheme="majorHAnsi" w:eastAsiaTheme="majorEastAsia" w:hAnsiTheme="majorHAnsi" w:cstheme="majorBidi"/>
      <w:i/>
      <w:iCs/>
      <w:color w:val="404040" w:themeColor="text1" w:themeTint="BF"/>
      <w:sz w:val="20"/>
      <w:szCs w:val="20"/>
      <w:lang w:bidi="en-US"/>
    </w:rPr>
  </w:style>
  <w:style w:type="paragraph" w:styleId="Title">
    <w:name w:val="Title"/>
    <w:basedOn w:val="Normal"/>
    <w:next w:val="Normal"/>
    <w:link w:val="TitleChar"/>
    <w:uiPriority w:val="10"/>
    <w:qFormat/>
    <w:rsid w:val="5ABB0D50"/>
    <w:pPr>
      <w:widowControl w:val="0"/>
      <w:spacing w:after="300"/>
      <w:contextualSpacing/>
    </w:pPr>
    <w:rPr>
      <w:rFonts w:ascii="Cambria" w:eastAsia="Times New Roman" w:hAnsi="Cambria" w:cs="Times New Roman"/>
      <w:color w:val="17365D"/>
      <w:sz w:val="52"/>
      <w:szCs w:val="52"/>
    </w:rPr>
  </w:style>
  <w:style w:type="character" w:customStyle="1" w:styleId="TitleChar1">
    <w:name w:val="Title Char1"/>
    <w:basedOn w:val="DefaultParagraphFont"/>
    <w:uiPriority w:val="10"/>
    <w:rsid w:val="00381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5ABB0D50"/>
    <w:pPr>
      <w:widowControl w:val="0"/>
    </w:pPr>
    <w:rPr>
      <w:rFonts w:ascii="Cambria" w:eastAsia="Times New Roman" w:hAnsi="Cambria" w:cs="Times New Roman"/>
      <w:i/>
      <w:iCs/>
      <w:color w:val="4F81BD"/>
      <w:sz w:val="24"/>
      <w:szCs w:val="24"/>
    </w:rPr>
  </w:style>
  <w:style w:type="character" w:customStyle="1" w:styleId="SubtitleChar1">
    <w:name w:val="Subtitle Char1"/>
    <w:basedOn w:val="DefaultParagraphFont"/>
    <w:uiPriority w:val="11"/>
    <w:rsid w:val="00381042"/>
    <w:rPr>
      <w:rFonts w:eastAsiaTheme="minorEastAsia"/>
      <w:color w:val="5A5A5A" w:themeColor="text1" w:themeTint="A5"/>
      <w:spacing w:val="15"/>
    </w:rPr>
  </w:style>
  <w:style w:type="paragraph" w:styleId="Quote">
    <w:name w:val="Quote"/>
    <w:basedOn w:val="Normal"/>
    <w:next w:val="Normal"/>
    <w:link w:val="QuoteChar"/>
    <w:uiPriority w:val="29"/>
    <w:qFormat/>
    <w:rsid w:val="5ABB0D50"/>
    <w:pPr>
      <w:widowControl w:val="0"/>
    </w:pPr>
    <w:rPr>
      <w:i/>
      <w:iCs/>
      <w:color w:val="000000" w:themeColor="text1"/>
    </w:rPr>
  </w:style>
  <w:style w:type="character" w:customStyle="1" w:styleId="QuoteChar1">
    <w:name w:val="Quote Char1"/>
    <w:basedOn w:val="DefaultParagraphFont"/>
    <w:uiPriority w:val="29"/>
    <w:rsid w:val="00381042"/>
    <w:rPr>
      <w:rFonts w:ascii="Arial" w:hAnsi="Arial"/>
      <w:i/>
      <w:iCs/>
      <w:color w:val="404040" w:themeColor="text1" w:themeTint="BF"/>
    </w:rPr>
  </w:style>
  <w:style w:type="paragraph" w:styleId="IntenseQuote">
    <w:name w:val="Intense Quote"/>
    <w:basedOn w:val="Normal"/>
    <w:next w:val="Normal"/>
    <w:link w:val="IntenseQuoteChar"/>
    <w:uiPriority w:val="30"/>
    <w:qFormat/>
    <w:rsid w:val="5ABB0D50"/>
    <w:pPr>
      <w:widowControl w:val="0"/>
      <w:spacing w:before="200" w:after="280"/>
      <w:ind w:left="936" w:right="936"/>
    </w:pPr>
    <w:rPr>
      <w:b/>
      <w:bCs/>
      <w:i/>
      <w:iCs/>
      <w:color w:val="4F81BD"/>
    </w:rPr>
  </w:style>
  <w:style w:type="character" w:customStyle="1" w:styleId="IntenseQuoteChar1">
    <w:name w:val="Intense Quote Char1"/>
    <w:basedOn w:val="DefaultParagraphFont"/>
    <w:uiPriority w:val="30"/>
    <w:rsid w:val="00381042"/>
    <w:rPr>
      <w:rFonts w:ascii="Arial" w:hAnsi="Arial"/>
      <w:i/>
      <w:iCs/>
      <w:color w:val="5B9BD5" w:themeColor="accent1"/>
    </w:rPr>
  </w:style>
  <w:style w:type="character" w:styleId="SubtleEmphasis">
    <w:name w:val="Subtle Emphasis"/>
    <w:basedOn w:val="DefaultParagraphFont"/>
    <w:uiPriority w:val="19"/>
    <w:qFormat/>
    <w:rsid w:val="00381042"/>
    <w:rPr>
      <w:i/>
      <w:iCs/>
      <w:color w:val="808080" w:themeColor="text1" w:themeTint="7F"/>
    </w:rPr>
  </w:style>
  <w:style w:type="character" w:styleId="IntenseEmphasis">
    <w:name w:val="Intense Emphasis"/>
    <w:basedOn w:val="DefaultParagraphFont"/>
    <w:uiPriority w:val="21"/>
    <w:qFormat/>
    <w:rsid w:val="00381042"/>
    <w:rPr>
      <w:b/>
      <w:bCs/>
      <w:i/>
      <w:iCs/>
      <w:color w:val="5B9BD5" w:themeColor="accent1"/>
    </w:rPr>
  </w:style>
  <w:style w:type="character" w:styleId="SubtleReference">
    <w:name w:val="Subtle Reference"/>
    <w:basedOn w:val="DefaultParagraphFont"/>
    <w:uiPriority w:val="31"/>
    <w:qFormat/>
    <w:rsid w:val="00381042"/>
    <w:rPr>
      <w:smallCaps/>
      <w:color w:val="ED7D31" w:themeColor="accent2"/>
      <w:u w:val="single"/>
    </w:rPr>
  </w:style>
  <w:style w:type="character" w:styleId="IntenseReference">
    <w:name w:val="Intense Reference"/>
    <w:basedOn w:val="DefaultParagraphFont"/>
    <w:uiPriority w:val="32"/>
    <w:qFormat/>
    <w:rsid w:val="00381042"/>
    <w:rPr>
      <w:b/>
      <w:bCs/>
      <w:smallCaps/>
      <w:color w:val="ED7D31" w:themeColor="accent2"/>
      <w:spacing w:val="5"/>
      <w:u w:val="single"/>
    </w:rPr>
  </w:style>
  <w:style w:type="numbering" w:customStyle="1" w:styleId="NoList2">
    <w:name w:val="No List2"/>
    <w:next w:val="NoList"/>
    <w:uiPriority w:val="99"/>
    <w:semiHidden/>
    <w:unhideWhenUsed/>
    <w:rsid w:val="00381042"/>
  </w:style>
  <w:style w:type="paragraph" w:customStyle="1" w:styleId="Caption2">
    <w:name w:val="Caption2"/>
    <w:basedOn w:val="Normal"/>
    <w:next w:val="Normal"/>
    <w:uiPriority w:val="35"/>
    <w:unhideWhenUsed/>
    <w:qFormat/>
    <w:rsid w:val="5ABB0D50"/>
    <w:pPr>
      <w:spacing w:after="200"/>
    </w:pPr>
    <w:rPr>
      <w:rFonts w:ascii="Calibri" w:eastAsia="Times New Roman" w:hAnsi="Calibri" w:cs="Times New Roman"/>
      <w:b/>
      <w:bCs/>
      <w:color w:val="000000" w:themeColor="text1"/>
      <w:sz w:val="20"/>
      <w:szCs w:val="20"/>
      <w:lang w:eastAsia="en-CA"/>
    </w:rPr>
  </w:style>
  <w:style w:type="table" w:customStyle="1" w:styleId="TableGrid1">
    <w:name w:val="Table Grid1"/>
    <w:basedOn w:val="TableNormal"/>
    <w:next w:val="TableGrid"/>
    <w:rsid w:val="00381042"/>
    <w:pPr>
      <w:spacing w:after="200" w:line="276" w:lineRule="auto"/>
    </w:pPr>
    <w:rPr>
      <w:rFonts w:eastAsia="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uiPriority w:val="1"/>
    <w:rsid w:val="5ABB0D50"/>
    <w:pPr>
      <w:keepNext/>
      <w:widowControl w:val="0"/>
      <w:spacing w:before="120" w:after="120"/>
      <w:ind w:left="461" w:right="801"/>
      <w:jc w:val="center"/>
    </w:pPr>
    <w:rPr>
      <w:rFonts w:eastAsia="Times New Roman" w:cs="Times New Roman"/>
      <w:sz w:val="24"/>
      <w:szCs w:val="24"/>
    </w:rPr>
  </w:style>
  <w:style w:type="paragraph" w:customStyle="1" w:styleId="Caption-Figure">
    <w:name w:val="Caption - Figure"/>
    <w:basedOn w:val="Normal"/>
    <w:uiPriority w:val="1"/>
    <w:qFormat/>
    <w:rsid w:val="5ABB0D50"/>
    <w:pPr>
      <w:widowControl w:val="0"/>
      <w:spacing w:before="120" w:after="120"/>
    </w:pPr>
    <w:rPr>
      <w:rFonts w:eastAsia="Arial" w:cs="Arial"/>
      <w:i/>
      <w:iCs/>
      <w:sz w:val="20"/>
      <w:szCs w:val="20"/>
      <w:lang w:val="en-GB" w:bidi="en-US"/>
    </w:rPr>
  </w:style>
  <w:style w:type="paragraph" w:customStyle="1" w:styleId="SummaryBullets">
    <w:name w:val="Summary Bullets"/>
    <w:basedOn w:val="Normal"/>
    <w:uiPriority w:val="1"/>
    <w:rsid w:val="5ABB0D50"/>
    <w:pPr>
      <w:tabs>
        <w:tab w:val="num" w:pos="360"/>
      </w:tabs>
      <w:spacing w:before="120" w:after="120"/>
      <w:ind w:left="360" w:hanging="360"/>
    </w:pPr>
    <w:rPr>
      <w:rFonts w:eastAsia="Times New Roman" w:cs="Arial"/>
    </w:rPr>
  </w:style>
  <w:style w:type="paragraph" w:customStyle="1" w:styleId="Refs">
    <w:name w:val="Refs"/>
    <w:basedOn w:val="Normal"/>
    <w:uiPriority w:val="1"/>
    <w:rsid w:val="5ABB0D50"/>
    <w:pPr>
      <w:widowControl w:val="0"/>
      <w:tabs>
        <w:tab w:val="left" w:pos="360"/>
      </w:tabs>
      <w:spacing w:before="120"/>
      <w:ind w:left="720" w:hanging="720"/>
    </w:pPr>
    <w:rPr>
      <w:rFonts w:cs="Arial"/>
      <w:sz w:val="24"/>
      <w:szCs w:val="24"/>
    </w:rPr>
  </w:style>
  <w:style w:type="paragraph" w:customStyle="1" w:styleId="AppendixHeading1">
    <w:name w:val="Appendix Heading 1"/>
    <w:basedOn w:val="Heading1"/>
    <w:uiPriority w:val="1"/>
    <w:qFormat/>
    <w:rsid w:val="5ABB0D50"/>
  </w:style>
  <w:style w:type="paragraph" w:customStyle="1" w:styleId="AppendixHeading2">
    <w:name w:val="Appendix Heading 2"/>
    <w:basedOn w:val="Heading2"/>
    <w:uiPriority w:val="1"/>
    <w:qFormat/>
    <w:rsid w:val="5ABB0D50"/>
    <w:rPr>
      <w:b/>
      <w:bCs/>
    </w:rPr>
  </w:style>
  <w:style w:type="paragraph" w:customStyle="1" w:styleId="MyHeading1">
    <w:name w:val="My Heading 1"/>
    <w:next w:val="Normal"/>
    <w:rsid w:val="004D5172"/>
    <w:pPr>
      <w:spacing w:after="200" w:line="276" w:lineRule="auto"/>
    </w:pPr>
    <w:rPr>
      <w:rFonts w:eastAsiaTheme="minorEastAsia"/>
      <w:b/>
      <w:smallCaps/>
      <w:sz w:val="28"/>
      <w:szCs w:val="28"/>
    </w:rPr>
  </w:style>
  <w:style w:type="character" w:customStyle="1" w:styleId="fontstyle01">
    <w:name w:val="fontstyle01"/>
    <w:basedOn w:val="DefaultParagraphFont"/>
    <w:rsid w:val="000F41BE"/>
    <w:rPr>
      <w:rFonts w:ascii="TimesNewRomanPSMT" w:hAnsi="TimesNewRomanPSMT" w:hint="default"/>
      <w:b w:val="0"/>
      <w:bCs w:val="0"/>
      <w:i w:val="0"/>
      <w:iCs w:val="0"/>
      <w:color w:val="000000"/>
      <w:sz w:val="20"/>
      <w:szCs w:val="20"/>
    </w:rPr>
  </w:style>
  <w:style w:type="paragraph" w:styleId="FootnoteText">
    <w:name w:val="footnote text"/>
    <w:basedOn w:val="Normal"/>
    <w:link w:val="FootnoteTextChar"/>
    <w:uiPriority w:val="1"/>
    <w:semiHidden/>
    <w:unhideWhenUsed/>
    <w:rsid w:val="5ABB0D50"/>
    <w:rPr>
      <w:rFonts w:eastAsia="Times New Roman" w:cs="Times New Roman"/>
      <w:sz w:val="20"/>
      <w:szCs w:val="20"/>
      <w:lang w:eastAsia="en-CA"/>
    </w:rPr>
  </w:style>
  <w:style w:type="character" w:customStyle="1" w:styleId="FootnoteTextChar">
    <w:name w:val="Footnote Text Char"/>
    <w:basedOn w:val="DefaultParagraphFont"/>
    <w:link w:val="FootnoteText"/>
    <w:uiPriority w:val="1"/>
    <w:semiHidden/>
    <w:rsid w:val="5ABB0D50"/>
    <w:rPr>
      <w:rFonts w:ascii="Arial" w:eastAsia="Times New Roman" w:hAnsi="Arial" w:cs="Times New Roman"/>
      <w:noProof w:val="0"/>
      <w:sz w:val="20"/>
      <w:szCs w:val="20"/>
      <w:lang w:val="en-CA" w:eastAsia="en-CA"/>
    </w:rPr>
  </w:style>
  <w:style w:type="character" w:styleId="FootnoteReference">
    <w:name w:val="footnote reference"/>
    <w:semiHidden/>
    <w:unhideWhenUsed/>
    <w:rsid w:val="001A7793"/>
    <w:rPr>
      <w:vertAlign w:val="superscript"/>
    </w:rPr>
  </w:style>
  <w:style w:type="paragraph" w:styleId="EndnoteText">
    <w:name w:val="endnote text"/>
    <w:basedOn w:val="Normal"/>
    <w:link w:val="EndnoteTextChar"/>
    <w:uiPriority w:val="99"/>
    <w:semiHidden/>
    <w:unhideWhenUsed/>
    <w:rsid w:val="5ABB0D50"/>
    <w:rPr>
      <w:sz w:val="20"/>
      <w:szCs w:val="20"/>
    </w:rPr>
  </w:style>
  <w:style w:type="character" w:customStyle="1" w:styleId="EndnoteTextChar">
    <w:name w:val="Endnote Text Char"/>
    <w:basedOn w:val="DefaultParagraphFont"/>
    <w:link w:val="EndnoteText"/>
    <w:uiPriority w:val="99"/>
    <w:semiHidden/>
    <w:rsid w:val="5ABB0D50"/>
    <w:rPr>
      <w:noProof w:val="0"/>
      <w:sz w:val="20"/>
      <w:szCs w:val="20"/>
      <w:lang w:val="en-CA"/>
    </w:rPr>
  </w:style>
  <w:style w:type="character" w:customStyle="1" w:styleId="UnresolvedMention1">
    <w:name w:val="Unresolved Mention1"/>
    <w:basedOn w:val="DefaultParagraphFont"/>
    <w:uiPriority w:val="99"/>
    <w:semiHidden/>
    <w:unhideWhenUsed/>
    <w:rsid w:val="002374B6"/>
    <w:rPr>
      <w:color w:val="605E5C"/>
      <w:shd w:val="clear" w:color="auto" w:fill="E1DFDD"/>
    </w:rPr>
  </w:style>
  <w:style w:type="character" w:customStyle="1" w:styleId="ui-provider">
    <w:name w:val="ui-provider"/>
    <w:basedOn w:val="DefaultParagraphFont"/>
    <w:rsid w:val="000550E6"/>
  </w:style>
  <w:style w:type="character" w:customStyle="1" w:styleId="UnresolvedMention">
    <w:name w:val="Unresolved Mention"/>
    <w:basedOn w:val="DefaultParagraphFont"/>
    <w:uiPriority w:val="99"/>
    <w:unhideWhenUsed/>
    <w:rsid w:val="002E70D3"/>
    <w:rPr>
      <w:color w:val="605E5C"/>
      <w:shd w:val="clear" w:color="auto" w:fill="E1DFDD"/>
    </w:rPr>
  </w:style>
  <w:style w:type="character" w:customStyle="1" w:styleId="Mention">
    <w:name w:val="Mention"/>
    <w:basedOn w:val="DefaultParagraphFont"/>
    <w:uiPriority w:val="99"/>
    <w:unhideWhenUsed/>
    <w:rsid w:val="00C34D46"/>
    <w:rPr>
      <w:color w:val="2B579A"/>
      <w:shd w:val="clear" w:color="auto" w:fill="E1DFDD"/>
    </w:rPr>
  </w:style>
  <w:style w:type="paragraph" w:styleId="Revision">
    <w:name w:val="Revision"/>
    <w:hidden/>
    <w:uiPriority w:val="99"/>
    <w:semiHidden/>
    <w:rsid w:val="00137D10"/>
    <w:pPr>
      <w:spacing w:after="0" w:line="240" w:lineRule="auto"/>
    </w:pPr>
    <w:rPr>
      <w:rFonts w:ascii="Arial" w:hAnsi="Arial"/>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70506">
      <w:bodyDiv w:val="1"/>
      <w:marLeft w:val="0"/>
      <w:marRight w:val="0"/>
      <w:marTop w:val="0"/>
      <w:marBottom w:val="0"/>
      <w:divBdr>
        <w:top w:val="none" w:sz="0" w:space="0" w:color="auto"/>
        <w:left w:val="none" w:sz="0" w:space="0" w:color="auto"/>
        <w:bottom w:val="none" w:sz="0" w:space="0" w:color="auto"/>
        <w:right w:val="none" w:sz="0" w:space="0" w:color="auto"/>
      </w:divBdr>
    </w:div>
    <w:div w:id="70978169">
      <w:bodyDiv w:val="1"/>
      <w:marLeft w:val="0"/>
      <w:marRight w:val="0"/>
      <w:marTop w:val="0"/>
      <w:marBottom w:val="0"/>
      <w:divBdr>
        <w:top w:val="none" w:sz="0" w:space="0" w:color="auto"/>
        <w:left w:val="none" w:sz="0" w:space="0" w:color="auto"/>
        <w:bottom w:val="none" w:sz="0" w:space="0" w:color="auto"/>
        <w:right w:val="none" w:sz="0" w:space="0" w:color="auto"/>
      </w:divBdr>
    </w:div>
    <w:div w:id="1012225532">
      <w:bodyDiv w:val="1"/>
      <w:marLeft w:val="0"/>
      <w:marRight w:val="0"/>
      <w:marTop w:val="0"/>
      <w:marBottom w:val="0"/>
      <w:divBdr>
        <w:top w:val="none" w:sz="0" w:space="0" w:color="auto"/>
        <w:left w:val="none" w:sz="0" w:space="0" w:color="auto"/>
        <w:bottom w:val="none" w:sz="0" w:space="0" w:color="auto"/>
        <w:right w:val="none" w:sz="0" w:space="0" w:color="auto"/>
      </w:divBdr>
      <w:divsChild>
        <w:div w:id="1672640245">
          <w:marLeft w:val="0"/>
          <w:marRight w:val="0"/>
          <w:marTop w:val="0"/>
          <w:marBottom w:val="0"/>
          <w:divBdr>
            <w:top w:val="none" w:sz="0" w:space="0" w:color="auto"/>
            <w:left w:val="none" w:sz="0" w:space="0" w:color="auto"/>
            <w:bottom w:val="none" w:sz="0" w:space="0" w:color="auto"/>
            <w:right w:val="none" w:sz="0" w:space="0" w:color="auto"/>
          </w:divBdr>
        </w:div>
      </w:divsChild>
    </w:div>
    <w:div w:id="166581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t.iobis.org/obiscanada/resource?r=sog" TargetMode="External"/><Relationship Id="rId117" Type="http://schemas.openxmlformats.org/officeDocument/2006/relationships/hyperlink" Target="https://www.sciencedirect.com/journal/fisheries-research/special-issue/107XBM3GX7H" TargetMode="External"/><Relationship Id="rId21" Type="http://schemas.openxmlformats.org/officeDocument/2006/relationships/hyperlink" Target="https://open.canada.ca/data/en/dataset/945e0f13-119b-451b-9038-50c6eb641aef" TargetMode="External"/><Relationship Id="rId42" Type="http://schemas.openxmlformats.org/officeDocument/2006/relationships/hyperlink" Target="https://dfo-mpo.gc.ca/oceans/mpa-zpm/bowie-eng.html" TargetMode="External"/><Relationship Id="rId47" Type="http://schemas.openxmlformats.org/officeDocument/2006/relationships/image" Target="media/image7.jpg"/><Relationship Id="rId63" Type="http://schemas.openxmlformats.org/officeDocument/2006/relationships/hyperlink" Target="https://github.com/pbs-software" TargetMode="External"/><Relationship Id="rId68" Type="http://schemas.openxmlformats.org/officeDocument/2006/relationships/hyperlink" Target="https://www.dfo-mpo.gc.ca/csas-sccs/Publications/ResDocs-DocRech/2022/2022_001-eng.html" TargetMode="External"/><Relationship Id="rId84" Type="http://schemas.openxmlformats.org/officeDocument/2006/relationships/hyperlink" Target="https://www.dfo-mpo.gc.ca/csas-sccs/Publications/Pro-Cr/2021/2021_052-eng.html" TargetMode="External"/><Relationship Id="rId89" Type="http://schemas.openxmlformats.org/officeDocument/2006/relationships/hyperlink" Target="https://www.dfo-mpo.gc.ca/csas-sccs/Publications/Pro-Cr/2022/2022_014-eng.html" TargetMode="External"/><Relationship Id="rId112" Type="http://schemas.openxmlformats.org/officeDocument/2006/relationships/hyperlink" Target="https://github.com/pbs-assess/gfsynopsis" TargetMode="External"/><Relationship Id="rId133" Type="http://schemas.openxmlformats.org/officeDocument/2006/relationships/hyperlink" Target="https://cdnsciencepub.com/doi/10.1139/cjfas-2022-0159" TargetMode="External"/><Relationship Id="rId138" Type="http://schemas.openxmlformats.org/officeDocument/2006/relationships/footer" Target="footer5.xml"/><Relationship Id="rId16" Type="http://schemas.openxmlformats.org/officeDocument/2006/relationships/footer" Target="footer3.xml"/><Relationship Id="rId107" Type="http://schemas.openxmlformats.org/officeDocument/2006/relationships/hyperlink" Target="https://www.dfo-mpo.gc.ca/csas-sccs/Publications/Pro-Cr/2016/2016_040-eng.html" TargetMode="External"/><Relationship Id="rId11" Type="http://schemas.openxmlformats.org/officeDocument/2006/relationships/header" Target="header1.xml"/><Relationship Id="rId32" Type="http://schemas.openxmlformats.org/officeDocument/2006/relationships/image" Target="media/image2.jpg"/><Relationship Id="rId37" Type="http://schemas.openxmlformats.org/officeDocument/2006/relationships/hyperlink" Target="https://www.dfo-mpo.gc.ca/csas-sccs/Publications/ScR-RS/2022/2022_020-eng.html" TargetMode="External"/><Relationship Id="rId53" Type="http://schemas.openxmlformats.org/officeDocument/2006/relationships/hyperlink" Target="https://www.dfo-mpo.gc.ca/species-especes/publications/sharks/coc/coc-sharks/index-eng.html" TargetMode="External"/><Relationship Id="rId58" Type="http://schemas.openxmlformats.org/officeDocument/2006/relationships/hyperlink" Target="http://www.dfo-mpo.gc.ca/csas-sccs/Publications/SAR-AS/2018/2018_020-eng.html" TargetMode="External"/><Relationship Id="rId74" Type="http://schemas.openxmlformats.org/officeDocument/2006/relationships/hyperlink" Target="https://www.dfo-mpo.gc.ca/csas-sccs/publications/pro-cr/2009/2009_007-eng.htm" TargetMode="External"/><Relationship Id="rId79" Type="http://schemas.openxmlformats.org/officeDocument/2006/relationships/image" Target="media/image10.png"/><Relationship Id="rId102" Type="http://schemas.openxmlformats.org/officeDocument/2006/relationships/hyperlink" Target="https://www.dfo-mpo.gc.ca/csas-sccs/Publications/SAR-AS/2015/2015_010-eng.html" TargetMode="External"/><Relationship Id="rId123" Type="http://schemas.openxmlformats.org/officeDocument/2006/relationships/hyperlink" Target="https://cdnsciencepub.com/doi/10.1139/cjfas-2022-0159" TargetMode="External"/><Relationship Id="rId128" Type="http://schemas.openxmlformats.org/officeDocument/2006/relationships/hyperlink" Target="https://cdnsciencepub.com/doi/10.1139/cjfas-2022-0159" TargetMode="Externa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dfo-mpo.gc.ca/csas-sccs/Publications/ResDocs-DocRech/2022/2022_020-eng.html" TargetMode="External"/><Relationship Id="rId95" Type="http://schemas.openxmlformats.org/officeDocument/2006/relationships/hyperlink" Target="https://www.dfo-mpo.gc.ca/csas-sccs/Publications/SAR-AS/2014/2014_028-eng.html" TargetMode="External"/><Relationship Id="rId22" Type="http://schemas.openxmlformats.org/officeDocument/2006/relationships/hyperlink" Target="http://ipt.iobis.org/obiscanada/resource?r=qcs" TargetMode="External"/><Relationship Id="rId27" Type="http://schemas.openxmlformats.org/officeDocument/2006/relationships/hyperlink" Target="http://ipt.iobis.org/obiscanada/resource?r=hbll-in-n" TargetMode="External"/><Relationship Id="rId43" Type="http://schemas.openxmlformats.org/officeDocument/2006/relationships/hyperlink" Target="http://www.dfo-mpo.gc.ca/oceans/ceccsr-cerceef/closures-fermetures-eng.html" TargetMode="External"/><Relationship Id="rId48" Type="http://schemas.openxmlformats.org/officeDocument/2006/relationships/hyperlink" Target="https://www.dfo-mpo.gc.ca/species-especes/sharks/info/sightings-eng.html" TargetMode="External"/><Relationship Id="rId64" Type="http://schemas.openxmlformats.org/officeDocument/2006/relationships/hyperlink" Target="https://waves-vagues.dfo-mpo.gc.ca/library-bibliotheque/40951704.pdf" TargetMode="External"/><Relationship Id="rId69" Type="http://schemas.openxmlformats.org/officeDocument/2006/relationships/hyperlink" Target="https://www.dfo-mpo.gc.ca/csas-sccs/Publications/SAR-AS/2020/2020_025-eng.html" TargetMode="External"/><Relationship Id="rId113" Type="http://schemas.openxmlformats.org/officeDocument/2006/relationships/hyperlink" Target="https://doi.org/10.3354/meps14034" TargetMode="External"/><Relationship Id="rId118" Type="http://schemas.openxmlformats.org/officeDocument/2006/relationships/hyperlink" Target="http://www.dfo-mpo.gc.ca/csas-sccs/Publications/ResDocs-DocRech/2019/2019_041-eng.html" TargetMode="External"/><Relationship Id="rId134" Type="http://schemas.openxmlformats.org/officeDocument/2006/relationships/hyperlink" Target="https://media.fisheries.noaa.gov/2023-02/2023-hake-assessment-post-srg_web.pdf" TargetMode="External"/><Relationship Id="rId139" Type="http://schemas.openxmlformats.org/officeDocument/2006/relationships/hyperlink" Target="https://waves-vagues.dfo-mpo.gc.ca/Library/40990151.pdf" TargetMode="External"/><Relationship Id="rId80" Type="http://schemas.openxmlformats.org/officeDocument/2006/relationships/hyperlink" Target="https://www.dfo-mpo.gc.ca/csas-sccs/publications/resdocs-docrech/2008/2008_056-eng.htm" TargetMode="External"/><Relationship Id="rId85" Type="http://schemas.openxmlformats.org/officeDocument/2006/relationships/hyperlink" Target="http://www.dfo-mpo.gc.ca/csas-sccs/Publications/ResDocs-DocRech/2017/2017_058-eng.html"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ipt.iobis.org/obiscanada/resource?r=wchg" TargetMode="External"/><Relationship Id="rId33" Type="http://schemas.openxmlformats.org/officeDocument/2006/relationships/image" Target="media/image3.png"/><Relationship Id="rId38" Type="http://schemas.openxmlformats.org/officeDocument/2006/relationships/hyperlink" Target="https://mpanetwork.ca/nap/" TargetMode="External"/><Relationship Id="rId46" Type="http://schemas.openxmlformats.org/officeDocument/2006/relationships/image" Target="media/image6.jpg"/><Relationship Id="rId59" Type="http://schemas.openxmlformats.org/officeDocument/2006/relationships/hyperlink" Target="https://www.dfo-mpo.gc.ca/csas-sccs/Publications/Pro-Cr/2021/2021_048-eng.html" TargetMode="External"/><Relationship Id="rId67" Type="http://schemas.openxmlformats.org/officeDocument/2006/relationships/hyperlink" Target="https://www.dfo-mpo.gc.ca/csas-sccs/Publications/ScR-RS/2023/2023_003-eng.html" TargetMode="External"/><Relationship Id="rId103" Type="http://schemas.openxmlformats.org/officeDocument/2006/relationships/hyperlink" Target="https://www.dfo-mpo.gc.ca/csas-sccs/publications/pro-cr/2015/2015_020-eng.html" TargetMode="External"/><Relationship Id="rId108" Type="http://schemas.openxmlformats.org/officeDocument/2006/relationships/hyperlink" Target="https://waves-vagues.dfo-mpo.gc.ca/library-bibliotheque/41098067.pdf" TargetMode="External"/><Relationship Id="rId116" Type="http://schemas.openxmlformats.org/officeDocument/2006/relationships/hyperlink" Target="https://doi.org/10.1016/j.fishres.2022.106540" TargetMode="External"/><Relationship Id="rId124" Type="http://schemas.openxmlformats.org/officeDocument/2006/relationships/hyperlink" Target="https://cdnsciencepub.com/doi/10.1139/cjfas-2022-0159" TargetMode="External"/><Relationship Id="rId129" Type="http://schemas.openxmlformats.org/officeDocument/2006/relationships/hyperlink" Target="https://cdnsciencepub.com/doi/10.1139/cjfas-2022-0159" TargetMode="External"/><Relationship Id="rId137" Type="http://schemas.openxmlformats.org/officeDocument/2006/relationships/header" Target="header5.xml"/><Relationship Id="rId20" Type="http://schemas.openxmlformats.org/officeDocument/2006/relationships/hyperlink" Target="https://open.canada.ca/data/en/dataset/a278d1af-d567-4964-a109-ae1e84cbd24a" TargetMode="External"/><Relationship Id="rId41" Type="http://schemas.openxmlformats.org/officeDocument/2006/relationships/hyperlink" Target="https://www.dfo-mpo.gc.ca/oceans/aoi-si/tht-eng.html" TargetMode="External"/><Relationship Id="rId54" Type="http://schemas.openxmlformats.org/officeDocument/2006/relationships/hyperlink" Target="https://waves-vagues.dfo-mpo.gc.ca/Library/362171.pdf" TargetMode="External"/><Relationship Id="rId62" Type="http://schemas.openxmlformats.org/officeDocument/2006/relationships/hyperlink" Target="https://www.fisheries.noaa.gov/west-coast/laws-and-policies/pacific-hake-whiting-treaty" TargetMode="External"/><Relationship Id="rId70" Type="http://schemas.openxmlformats.org/officeDocument/2006/relationships/hyperlink" Target="https://www.dfo-mpo.gc.ca/csas-sccs/Publications/Pro-Cr/2021/2021_014-eng.html" TargetMode="External"/><Relationship Id="rId75" Type="http://schemas.openxmlformats.org/officeDocument/2006/relationships/hyperlink" Target="https://www.dfo-mpo.gc.ca/csas-sccs/publications/scr-rs/2009/2009_019-eng.htm" TargetMode="External"/><Relationship Id="rId83" Type="http://schemas.openxmlformats.org/officeDocument/2006/relationships/hyperlink" Target="https://www.dfo-mpo.gc.ca/csas-sccs/Publications/SAR-AS/2017/2017_043-eng.html" TargetMode="External"/><Relationship Id="rId88" Type="http://schemas.openxmlformats.org/officeDocument/2006/relationships/hyperlink" Target="http://www.dfo-mpo.gc.ca/csas-sccs/Publications/SAR-AS/2018/2018_049-eng.html" TargetMode="External"/><Relationship Id="rId91" Type="http://schemas.openxmlformats.org/officeDocument/2006/relationships/hyperlink" Target="https://www.dfo-mpo.gc.ca/csas-sccs/Publications/SAR-AS/2020/2020_047-eng.html" TargetMode="External"/><Relationship Id="rId96" Type="http://schemas.openxmlformats.org/officeDocument/2006/relationships/hyperlink" Target="https://www.dfo-mpo.gc.ca/csas-sccs/Publications/ResDocs-DocRech/2021/2021_039-eng.html" TargetMode="External"/><Relationship Id="rId111" Type="http://schemas.openxmlformats.org/officeDocument/2006/relationships/hyperlink" Target="https://waves-vagues.dfo-mpo.gc.ca/library-bibliotheque/41074191.pdf" TargetMode="External"/><Relationship Id="rId132" Type="http://schemas.openxmlformats.org/officeDocument/2006/relationships/hyperlink" Target="https://cdnsciencepub.com/doi/10.1139/cjfas-2022-0159" TargetMode="External"/><Relationship Id="rId140" Type="http://schemas.openxmlformats.org/officeDocument/2006/relationships/hyperlink" Target="https://waves-vagues.dfo-mpo.gc.ca/Library/40990151.pdf" TargetMode="External"/><Relationship Id="rId14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ipt.iobis.org/obiscanada/resource?r=westcoast" TargetMode="External"/><Relationship Id="rId28" Type="http://schemas.openxmlformats.org/officeDocument/2006/relationships/hyperlink" Target="http://ipt.iobis.org/obiscanada/resource?r=hbll-in-s" TargetMode="External"/><Relationship Id="rId36" Type="http://schemas.openxmlformats.org/officeDocument/2006/relationships/hyperlink" Target="http://htmlpreview.github.io/?https://github.com/pbs-assess/gfiphc/blob/master/vignettes/data_for_all_species.html" TargetMode="External"/><Relationship Id="rId49" Type="http://schemas.openxmlformats.org/officeDocument/2006/relationships/hyperlink" Target="https://www.canada.ca/en/environment-climate-change/services/species-risk-public-registry/consultation-documents/check-in-14-aquatic.html" TargetMode="External"/><Relationship Id="rId57" Type="http://schemas.openxmlformats.org/officeDocument/2006/relationships/hyperlink" Target="https://www.dfo-mpo.gc.ca/csas-sccs/Publications/ResDocs-DocRech/2021/2021_004-eng.html" TargetMode="External"/><Relationship Id="rId106" Type="http://schemas.openxmlformats.org/officeDocument/2006/relationships/hyperlink" Target="https://www.dfo-mpo.gc.ca/csas-sccs/Publications/SAR-AS/2016/2016_016-eng.html" TargetMode="External"/><Relationship Id="rId114" Type="http://schemas.openxmlformats.org/officeDocument/2006/relationships/hyperlink" Target="file:///C:\Users\haggartyd\Documents\Groundfish\TSC\2023\dx.doi.org\10.1139\cjfas-2022-0108" TargetMode="External"/><Relationship Id="rId119" Type="http://schemas.openxmlformats.org/officeDocument/2006/relationships/hyperlink" Target="https://doi.org/10.1002/fsh.10441" TargetMode="External"/><Relationship Id="rId127" Type="http://schemas.openxmlformats.org/officeDocument/2006/relationships/hyperlink" Target="https://doi.org/10.3354/meps14034" TargetMode="External"/><Relationship Id="rId10" Type="http://schemas.openxmlformats.org/officeDocument/2006/relationships/endnotes" Target="endnotes.xml"/><Relationship Id="rId31" Type="http://schemas.openxmlformats.org/officeDocument/2006/relationships/image" Target="media/image1.png"/><Relationship Id="rId44" Type="http://schemas.openxmlformats.org/officeDocument/2006/relationships/hyperlink" Target="https://www.dfo-mpo.gc.ca/csas-sccs/Publications/SAR-AS/2023/2023_011-eng.pdf" TargetMode="External"/><Relationship Id="rId52" Type="http://schemas.openxmlformats.org/officeDocument/2006/relationships/hyperlink" Target="https://www.dfo-mpo.gc.ca/species-especes/publications/sharks/coc/coc-basking/index-eng.html" TargetMode="External"/><Relationship Id="rId60" Type="http://schemas.openxmlformats.org/officeDocument/2006/relationships/hyperlink" Target="https://waves-vagues.dfo-mpo.gc.ca/library-bibliotheque/41098067.pdf" TargetMode="External"/><Relationship Id="rId65" Type="http://schemas.openxmlformats.org/officeDocument/2006/relationships/hyperlink" Target="https://waves-vagues.dfo-mpo.gc.ca/library-bibliotheque/41058136.pdf" TargetMode="External"/><Relationship Id="rId73" Type="http://schemas.openxmlformats.org/officeDocument/2006/relationships/hyperlink" Target="https://www.dfo-mpo.gc.ca/csas-sccs/Publications/SAR-AS/2009/2009_041-eng.htm" TargetMode="External"/><Relationship Id="rId78" Type="http://schemas.openxmlformats.org/officeDocument/2006/relationships/image" Target="media/image9.png"/><Relationship Id="rId81" Type="http://schemas.openxmlformats.org/officeDocument/2006/relationships/hyperlink" Target="https://www.dfo-mpo.gc.ca/csas-sccs/publications/pro-cr/2009/2009_007-eng.htm" TargetMode="External"/><Relationship Id="rId86" Type="http://schemas.openxmlformats.org/officeDocument/2006/relationships/hyperlink" Target="https://www.dfo-mpo.gc.ca/csas-sccs/publications/pro-cr/2015/2015_032-eng.html" TargetMode="External"/><Relationship Id="rId94" Type="http://schemas.openxmlformats.org/officeDocument/2006/relationships/hyperlink" Target="https://www.dfo-mpo.gc.ca/csas-sccs/Publications/ResDocs-DocRech/2016/2016_042-eng.html" TargetMode="External"/><Relationship Id="rId99" Type="http://schemas.openxmlformats.org/officeDocument/2006/relationships/hyperlink" Target="https://www.dfo-mpo.gc.ca/csas-sccs/Publications/ResDocs-DocRech/2022/2022_010-eng.html" TargetMode="External"/><Relationship Id="rId101" Type="http://schemas.openxmlformats.org/officeDocument/2006/relationships/hyperlink" Target="https://www.dfo-mpo.gc.ca/csas-sccs/Publications/Pro-Cr/2022/2022_003-eng.html" TargetMode="External"/><Relationship Id="rId122" Type="http://schemas.openxmlformats.org/officeDocument/2006/relationships/hyperlink" Target="https://doi.org/10.3354/meps14034" TargetMode="External"/><Relationship Id="rId130" Type="http://schemas.openxmlformats.org/officeDocument/2006/relationships/hyperlink" Target="https://cdnsciencepub.com/doi/10.1139/cjfas-2022-0159" TargetMode="External"/><Relationship Id="rId135" Type="http://schemas.openxmlformats.org/officeDocument/2006/relationships/hyperlink" Target="https://www.dfo-mpo.gc.ca/csas-sccs/Publications/ScR-RS/2022/2022_020-eng.html" TargetMode="External"/><Relationship Id="rId14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anada.ca/en/fisheries-oceans/news/2023/02/first-marine-refuge-within-the-northern-shelf-bioregion-is-established.html" TargetMode="External"/><Relationship Id="rId109" Type="http://schemas.openxmlformats.org/officeDocument/2006/relationships/hyperlink" Target="https://waves-vagues.dfo-mpo.gc.ca/Library/365131.pdf" TargetMode="External"/><Relationship Id="rId34" Type="http://schemas.openxmlformats.org/officeDocument/2006/relationships/image" Target="media/image4.jpeg"/><Relationship Id="rId50" Type="http://schemas.openxmlformats.org/officeDocument/2006/relationships/hyperlink" Target="https://species-registry.canada.ca/index-en.html" TargetMode="External"/><Relationship Id="rId55" Type="http://schemas.openxmlformats.org/officeDocument/2006/relationships/hyperlink" Target="https://www.dfo-mpo.gc.ca/csas-sccs/Publications/ScR-RS/2021/2021_002-eng.html" TargetMode="External"/><Relationship Id="rId76" Type="http://schemas.openxmlformats.org/officeDocument/2006/relationships/hyperlink" Target="https://www.dfo-mpo.gc.ca/csas-sccs/Publications/Pro-Cr/2021/2021_035-eng.html" TargetMode="External"/><Relationship Id="rId97" Type="http://schemas.openxmlformats.org/officeDocument/2006/relationships/hyperlink" Target="https://www.dfo-mpo.gc.ca/csas-sccs/Publications/SAR-AS/2019/2019_044-eng.html" TargetMode="External"/><Relationship Id="rId104" Type="http://schemas.openxmlformats.org/officeDocument/2006/relationships/hyperlink" Target="https://waves-vagues.dfo-mpo.gc.ca/library-bibliotheque/41034971.pdf" TargetMode="External"/><Relationship Id="rId120" Type="http://schemas.openxmlformats.org/officeDocument/2006/relationships/hyperlink" Target="https://doi.org/10.1111/fog.12610" TargetMode="External"/><Relationship Id="rId125" Type="http://schemas.openxmlformats.org/officeDocument/2006/relationships/hyperlink" Target="https://doi.org/10.1111/ecog.06249" TargetMode="External"/><Relationship Id="rId141"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www.dfo-mpo.gc.ca/csas-sccs/Publications/ScR-RS/2022/2022_001-eng.html" TargetMode="External"/><Relationship Id="rId92" Type="http://schemas.openxmlformats.org/officeDocument/2006/relationships/hyperlink" Target="https://www.dfo-mpo.gc.ca/csas-sccs/Publications/Pro-Cr/2022/2022_004-eng.html" TargetMode="External"/><Relationship Id="rId2" Type="http://schemas.openxmlformats.org/officeDocument/2006/relationships/customXml" Target="../customXml/item2.xml"/><Relationship Id="rId29" Type="http://schemas.openxmlformats.org/officeDocument/2006/relationships/hyperlink" Target="http://ipt.iobis.org/obiscanada/resource?r=hbll-out-n" TargetMode="External"/><Relationship Id="rId24" Type="http://schemas.openxmlformats.org/officeDocument/2006/relationships/hyperlink" Target="http://ipt.iobis.org/obiscanada/resource?r=hecate" TargetMode="External"/><Relationship Id="rId40" Type="http://schemas.openxmlformats.org/officeDocument/2006/relationships/hyperlink" Target="https://www.canada.ca/en/fisheries-oceans/news/2023/02/government-of-canada-and-coastal-first-nations-announce-progress-to-protect-a-large-ecologically-unique-ocean-area-off-the-pacific-west-coast.html" TargetMode="External"/><Relationship Id="rId45" Type="http://schemas.openxmlformats.org/officeDocument/2006/relationships/image" Target="media/image5.jpg"/><Relationship Id="rId66" Type="http://schemas.openxmlformats.org/officeDocument/2006/relationships/image" Target="media/image8.png"/><Relationship Id="rId87" Type="http://schemas.openxmlformats.org/officeDocument/2006/relationships/hyperlink" Target="https://www.dfo-mpo.gc.ca/csas-sccs/Publications/ResDocs-DocRech/2021/2021_014-eng.html" TargetMode="External"/><Relationship Id="rId110" Type="http://schemas.openxmlformats.org/officeDocument/2006/relationships/hyperlink" Target="https://waves-vagues.dfo-mpo.gc.ca/library-bibliotheque/41090895.pdf" TargetMode="External"/><Relationship Id="rId115" Type="http://schemas.openxmlformats.org/officeDocument/2006/relationships/hyperlink" Target="https://msea.science/integrated_gf_shiny/" TargetMode="External"/><Relationship Id="rId131" Type="http://schemas.openxmlformats.org/officeDocument/2006/relationships/hyperlink" Target="https://cdnsciencepub.com/doi/10.1139/cjfas-2022-0159" TargetMode="External"/><Relationship Id="rId136" Type="http://schemas.openxmlformats.org/officeDocument/2006/relationships/hyperlink" Target="https://waves-vagues.dfo-mpo.gc.ca/library-bibliotheque/41090895.pdf" TargetMode="External"/><Relationship Id="rId61" Type="http://schemas.openxmlformats.org/officeDocument/2006/relationships/hyperlink" Target="https://media.fisheries.noaa.gov/2023-02/2023-hake-assessment-post-srg_web.pdf" TargetMode="External"/><Relationship Id="rId82" Type="http://schemas.openxmlformats.org/officeDocument/2006/relationships/hyperlink" Target="https://www.dfo-mpo.gc.ca/csas-sccs/Publications/ResDocs-DocRech/2018/2018_038-eng.html" TargetMode="External"/><Relationship Id="rId19" Type="http://schemas.openxmlformats.org/officeDocument/2006/relationships/hyperlink" Target="http://www.dfo-mpo.gc.ca/csas-sccs/index-eng.htm" TargetMode="External"/><Relationship Id="rId14" Type="http://schemas.openxmlformats.org/officeDocument/2006/relationships/footer" Target="footer2.xml"/><Relationship Id="rId30" Type="http://schemas.openxmlformats.org/officeDocument/2006/relationships/hyperlink" Target="http://ipt.iobis.org/obiscanada/resource?r=hbll-out_s" TargetMode="External"/><Relationship Id="rId35" Type="http://schemas.openxmlformats.org/officeDocument/2006/relationships/hyperlink" Target="https://github.com/pbs-assess/gfiphc" TargetMode="External"/><Relationship Id="rId56" Type="http://schemas.openxmlformats.org/officeDocument/2006/relationships/hyperlink" Target="https://www.dfo-mpo.gc.ca/csas-sccs/Publications/ResDocs-DocRech/2020/2020_070-eng.html" TargetMode="External"/><Relationship Id="rId77" Type="http://schemas.openxmlformats.org/officeDocument/2006/relationships/hyperlink" Target="https://www.dfo-mpo.gc.ca/csas-sccs/Publications/SAR-AS/2023/2023_002-eng.html" TargetMode="External"/><Relationship Id="rId100" Type="http://schemas.openxmlformats.org/officeDocument/2006/relationships/hyperlink" Target="https://www.dfo-mpo.gc.ca/csas-sccs/Publications/SAR-AS/2022/2022_001-eng.html" TargetMode="External"/><Relationship Id="rId105" Type="http://schemas.openxmlformats.org/officeDocument/2006/relationships/hyperlink" Target="https://www.dfo-mpo.gc.ca/csas-sccs/Publications/ResDocs-DocRech/2017/2017_015-eng.html" TargetMode="External"/><Relationship Id="rId126" Type="http://schemas.openxmlformats.org/officeDocument/2006/relationships/hyperlink" Target="https://doi.org/10.1371/journal.pclm.0000014" TargetMode="External"/><Relationship Id="rId8" Type="http://schemas.openxmlformats.org/officeDocument/2006/relationships/webSettings" Target="webSettings.xml"/><Relationship Id="rId51" Type="http://schemas.openxmlformats.org/officeDocument/2006/relationships/hyperlink" Target="https://www.canada.ca/en/environment-climate-change/services/species-risk-public-registry/cosewic-assessments-status-reports.html" TargetMode="External"/><Relationship Id="rId72" Type="http://schemas.openxmlformats.org/officeDocument/2006/relationships/hyperlink" Target="https://www.dfo-mpo.gc.ca/csas-sccs/publications/resdocs-docrech/2009/2009_013-eng.htm" TargetMode="External"/><Relationship Id="rId93" Type="http://schemas.openxmlformats.org/officeDocument/2006/relationships/hyperlink" Target="https://www.dfo-mpo.gc.ca/csas-sccs/publications/resdocs-docrech/1999/1999_184-eng.htm" TargetMode="External"/><Relationship Id="rId98" Type="http://schemas.openxmlformats.org/officeDocument/2006/relationships/hyperlink" Target="https://www.dfo-mpo.gc.ca/csas-sccs/Publications/Pro-Cr/2021/2021_049-eng.html" TargetMode="External"/><Relationship Id="rId121" Type="http://schemas.openxmlformats.org/officeDocument/2006/relationships/hyperlink" Target="https://www.dfo-mpo.gc.ca/csas-sccs/Publications/ScR-RS/2022/2022_020-eng.html" TargetMode="External"/><Relationship Id="rId14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NimbusSanL-Regu">
    <w:altName w:val="Yu Gothic"/>
    <w:panose1 w:val="00000000000000000000"/>
    <w:charset w:val="80"/>
    <w:family w:val="auto"/>
    <w:notTrueType/>
    <w:pitch w:val="default"/>
    <w:sig w:usb0="00000001" w:usb1="08070000" w:usb2="00000010" w:usb3="00000000" w:csb0="00020000" w:csb1="00000000"/>
  </w:font>
  <w:font w:name="NimbusSanL-ReguItal">
    <w:altName w:val="Yu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BC504D"/>
    <w:rsid w:val="00BC5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0C8C87A36BEF4E832E74AF45234108" ma:contentTypeVersion="14" ma:contentTypeDescription="Create a new document." ma:contentTypeScope="" ma:versionID="872196f13c16740ab0f8a61a5a0191d3">
  <xsd:schema xmlns:xsd="http://www.w3.org/2001/XMLSchema" xmlns:xs="http://www.w3.org/2001/XMLSchema" xmlns:p="http://schemas.microsoft.com/office/2006/metadata/properties" xmlns:ns3="bb77d7e9-ec8a-4b26-8b1f-1c9432277eaf" xmlns:ns4="1dc984fb-d6e1-464b-a0f3-e70b1b6684c3" targetNamespace="http://schemas.microsoft.com/office/2006/metadata/properties" ma:root="true" ma:fieldsID="b212b0af095a88e7c829b61f4bec62db" ns3:_="" ns4:_="">
    <xsd:import namespace="bb77d7e9-ec8a-4b26-8b1f-1c9432277eaf"/>
    <xsd:import namespace="1dc984fb-d6e1-464b-a0f3-e70b1b6684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OCR"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7d7e9-ec8a-4b26-8b1f-1c9432277e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c984fb-d6e1-464b-a0f3-e70b1b6684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dc984fb-d6e1-464b-a0f3-e70b1b6684c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C1163-2790-4959-A290-DCCB505197A0}">
  <ds:schemaRefs>
    <ds:schemaRef ds:uri="http://schemas.microsoft.com/sharepoint/v3/contenttype/forms"/>
  </ds:schemaRefs>
</ds:datastoreItem>
</file>

<file path=customXml/itemProps2.xml><?xml version="1.0" encoding="utf-8"?>
<ds:datastoreItem xmlns:ds="http://schemas.openxmlformats.org/officeDocument/2006/customXml" ds:itemID="{0B664EF8-916D-434A-B77C-84DF71480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7d7e9-ec8a-4b26-8b1f-1c9432277eaf"/>
    <ds:schemaRef ds:uri="1dc984fb-d6e1-464b-a0f3-e70b1b668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04C7AB-96F3-4EB1-84FF-F9FA610A2079}">
  <ds:schemaRefs>
    <ds:schemaRef ds:uri="http://schemas.microsoft.com/office/2006/metadata/properties"/>
    <ds:schemaRef ds:uri="http://schemas.microsoft.com/office/infopath/2007/PartnerControls"/>
    <ds:schemaRef ds:uri="1dc984fb-d6e1-464b-a0f3-e70b1b6684c3"/>
  </ds:schemaRefs>
</ds:datastoreItem>
</file>

<file path=customXml/itemProps4.xml><?xml version="1.0" encoding="utf-8"?>
<ds:datastoreItem xmlns:ds="http://schemas.openxmlformats.org/officeDocument/2006/customXml" ds:itemID="{3F914DD7-796E-44AF-BBC0-3C0D508F3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49</Pages>
  <Words>17824</Words>
  <Characters>101598</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119184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Surry, Maria</dc:creator>
  <cp:keywords/>
  <dc:description/>
  <cp:lastModifiedBy>Haggarty, Dana</cp:lastModifiedBy>
  <cp:revision>174</cp:revision>
  <dcterms:created xsi:type="dcterms:W3CDTF">2023-03-31T20:28:00Z</dcterms:created>
  <dcterms:modified xsi:type="dcterms:W3CDTF">2023-04-03T21:17:00Z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2020-07-07T16:07:03Z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17bbc187-7aa2-41e7-9725-0000d67d671e</vt:lpwstr>
  </property>
  <property fmtid="{D5CDD505-2E9C-101B-9397-08002B2CF9AE}" pid="8" name="ContentTypeId">
    <vt:lpwstr>0x010100D20C8C87A36BEF4E832E74AF45234108</vt:lpwstr>
  </property>
</Properties>
</file>