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722A" w14:textId="77777777" w:rsidR="00492603" w:rsidRDefault="00492603" w:rsidP="00492603">
      <w:pPr>
        <w:spacing w:after="120"/>
        <w:jc w:val="center"/>
        <w:rPr>
          <w:sz w:val="36"/>
          <w:szCs w:val="36"/>
        </w:rPr>
      </w:pPr>
      <w:r w:rsidRPr="00FB3335">
        <w:rPr>
          <w:sz w:val="36"/>
          <w:szCs w:val="36"/>
        </w:rPr>
        <w:t xml:space="preserve">California Department of Fish and </w:t>
      </w:r>
      <w:r>
        <w:rPr>
          <w:sz w:val="36"/>
          <w:szCs w:val="36"/>
        </w:rPr>
        <w:t>Wildlife</w:t>
      </w:r>
    </w:p>
    <w:p w14:paraId="1BF87F11" w14:textId="77777777" w:rsidR="00492603" w:rsidRPr="00FB3335" w:rsidRDefault="00492603" w:rsidP="00492603">
      <w:pPr>
        <w:spacing w:after="120"/>
        <w:jc w:val="center"/>
        <w:rPr>
          <w:sz w:val="36"/>
          <w:szCs w:val="36"/>
        </w:rPr>
      </w:pPr>
      <w:r w:rsidRPr="00FB3335">
        <w:rPr>
          <w:sz w:val="36"/>
          <w:szCs w:val="36"/>
        </w:rPr>
        <w:t>Agency Report</w:t>
      </w:r>
    </w:p>
    <w:p w14:paraId="272F5F6E" w14:textId="77777777" w:rsidR="00492603" w:rsidRPr="00FB3335" w:rsidRDefault="00492603" w:rsidP="00492603">
      <w:pPr>
        <w:spacing w:after="120"/>
        <w:jc w:val="center"/>
        <w:rPr>
          <w:sz w:val="36"/>
          <w:szCs w:val="36"/>
        </w:rPr>
      </w:pPr>
      <w:r w:rsidRPr="00FB3335">
        <w:rPr>
          <w:sz w:val="36"/>
          <w:szCs w:val="36"/>
        </w:rPr>
        <w:t>to the</w:t>
      </w:r>
    </w:p>
    <w:p w14:paraId="5F6CD7E6" w14:textId="77777777" w:rsidR="00492603" w:rsidRPr="00FB3335" w:rsidRDefault="00492603" w:rsidP="00492603">
      <w:pPr>
        <w:spacing w:after="120"/>
        <w:jc w:val="center"/>
        <w:rPr>
          <w:sz w:val="36"/>
          <w:szCs w:val="36"/>
        </w:rPr>
      </w:pPr>
      <w:r w:rsidRPr="00FB3335">
        <w:rPr>
          <w:sz w:val="36"/>
          <w:szCs w:val="36"/>
        </w:rPr>
        <w:t>Technical Subcommittee</w:t>
      </w:r>
    </w:p>
    <w:p w14:paraId="6DA383B2" w14:textId="77777777" w:rsidR="00492603" w:rsidRPr="00FB3335" w:rsidRDefault="00492603" w:rsidP="00492603">
      <w:pPr>
        <w:spacing w:after="120"/>
        <w:jc w:val="center"/>
        <w:rPr>
          <w:sz w:val="36"/>
          <w:szCs w:val="36"/>
        </w:rPr>
      </w:pPr>
      <w:r w:rsidRPr="00FB3335">
        <w:rPr>
          <w:sz w:val="36"/>
          <w:szCs w:val="36"/>
        </w:rPr>
        <w:t>of the</w:t>
      </w:r>
    </w:p>
    <w:p w14:paraId="35002825" w14:textId="77777777" w:rsidR="00492603" w:rsidRPr="00FB3335" w:rsidRDefault="00492603" w:rsidP="00492603">
      <w:pPr>
        <w:spacing w:after="120"/>
        <w:jc w:val="center"/>
        <w:rPr>
          <w:sz w:val="36"/>
          <w:szCs w:val="36"/>
        </w:rPr>
      </w:pPr>
      <w:r w:rsidRPr="00FB3335">
        <w:rPr>
          <w:sz w:val="36"/>
          <w:szCs w:val="36"/>
        </w:rPr>
        <w:t>Canada-United States Groundfish Committee</w:t>
      </w:r>
    </w:p>
    <w:p w14:paraId="6210DD3E" w14:textId="77777777" w:rsidR="00492603" w:rsidRPr="00FB3335" w:rsidRDefault="00492603" w:rsidP="00492603">
      <w:pPr>
        <w:jc w:val="center"/>
        <w:rPr>
          <w:sz w:val="36"/>
          <w:szCs w:val="36"/>
        </w:rPr>
      </w:pPr>
    </w:p>
    <w:p w14:paraId="3C049081" w14:textId="77777777" w:rsidR="00492603" w:rsidRPr="00FB3335" w:rsidRDefault="00492603" w:rsidP="00492603">
      <w:pPr>
        <w:jc w:val="center"/>
        <w:rPr>
          <w:sz w:val="36"/>
          <w:szCs w:val="36"/>
        </w:rPr>
      </w:pPr>
    </w:p>
    <w:p w14:paraId="16287DCE" w14:textId="43CE5A74" w:rsidR="00492603" w:rsidRPr="00FB3335" w:rsidRDefault="00290FC7" w:rsidP="00492603">
      <w:pPr>
        <w:jc w:val="center"/>
        <w:rPr>
          <w:sz w:val="36"/>
          <w:szCs w:val="36"/>
        </w:rPr>
      </w:pPr>
      <w:r>
        <w:rPr>
          <w:sz w:val="36"/>
          <w:szCs w:val="36"/>
        </w:rPr>
        <w:t>April 20</w:t>
      </w:r>
      <w:r w:rsidR="005A4085">
        <w:rPr>
          <w:sz w:val="36"/>
          <w:szCs w:val="36"/>
        </w:rPr>
        <w:t>2</w:t>
      </w:r>
      <w:r w:rsidR="00881D02">
        <w:rPr>
          <w:sz w:val="36"/>
          <w:szCs w:val="36"/>
        </w:rPr>
        <w:t>3</w:t>
      </w:r>
    </w:p>
    <w:p w14:paraId="2A6F129E" w14:textId="19973B19" w:rsidR="00492603" w:rsidRDefault="00492603" w:rsidP="00492603">
      <w:pPr>
        <w:jc w:val="center"/>
        <w:rPr>
          <w:sz w:val="36"/>
          <w:szCs w:val="36"/>
        </w:rPr>
      </w:pPr>
    </w:p>
    <w:p w14:paraId="59C2E35B" w14:textId="2498F985" w:rsidR="002948C4" w:rsidRDefault="002948C4" w:rsidP="00492603">
      <w:pPr>
        <w:jc w:val="center"/>
        <w:rPr>
          <w:sz w:val="36"/>
          <w:szCs w:val="36"/>
        </w:rPr>
      </w:pPr>
    </w:p>
    <w:p w14:paraId="1BA92688" w14:textId="4337E042" w:rsidR="002948C4" w:rsidRDefault="002948C4" w:rsidP="00492603">
      <w:pPr>
        <w:jc w:val="center"/>
        <w:rPr>
          <w:sz w:val="36"/>
          <w:szCs w:val="36"/>
        </w:rPr>
      </w:pPr>
    </w:p>
    <w:p w14:paraId="51A32E4D" w14:textId="7C341025" w:rsidR="002948C4" w:rsidRDefault="002948C4" w:rsidP="00492603">
      <w:pPr>
        <w:jc w:val="center"/>
        <w:rPr>
          <w:sz w:val="36"/>
          <w:szCs w:val="36"/>
        </w:rPr>
      </w:pPr>
    </w:p>
    <w:p w14:paraId="745C42EA" w14:textId="27C75718" w:rsidR="002948C4" w:rsidRDefault="002948C4" w:rsidP="00492603">
      <w:pPr>
        <w:jc w:val="center"/>
        <w:rPr>
          <w:sz w:val="36"/>
          <w:szCs w:val="36"/>
        </w:rPr>
      </w:pPr>
    </w:p>
    <w:p w14:paraId="25650924" w14:textId="77777777" w:rsidR="00B81B16" w:rsidRDefault="00B81B16" w:rsidP="00492603">
      <w:pPr>
        <w:jc w:val="center"/>
        <w:rPr>
          <w:sz w:val="36"/>
          <w:szCs w:val="36"/>
        </w:rPr>
      </w:pPr>
    </w:p>
    <w:p w14:paraId="545AB273" w14:textId="77777777" w:rsidR="002948C4" w:rsidRDefault="002948C4" w:rsidP="00492603">
      <w:pPr>
        <w:jc w:val="center"/>
        <w:rPr>
          <w:sz w:val="36"/>
          <w:szCs w:val="36"/>
        </w:rPr>
      </w:pPr>
    </w:p>
    <w:p w14:paraId="0229F585" w14:textId="77777777" w:rsidR="00492603" w:rsidRPr="00FB3335" w:rsidRDefault="00492603" w:rsidP="00492603">
      <w:pPr>
        <w:jc w:val="center"/>
        <w:rPr>
          <w:sz w:val="36"/>
          <w:szCs w:val="36"/>
        </w:rPr>
      </w:pPr>
    </w:p>
    <w:p w14:paraId="1EBC92AF" w14:textId="77777777" w:rsidR="00492603" w:rsidRDefault="00492603" w:rsidP="00492603">
      <w:pPr>
        <w:jc w:val="center"/>
      </w:pPr>
      <w:r>
        <w:t>Prepared by</w:t>
      </w:r>
    </w:p>
    <w:p w14:paraId="4354133A" w14:textId="77777777" w:rsidR="00492603" w:rsidRDefault="00492603" w:rsidP="00492603">
      <w:pPr>
        <w:jc w:val="center"/>
      </w:pPr>
    </w:p>
    <w:p w14:paraId="092D5B32" w14:textId="2272C577" w:rsidR="00835504" w:rsidRDefault="00881D02" w:rsidP="00492603">
      <w:pPr>
        <w:jc w:val="center"/>
      </w:pPr>
      <w:r>
        <w:t>Caroline McKnight</w:t>
      </w:r>
    </w:p>
    <w:p w14:paraId="4EFF7747" w14:textId="6FA3F209" w:rsidR="00D32629" w:rsidRDefault="00D32629" w:rsidP="00492603">
      <w:pPr>
        <w:jc w:val="center"/>
      </w:pPr>
      <w:r>
        <w:t>Andre Klein</w:t>
      </w:r>
      <w:r w:rsidR="00F16376">
        <w:t xml:space="preserve"> </w:t>
      </w:r>
    </w:p>
    <w:p w14:paraId="12208F68" w14:textId="40C6B94E" w:rsidR="0073789A" w:rsidRDefault="00492603" w:rsidP="00492603">
      <w:pPr>
        <w:jc w:val="center"/>
      </w:pPr>
      <w:r w:rsidRPr="00FC143A">
        <w:t>Melanie Parker</w:t>
      </w:r>
      <w:r w:rsidR="00566216" w:rsidRPr="00FC143A">
        <w:t xml:space="preserve"> </w:t>
      </w:r>
    </w:p>
    <w:p w14:paraId="610EFEFA" w14:textId="02DBF38F" w:rsidR="00492603" w:rsidRDefault="00492603" w:rsidP="00492603">
      <w:pPr>
        <w:jc w:val="center"/>
      </w:pPr>
      <w:r>
        <w:rPr>
          <w:noProof/>
        </w:rPr>
        <w:drawing>
          <wp:anchor distT="0" distB="0" distL="114300" distR="114300" simplePos="0" relativeHeight="251659264" behindDoc="1" locked="0" layoutInCell="1" allowOverlap="1" wp14:anchorId="554DFB9D" wp14:editId="2BBA9831">
            <wp:simplePos x="0" y="0"/>
            <wp:positionH relativeFrom="column">
              <wp:posOffset>2415540</wp:posOffset>
            </wp:positionH>
            <wp:positionV relativeFrom="paragraph">
              <wp:posOffset>979805</wp:posOffset>
            </wp:positionV>
            <wp:extent cx="1115060" cy="147193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W-Insignia-146x193.png"/>
                    <pic:cNvPicPr/>
                  </pic:nvPicPr>
                  <pic:blipFill>
                    <a:blip r:embed="rId8">
                      <a:extLst>
                        <a:ext uri="{28A0092B-C50C-407E-A947-70E740481C1C}">
                          <a14:useLocalDpi xmlns:a14="http://schemas.microsoft.com/office/drawing/2010/main" val="0"/>
                        </a:ext>
                      </a:extLst>
                    </a:blip>
                    <a:stretch>
                      <a:fillRect/>
                    </a:stretch>
                  </pic:blipFill>
                  <pic:spPr>
                    <a:xfrm>
                      <a:off x="0" y="0"/>
                      <a:ext cx="1115060" cy="147193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75894B7" w14:textId="77777777" w:rsidR="00492603" w:rsidRDefault="00492603" w:rsidP="00492603"/>
    <w:p w14:paraId="3C4DE66E" w14:textId="77777777" w:rsidR="00492603" w:rsidRDefault="00492603" w:rsidP="00492603">
      <w:pPr>
        <w:sectPr w:rsidR="00492603" w:rsidSect="0031405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440" w:bottom="1152" w:left="1440" w:header="720" w:footer="720" w:gutter="0"/>
          <w:pgNumType w:fmt="lowerRoman" w:start="1"/>
          <w:cols w:space="720"/>
          <w:docGrid w:linePitch="360"/>
        </w:sectPr>
      </w:pPr>
    </w:p>
    <w:sdt>
      <w:sdtPr>
        <w:rPr>
          <w:rFonts w:ascii="Arial" w:eastAsiaTheme="minorHAnsi" w:hAnsi="Arial" w:cs="Arial"/>
          <w:b w:val="0"/>
          <w:bCs w:val="0"/>
          <w:color w:val="auto"/>
          <w:sz w:val="24"/>
          <w:szCs w:val="24"/>
          <w:lang w:eastAsia="en-US"/>
        </w:rPr>
        <w:id w:val="-207115777"/>
        <w:docPartObj>
          <w:docPartGallery w:val="Table of Contents"/>
          <w:docPartUnique/>
        </w:docPartObj>
      </w:sdtPr>
      <w:sdtEndPr>
        <w:rPr>
          <w:noProof/>
        </w:rPr>
      </w:sdtEndPr>
      <w:sdtContent>
        <w:p w14:paraId="138DDB69" w14:textId="77777777" w:rsidR="00492603" w:rsidRPr="00492603" w:rsidRDefault="00492603">
          <w:pPr>
            <w:pStyle w:val="TOCHeading"/>
            <w:rPr>
              <w:rFonts w:ascii="Arial" w:hAnsi="Arial" w:cs="Arial"/>
              <w:color w:val="000000" w:themeColor="text1"/>
              <w:sz w:val="24"/>
            </w:rPr>
          </w:pPr>
          <w:r w:rsidRPr="00492603">
            <w:rPr>
              <w:rFonts w:ascii="Arial" w:hAnsi="Arial" w:cs="Arial"/>
              <w:color w:val="000000" w:themeColor="text1"/>
              <w:sz w:val="24"/>
            </w:rPr>
            <w:t>Contents</w:t>
          </w:r>
        </w:p>
        <w:p w14:paraId="5CD9E978" w14:textId="32987EAE" w:rsidR="00186271" w:rsidRDefault="0049260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506770" w:history="1">
            <w:r w:rsidR="00186271" w:rsidRPr="009A19D5">
              <w:rPr>
                <w:rStyle w:val="Hyperlink"/>
                <w:noProof/>
              </w:rPr>
              <w:t>I.</w:t>
            </w:r>
            <w:r w:rsidR="00186271">
              <w:rPr>
                <w:rFonts w:asciiTheme="minorHAnsi" w:eastAsiaTheme="minorEastAsia" w:hAnsiTheme="minorHAnsi" w:cstheme="minorBidi"/>
                <w:noProof/>
                <w:sz w:val="22"/>
                <w:szCs w:val="22"/>
              </w:rPr>
              <w:tab/>
            </w:r>
            <w:r w:rsidR="00186271" w:rsidRPr="009A19D5">
              <w:rPr>
                <w:rStyle w:val="Hyperlink"/>
                <w:noProof/>
              </w:rPr>
              <w:t>Agency Overview</w:t>
            </w:r>
            <w:r w:rsidR="00186271">
              <w:rPr>
                <w:noProof/>
                <w:webHidden/>
              </w:rPr>
              <w:tab/>
            </w:r>
            <w:r w:rsidR="00186271">
              <w:rPr>
                <w:noProof/>
                <w:webHidden/>
              </w:rPr>
              <w:fldChar w:fldCharType="begin"/>
            </w:r>
            <w:r w:rsidR="00186271">
              <w:rPr>
                <w:noProof/>
                <w:webHidden/>
              </w:rPr>
              <w:instrText xml:space="preserve"> PAGEREF _Toc131506770 \h </w:instrText>
            </w:r>
            <w:r w:rsidR="00186271">
              <w:rPr>
                <w:noProof/>
                <w:webHidden/>
              </w:rPr>
            </w:r>
            <w:r w:rsidR="00186271">
              <w:rPr>
                <w:noProof/>
                <w:webHidden/>
              </w:rPr>
              <w:fldChar w:fldCharType="separate"/>
            </w:r>
            <w:r w:rsidR="00606157">
              <w:rPr>
                <w:noProof/>
                <w:webHidden/>
              </w:rPr>
              <w:t>1</w:t>
            </w:r>
            <w:r w:rsidR="00186271">
              <w:rPr>
                <w:noProof/>
                <w:webHidden/>
              </w:rPr>
              <w:fldChar w:fldCharType="end"/>
            </w:r>
          </w:hyperlink>
        </w:p>
        <w:p w14:paraId="2EDE97F5" w14:textId="0E2DA1E7" w:rsidR="00186271" w:rsidRDefault="00000000">
          <w:pPr>
            <w:pStyle w:val="TOC1"/>
            <w:rPr>
              <w:rFonts w:asciiTheme="minorHAnsi" w:eastAsiaTheme="minorEastAsia" w:hAnsiTheme="minorHAnsi" w:cstheme="minorBidi"/>
              <w:noProof/>
              <w:sz w:val="22"/>
              <w:szCs w:val="22"/>
            </w:rPr>
          </w:pPr>
          <w:hyperlink w:anchor="_Toc131506771" w:history="1">
            <w:r w:rsidR="00186271" w:rsidRPr="009A19D5">
              <w:rPr>
                <w:rStyle w:val="Hyperlink"/>
                <w:noProof/>
              </w:rPr>
              <w:t>II.</w:t>
            </w:r>
            <w:r w:rsidR="00186271">
              <w:rPr>
                <w:rFonts w:asciiTheme="minorHAnsi" w:eastAsiaTheme="minorEastAsia" w:hAnsiTheme="minorHAnsi" w:cstheme="minorBidi"/>
                <w:noProof/>
                <w:sz w:val="22"/>
                <w:szCs w:val="22"/>
              </w:rPr>
              <w:tab/>
            </w:r>
            <w:r w:rsidR="00186271" w:rsidRPr="009A19D5">
              <w:rPr>
                <w:rStyle w:val="Hyperlink"/>
                <w:noProof/>
              </w:rPr>
              <w:t>Surveys</w:t>
            </w:r>
            <w:r w:rsidR="00186271">
              <w:rPr>
                <w:noProof/>
                <w:webHidden/>
              </w:rPr>
              <w:tab/>
            </w:r>
            <w:r w:rsidR="00186271">
              <w:rPr>
                <w:noProof/>
                <w:webHidden/>
              </w:rPr>
              <w:fldChar w:fldCharType="begin"/>
            </w:r>
            <w:r w:rsidR="00186271">
              <w:rPr>
                <w:noProof/>
                <w:webHidden/>
              </w:rPr>
              <w:instrText xml:space="preserve"> PAGEREF _Toc131506771 \h </w:instrText>
            </w:r>
            <w:r w:rsidR="00186271">
              <w:rPr>
                <w:noProof/>
                <w:webHidden/>
              </w:rPr>
            </w:r>
            <w:r w:rsidR="00186271">
              <w:rPr>
                <w:noProof/>
                <w:webHidden/>
              </w:rPr>
              <w:fldChar w:fldCharType="separate"/>
            </w:r>
            <w:r w:rsidR="00606157">
              <w:rPr>
                <w:noProof/>
                <w:webHidden/>
              </w:rPr>
              <w:t>1</w:t>
            </w:r>
            <w:r w:rsidR="00186271">
              <w:rPr>
                <w:noProof/>
                <w:webHidden/>
              </w:rPr>
              <w:fldChar w:fldCharType="end"/>
            </w:r>
          </w:hyperlink>
        </w:p>
        <w:p w14:paraId="2C78530B" w14:textId="702B5F92" w:rsidR="00186271" w:rsidRDefault="00000000">
          <w:pPr>
            <w:pStyle w:val="TOC1"/>
            <w:rPr>
              <w:rFonts w:asciiTheme="minorHAnsi" w:eastAsiaTheme="minorEastAsia" w:hAnsiTheme="minorHAnsi" w:cstheme="minorBidi"/>
              <w:noProof/>
              <w:sz w:val="22"/>
              <w:szCs w:val="22"/>
            </w:rPr>
          </w:pPr>
          <w:hyperlink w:anchor="_Toc131506772" w:history="1">
            <w:r w:rsidR="00186271" w:rsidRPr="009A19D5">
              <w:rPr>
                <w:rStyle w:val="Hyperlink"/>
                <w:noProof/>
              </w:rPr>
              <w:t>III.</w:t>
            </w:r>
            <w:r w:rsidR="00186271">
              <w:rPr>
                <w:rFonts w:asciiTheme="minorHAnsi" w:eastAsiaTheme="minorEastAsia" w:hAnsiTheme="minorHAnsi" w:cstheme="minorBidi"/>
                <w:noProof/>
                <w:sz w:val="22"/>
                <w:szCs w:val="22"/>
              </w:rPr>
              <w:tab/>
            </w:r>
            <w:r w:rsidR="00186271" w:rsidRPr="009A19D5">
              <w:rPr>
                <w:rStyle w:val="Hyperlink"/>
                <w:noProof/>
              </w:rPr>
              <w:t>Reserves</w:t>
            </w:r>
            <w:r w:rsidR="00186271">
              <w:rPr>
                <w:noProof/>
                <w:webHidden/>
              </w:rPr>
              <w:tab/>
            </w:r>
            <w:r w:rsidR="00186271">
              <w:rPr>
                <w:noProof/>
                <w:webHidden/>
              </w:rPr>
              <w:fldChar w:fldCharType="begin"/>
            </w:r>
            <w:r w:rsidR="00186271">
              <w:rPr>
                <w:noProof/>
                <w:webHidden/>
              </w:rPr>
              <w:instrText xml:space="preserve"> PAGEREF _Toc131506772 \h </w:instrText>
            </w:r>
            <w:r w:rsidR="00186271">
              <w:rPr>
                <w:noProof/>
                <w:webHidden/>
              </w:rPr>
            </w:r>
            <w:r w:rsidR="00186271">
              <w:rPr>
                <w:noProof/>
                <w:webHidden/>
              </w:rPr>
              <w:fldChar w:fldCharType="separate"/>
            </w:r>
            <w:r w:rsidR="00606157">
              <w:rPr>
                <w:noProof/>
                <w:webHidden/>
              </w:rPr>
              <w:t>1</w:t>
            </w:r>
            <w:r w:rsidR="00186271">
              <w:rPr>
                <w:noProof/>
                <w:webHidden/>
              </w:rPr>
              <w:fldChar w:fldCharType="end"/>
            </w:r>
          </w:hyperlink>
        </w:p>
        <w:p w14:paraId="1F1699F3" w14:textId="1A13CA66" w:rsidR="00186271" w:rsidRDefault="00000000">
          <w:pPr>
            <w:pStyle w:val="TOC1"/>
            <w:rPr>
              <w:rFonts w:asciiTheme="minorHAnsi" w:eastAsiaTheme="minorEastAsia" w:hAnsiTheme="minorHAnsi" w:cstheme="minorBidi"/>
              <w:noProof/>
              <w:sz w:val="22"/>
              <w:szCs w:val="22"/>
            </w:rPr>
          </w:pPr>
          <w:hyperlink w:anchor="_Toc131506773" w:history="1">
            <w:r w:rsidR="00186271" w:rsidRPr="009A19D5">
              <w:rPr>
                <w:rStyle w:val="Hyperlink"/>
                <w:noProof/>
              </w:rPr>
              <w:t>IV.</w:t>
            </w:r>
            <w:r w:rsidR="00186271">
              <w:rPr>
                <w:rFonts w:asciiTheme="minorHAnsi" w:eastAsiaTheme="minorEastAsia" w:hAnsiTheme="minorHAnsi" w:cstheme="minorBidi"/>
                <w:noProof/>
                <w:sz w:val="22"/>
                <w:szCs w:val="22"/>
              </w:rPr>
              <w:tab/>
            </w:r>
            <w:r w:rsidR="00186271" w:rsidRPr="009A19D5">
              <w:rPr>
                <w:rStyle w:val="Hyperlink"/>
                <w:noProof/>
              </w:rPr>
              <w:t>Review of Agency Groundfish Research, Assessment and Management</w:t>
            </w:r>
            <w:r w:rsidR="00186271">
              <w:rPr>
                <w:noProof/>
                <w:webHidden/>
              </w:rPr>
              <w:tab/>
            </w:r>
            <w:r w:rsidR="00186271">
              <w:rPr>
                <w:noProof/>
                <w:webHidden/>
              </w:rPr>
              <w:fldChar w:fldCharType="begin"/>
            </w:r>
            <w:r w:rsidR="00186271">
              <w:rPr>
                <w:noProof/>
                <w:webHidden/>
              </w:rPr>
              <w:instrText xml:space="preserve"> PAGEREF _Toc131506773 \h </w:instrText>
            </w:r>
            <w:r w:rsidR="00186271">
              <w:rPr>
                <w:noProof/>
                <w:webHidden/>
              </w:rPr>
            </w:r>
            <w:r w:rsidR="00186271">
              <w:rPr>
                <w:noProof/>
                <w:webHidden/>
              </w:rPr>
              <w:fldChar w:fldCharType="separate"/>
            </w:r>
            <w:r w:rsidR="00606157">
              <w:rPr>
                <w:noProof/>
                <w:webHidden/>
              </w:rPr>
              <w:t>2</w:t>
            </w:r>
            <w:r w:rsidR="00186271">
              <w:rPr>
                <w:noProof/>
                <w:webHidden/>
              </w:rPr>
              <w:fldChar w:fldCharType="end"/>
            </w:r>
          </w:hyperlink>
        </w:p>
        <w:p w14:paraId="411CC7A9" w14:textId="669EC1BE" w:rsidR="00186271" w:rsidRDefault="00000000" w:rsidP="00186271">
          <w:pPr>
            <w:pStyle w:val="TOC2"/>
            <w:rPr>
              <w:rFonts w:asciiTheme="minorHAnsi" w:eastAsiaTheme="minorEastAsia" w:hAnsiTheme="minorHAnsi" w:cstheme="minorBidi"/>
              <w:noProof/>
              <w:sz w:val="22"/>
              <w:szCs w:val="22"/>
            </w:rPr>
          </w:pPr>
          <w:hyperlink w:anchor="_Toc131506774" w:history="1">
            <w:r w:rsidR="00186271" w:rsidRPr="009A19D5">
              <w:rPr>
                <w:rStyle w:val="Hyperlink"/>
                <w:noProof/>
              </w:rPr>
              <w:t>A.</w:t>
            </w:r>
            <w:r w:rsidR="00186271">
              <w:rPr>
                <w:rFonts w:asciiTheme="minorHAnsi" w:eastAsiaTheme="minorEastAsia" w:hAnsiTheme="minorHAnsi" w:cstheme="minorBidi"/>
                <w:noProof/>
                <w:sz w:val="22"/>
                <w:szCs w:val="22"/>
              </w:rPr>
              <w:tab/>
            </w:r>
            <w:r w:rsidR="00186271" w:rsidRPr="009A19D5">
              <w:rPr>
                <w:rStyle w:val="Hyperlink"/>
                <w:noProof/>
              </w:rPr>
              <w:t>Groundfish, all species combined</w:t>
            </w:r>
            <w:r w:rsidR="00186271">
              <w:rPr>
                <w:noProof/>
                <w:webHidden/>
              </w:rPr>
              <w:tab/>
            </w:r>
            <w:r w:rsidR="00186271">
              <w:rPr>
                <w:noProof/>
                <w:webHidden/>
              </w:rPr>
              <w:fldChar w:fldCharType="begin"/>
            </w:r>
            <w:r w:rsidR="00186271">
              <w:rPr>
                <w:noProof/>
                <w:webHidden/>
              </w:rPr>
              <w:instrText xml:space="preserve"> PAGEREF _Toc131506774 \h </w:instrText>
            </w:r>
            <w:r w:rsidR="00186271">
              <w:rPr>
                <w:noProof/>
                <w:webHidden/>
              </w:rPr>
            </w:r>
            <w:r w:rsidR="00186271">
              <w:rPr>
                <w:noProof/>
                <w:webHidden/>
              </w:rPr>
              <w:fldChar w:fldCharType="separate"/>
            </w:r>
            <w:r w:rsidR="00606157">
              <w:rPr>
                <w:noProof/>
                <w:webHidden/>
              </w:rPr>
              <w:t>2</w:t>
            </w:r>
            <w:r w:rsidR="00186271">
              <w:rPr>
                <w:noProof/>
                <w:webHidden/>
              </w:rPr>
              <w:fldChar w:fldCharType="end"/>
            </w:r>
          </w:hyperlink>
        </w:p>
        <w:p w14:paraId="082463B5" w14:textId="629056AB" w:rsidR="00186271" w:rsidRDefault="00000000" w:rsidP="00186271">
          <w:pPr>
            <w:pStyle w:val="TOC3"/>
            <w:rPr>
              <w:rFonts w:asciiTheme="minorHAnsi" w:eastAsiaTheme="minorEastAsia" w:hAnsiTheme="minorHAnsi" w:cstheme="minorBidi"/>
              <w:noProof/>
              <w:sz w:val="22"/>
              <w:szCs w:val="22"/>
            </w:rPr>
          </w:pPr>
          <w:hyperlink w:anchor="_Toc131506775" w:history="1">
            <w:r w:rsidR="00186271" w:rsidRPr="009A19D5">
              <w:rPr>
                <w:rStyle w:val="Hyperlink"/>
                <w:noProof/>
              </w:rPr>
              <w:t>1.</w:t>
            </w:r>
            <w:r w:rsidR="00186271">
              <w:rPr>
                <w:rFonts w:asciiTheme="minorHAnsi" w:eastAsiaTheme="minorEastAsia" w:hAnsiTheme="minorHAnsi" w:cstheme="minorBidi"/>
                <w:noProof/>
                <w:sz w:val="22"/>
                <w:szCs w:val="22"/>
              </w:rPr>
              <w:tab/>
            </w:r>
            <w:r w:rsidR="00186271" w:rsidRPr="009A19D5">
              <w:rPr>
                <w:rStyle w:val="Hyperlink"/>
                <w:rFonts w:eastAsiaTheme="majorEastAsia"/>
                <w:bCs/>
                <w:noProof/>
              </w:rPr>
              <w:t>Research off California</w:t>
            </w:r>
            <w:r w:rsidR="00186271">
              <w:rPr>
                <w:noProof/>
                <w:webHidden/>
              </w:rPr>
              <w:tab/>
            </w:r>
            <w:r w:rsidR="00186271">
              <w:rPr>
                <w:noProof/>
                <w:webHidden/>
              </w:rPr>
              <w:fldChar w:fldCharType="begin"/>
            </w:r>
            <w:r w:rsidR="00186271">
              <w:rPr>
                <w:noProof/>
                <w:webHidden/>
              </w:rPr>
              <w:instrText xml:space="preserve"> PAGEREF _Toc131506775 \h </w:instrText>
            </w:r>
            <w:r w:rsidR="00186271">
              <w:rPr>
                <w:noProof/>
                <w:webHidden/>
              </w:rPr>
            </w:r>
            <w:r w:rsidR="00186271">
              <w:rPr>
                <w:noProof/>
                <w:webHidden/>
              </w:rPr>
              <w:fldChar w:fldCharType="separate"/>
            </w:r>
            <w:r w:rsidR="00606157">
              <w:rPr>
                <w:noProof/>
                <w:webHidden/>
              </w:rPr>
              <w:t>2</w:t>
            </w:r>
            <w:r w:rsidR="00186271">
              <w:rPr>
                <w:noProof/>
                <w:webHidden/>
              </w:rPr>
              <w:fldChar w:fldCharType="end"/>
            </w:r>
          </w:hyperlink>
        </w:p>
        <w:p w14:paraId="7711CAE7" w14:textId="4F76B60D" w:rsidR="00186271" w:rsidRDefault="00000000" w:rsidP="00186271">
          <w:pPr>
            <w:pStyle w:val="TOC3"/>
            <w:rPr>
              <w:rFonts w:asciiTheme="minorHAnsi" w:eastAsiaTheme="minorEastAsia" w:hAnsiTheme="minorHAnsi" w:cstheme="minorBidi"/>
              <w:noProof/>
              <w:sz w:val="22"/>
              <w:szCs w:val="22"/>
            </w:rPr>
          </w:pPr>
          <w:hyperlink w:anchor="_Toc131506776" w:history="1">
            <w:r w:rsidR="00186271" w:rsidRPr="009A19D5">
              <w:rPr>
                <w:rStyle w:val="Hyperlink"/>
                <w:noProof/>
              </w:rPr>
              <w:t>2.</w:t>
            </w:r>
            <w:r w:rsidR="00186271">
              <w:rPr>
                <w:rFonts w:asciiTheme="minorHAnsi" w:eastAsiaTheme="minorEastAsia" w:hAnsiTheme="minorHAnsi" w:cstheme="minorBidi"/>
                <w:noProof/>
                <w:sz w:val="22"/>
                <w:szCs w:val="22"/>
              </w:rPr>
              <w:tab/>
            </w:r>
            <w:r w:rsidR="00186271" w:rsidRPr="009A19D5">
              <w:rPr>
                <w:rStyle w:val="Hyperlink"/>
                <w:noProof/>
              </w:rPr>
              <w:t>CDFW Research</w:t>
            </w:r>
            <w:r w:rsidR="00186271">
              <w:rPr>
                <w:noProof/>
                <w:webHidden/>
              </w:rPr>
              <w:tab/>
            </w:r>
            <w:r w:rsidR="00186271">
              <w:rPr>
                <w:noProof/>
                <w:webHidden/>
              </w:rPr>
              <w:fldChar w:fldCharType="begin"/>
            </w:r>
            <w:r w:rsidR="00186271">
              <w:rPr>
                <w:noProof/>
                <w:webHidden/>
              </w:rPr>
              <w:instrText xml:space="preserve"> PAGEREF _Toc131506776 \h </w:instrText>
            </w:r>
            <w:r w:rsidR="00186271">
              <w:rPr>
                <w:noProof/>
                <w:webHidden/>
              </w:rPr>
            </w:r>
            <w:r w:rsidR="00186271">
              <w:rPr>
                <w:noProof/>
                <w:webHidden/>
              </w:rPr>
              <w:fldChar w:fldCharType="separate"/>
            </w:r>
            <w:r w:rsidR="00606157">
              <w:rPr>
                <w:noProof/>
                <w:webHidden/>
              </w:rPr>
              <w:t>2</w:t>
            </w:r>
            <w:r w:rsidR="00186271">
              <w:rPr>
                <w:noProof/>
                <w:webHidden/>
              </w:rPr>
              <w:fldChar w:fldCharType="end"/>
            </w:r>
          </w:hyperlink>
        </w:p>
        <w:p w14:paraId="00A1E9F2" w14:textId="733DF4EA" w:rsidR="00186271" w:rsidRDefault="00000000" w:rsidP="00186271">
          <w:pPr>
            <w:pStyle w:val="TOC3"/>
            <w:rPr>
              <w:rFonts w:asciiTheme="minorHAnsi" w:eastAsiaTheme="minorEastAsia" w:hAnsiTheme="minorHAnsi" w:cstheme="minorBidi"/>
              <w:noProof/>
              <w:sz w:val="22"/>
              <w:szCs w:val="22"/>
            </w:rPr>
          </w:pPr>
          <w:hyperlink w:anchor="_Toc131506777" w:history="1">
            <w:r w:rsidR="00186271" w:rsidRPr="009A19D5">
              <w:rPr>
                <w:rStyle w:val="Hyperlink"/>
                <w:noProof/>
              </w:rPr>
              <w:t>3.</w:t>
            </w:r>
            <w:r w:rsidR="00186271">
              <w:rPr>
                <w:rFonts w:asciiTheme="minorHAnsi" w:eastAsiaTheme="minorEastAsia" w:hAnsiTheme="minorHAnsi" w:cstheme="minorBidi"/>
                <w:noProof/>
                <w:sz w:val="22"/>
                <w:szCs w:val="22"/>
              </w:rPr>
              <w:tab/>
            </w:r>
            <w:r w:rsidR="00186271" w:rsidRPr="009A19D5">
              <w:rPr>
                <w:rStyle w:val="Hyperlink"/>
                <w:noProof/>
              </w:rPr>
              <w:t>Assessment</w:t>
            </w:r>
            <w:r w:rsidR="00186271">
              <w:rPr>
                <w:noProof/>
                <w:webHidden/>
              </w:rPr>
              <w:tab/>
            </w:r>
            <w:r w:rsidR="00186271">
              <w:rPr>
                <w:noProof/>
                <w:webHidden/>
              </w:rPr>
              <w:fldChar w:fldCharType="begin"/>
            </w:r>
            <w:r w:rsidR="00186271">
              <w:rPr>
                <w:noProof/>
                <w:webHidden/>
              </w:rPr>
              <w:instrText xml:space="preserve"> PAGEREF _Toc131506777 \h </w:instrText>
            </w:r>
            <w:r w:rsidR="00186271">
              <w:rPr>
                <w:noProof/>
                <w:webHidden/>
              </w:rPr>
            </w:r>
            <w:r w:rsidR="00186271">
              <w:rPr>
                <w:noProof/>
                <w:webHidden/>
              </w:rPr>
              <w:fldChar w:fldCharType="separate"/>
            </w:r>
            <w:r w:rsidR="00606157">
              <w:rPr>
                <w:noProof/>
                <w:webHidden/>
              </w:rPr>
              <w:t>3</w:t>
            </w:r>
            <w:r w:rsidR="00186271">
              <w:rPr>
                <w:noProof/>
                <w:webHidden/>
              </w:rPr>
              <w:fldChar w:fldCharType="end"/>
            </w:r>
          </w:hyperlink>
        </w:p>
        <w:p w14:paraId="5E989D4A" w14:textId="614CFC36" w:rsidR="00186271" w:rsidRDefault="00000000" w:rsidP="00186271">
          <w:pPr>
            <w:pStyle w:val="TOC3"/>
            <w:rPr>
              <w:rFonts w:asciiTheme="minorHAnsi" w:eastAsiaTheme="minorEastAsia" w:hAnsiTheme="minorHAnsi" w:cstheme="minorBidi"/>
              <w:noProof/>
              <w:sz w:val="22"/>
              <w:szCs w:val="22"/>
            </w:rPr>
          </w:pPr>
          <w:hyperlink w:anchor="_Toc131506778" w:history="1">
            <w:r w:rsidR="00186271" w:rsidRPr="009A19D5">
              <w:rPr>
                <w:rStyle w:val="Hyperlink"/>
                <w:noProof/>
              </w:rPr>
              <w:t>4.</w:t>
            </w:r>
            <w:r w:rsidR="00186271">
              <w:rPr>
                <w:rFonts w:asciiTheme="minorHAnsi" w:eastAsiaTheme="minorEastAsia" w:hAnsiTheme="minorHAnsi" w:cstheme="minorBidi"/>
                <w:noProof/>
                <w:sz w:val="22"/>
                <w:szCs w:val="22"/>
              </w:rPr>
              <w:tab/>
            </w:r>
            <w:r w:rsidR="00186271" w:rsidRPr="009A19D5">
              <w:rPr>
                <w:rStyle w:val="Hyperlink"/>
                <w:noProof/>
              </w:rPr>
              <w:t>Management</w:t>
            </w:r>
            <w:r w:rsidR="00186271">
              <w:rPr>
                <w:noProof/>
                <w:webHidden/>
              </w:rPr>
              <w:tab/>
            </w:r>
            <w:r w:rsidR="00186271">
              <w:rPr>
                <w:noProof/>
                <w:webHidden/>
              </w:rPr>
              <w:fldChar w:fldCharType="begin"/>
            </w:r>
            <w:r w:rsidR="00186271">
              <w:rPr>
                <w:noProof/>
                <w:webHidden/>
              </w:rPr>
              <w:instrText xml:space="preserve"> PAGEREF _Toc131506778 \h </w:instrText>
            </w:r>
            <w:r w:rsidR="00186271">
              <w:rPr>
                <w:noProof/>
                <w:webHidden/>
              </w:rPr>
            </w:r>
            <w:r w:rsidR="00186271">
              <w:rPr>
                <w:noProof/>
                <w:webHidden/>
              </w:rPr>
              <w:fldChar w:fldCharType="separate"/>
            </w:r>
            <w:r w:rsidR="00606157">
              <w:rPr>
                <w:noProof/>
                <w:webHidden/>
              </w:rPr>
              <w:t>3</w:t>
            </w:r>
            <w:r w:rsidR="00186271">
              <w:rPr>
                <w:noProof/>
                <w:webHidden/>
              </w:rPr>
              <w:fldChar w:fldCharType="end"/>
            </w:r>
          </w:hyperlink>
        </w:p>
        <w:p w14:paraId="1FD6F874" w14:textId="4CF52390" w:rsidR="00186271" w:rsidRDefault="00000000" w:rsidP="00186271">
          <w:pPr>
            <w:pStyle w:val="TOC3"/>
            <w:rPr>
              <w:rFonts w:asciiTheme="minorHAnsi" w:eastAsiaTheme="minorEastAsia" w:hAnsiTheme="minorHAnsi" w:cstheme="minorBidi"/>
              <w:noProof/>
              <w:sz w:val="22"/>
              <w:szCs w:val="22"/>
            </w:rPr>
          </w:pPr>
          <w:hyperlink w:anchor="_Toc131506779" w:history="1">
            <w:r w:rsidR="00186271" w:rsidRPr="009A19D5">
              <w:rPr>
                <w:rStyle w:val="Hyperlink"/>
                <w:noProof/>
              </w:rPr>
              <w:t>5.</w:t>
            </w:r>
            <w:r w:rsidR="00186271">
              <w:rPr>
                <w:rFonts w:asciiTheme="minorHAnsi" w:eastAsiaTheme="minorEastAsia" w:hAnsiTheme="minorHAnsi" w:cstheme="minorBidi"/>
                <w:noProof/>
                <w:sz w:val="22"/>
                <w:szCs w:val="22"/>
              </w:rPr>
              <w:tab/>
            </w:r>
            <w:r w:rsidR="00186271" w:rsidRPr="009A19D5">
              <w:rPr>
                <w:rStyle w:val="Hyperlink"/>
                <w:noProof/>
              </w:rPr>
              <w:t>Commercial Fishery Monitoring</w:t>
            </w:r>
            <w:r w:rsidR="00186271">
              <w:rPr>
                <w:noProof/>
                <w:webHidden/>
              </w:rPr>
              <w:tab/>
            </w:r>
            <w:r w:rsidR="00186271">
              <w:rPr>
                <w:noProof/>
                <w:webHidden/>
              </w:rPr>
              <w:fldChar w:fldCharType="begin"/>
            </w:r>
            <w:r w:rsidR="00186271">
              <w:rPr>
                <w:noProof/>
                <w:webHidden/>
              </w:rPr>
              <w:instrText xml:space="preserve"> PAGEREF _Toc131506779 \h </w:instrText>
            </w:r>
            <w:r w:rsidR="00186271">
              <w:rPr>
                <w:noProof/>
                <w:webHidden/>
              </w:rPr>
            </w:r>
            <w:r w:rsidR="00186271">
              <w:rPr>
                <w:noProof/>
                <w:webHidden/>
              </w:rPr>
              <w:fldChar w:fldCharType="separate"/>
            </w:r>
            <w:r w:rsidR="00606157">
              <w:rPr>
                <w:noProof/>
                <w:webHidden/>
              </w:rPr>
              <w:t>4</w:t>
            </w:r>
            <w:r w:rsidR="00186271">
              <w:rPr>
                <w:noProof/>
                <w:webHidden/>
              </w:rPr>
              <w:fldChar w:fldCharType="end"/>
            </w:r>
          </w:hyperlink>
        </w:p>
        <w:p w14:paraId="15062D8B" w14:textId="19012648" w:rsidR="00186271" w:rsidRDefault="00000000" w:rsidP="00186271">
          <w:pPr>
            <w:pStyle w:val="TOC3"/>
            <w:rPr>
              <w:rFonts w:asciiTheme="minorHAnsi" w:eastAsiaTheme="minorEastAsia" w:hAnsiTheme="minorHAnsi" w:cstheme="minorBidi"/>
              <w:noProof/>
              <w:sz w:val="22"/>
              <w:szCs w:val="22"/>
            </w:rPr>
          </w:pPr>
          <w:hyperlink w:anchor="_Toc131506780" w:history="1">
            <w:r w:rsidR="00186271" w:rsidRPr="009A19D5">
              <w:rPr>
                <w:rStyle w:val="Hyperlink"/>
                <w:noProof/>
              </w:rPr>
              <w:t>6.</w:t>
            </w:r>
            <w:r w:rsidR="00186271">
              <w:rPr>
                <w:rFonts w:asciiTheme="minorHAnsi" w:eastAsiaTheme="minorEastAsia" w:hAnsiTheme="minorHAnsi" w:cstheme="minorBidi"/>
                <w:noProof/>
                <w:sz w:val="22"/>
                <w:szCs w:val="22"/>
              </w:rPr>
              <w:tab/>
            </w:r>
            <w:r w:rsidR="00186271" w:rsidRPr="009A19D5">
              <w:rPr>
                <w:rStyle w:val="Hyperlink"/>
                <w:noProof/>
              </w:rPr>
              <w:t>Recreational Fishery Monitoring</w:t>
            </w:r>
            <w:r w:rsidR="00186271">
              <w:rPr>
                <w:noProof/>
                <w:webHidden/>
              </w:rPr>
              <w:tab/>
            </w:r>
            <w:r w:rsidR="00186271">
              <w:rPr>
                <w:noProof/>
                <w:webHidden/>
              </w:rPr>
              <w:fldChar w:fldCharType="begin"/>
            </w:r>
            <w:r w:rsidR="00186271">
              <w:rPr>
                <w:noProof/>
                <w:webHidden/>
              </w:rPr>
              <w:instrText xml:space="preserve"> PAGEREF _Toc131506780 \h </w:instrText>
            </w:r>
            <w:r w:rsidR="00186271">
              <w:rPr>
                <w:noProof/>
                <w:webHidden/>
              </w:rPr>
            </w:r>
            <w:r w:rsidR="00186271">
              <w:rPr>
                <w:noProof/>
                <w:webHidden/>
              </w:rPr>
              <w:fldChar w:fldCharType="separate"/>
            </w:r>
            <w:r w:rsidR="00606157">
              <w:rPr>
                <w:noProof/>
                <w:webHidden/>
              </w:rPr>
              <w:t>4</w:t>
            </w:r>
            <w:r w:rsidR="00186271">
              <w:rPr>
                <w:noProof/>
                <w:webHidden/>
              </w:rPr>
              <w:fldChar w:fldCharType="end"/>
            </w:r>
          </w:hyperlink>
        </w:p>
        <w:p w14:paraId="290DF834" w14:textId="43AC1D79" w:rsidR="00186271" w:rsidRDefault="00000000" w:rsidP="00186271">
          <w:pPr>
            <w:pStyle w:val="TOC2"/>
            <w:rPr>
              <w:rFonts w:asciiTheme="minorHAnsi" w:eastAsiaTheme="minorEastAsia" w:hAnsiTheme="minorHAnsi" w:cstheme="minorBidi"/>
              <w:noProof/>
              <w:sz w:val="22"/>
              <w:szCs w:val="22"/>
            </w:rPr>
          </w:pPr>
          <w:hyperlink w:anchor="_Toc131506781" w:history="1">
            <w:r w:rsidR="00186271" w:rsidRPr="009A19D5">
              <w:rPr>
                <w:rStyle w:val="Hyperlink"/>
                <w:noProof/>
              </w:rPr>
              <w:t>B.</w:t>
            </w:r>
            <w:r w:rsidR="00186271">
              <w:rPr>
                <w:rFonts w:asciiTheme="minorHAnsi" w:eastAsiaTheme="minorEastAsia" w:hAnsiTheme="minorHAnsi" w:cstheme="minorBidi"/>
                <w:noProof/>
                <w:sz w:val="22"/>
                <w:szCs w:val="22"/>
              </w:rPr>
              <w:tab/>
            </w:r>
            <w:r w:rsidR="00186271" w:rsidRPr="009A19D5">
              <w:rPr>
                <w:rStyle w:val="Hyperlink"/>
                <w:noProof/>
              </w:rPr>
              <w:t>Pacific Halibut &amp; International Pacific Halibut Commission activities</w:t>
            </w:r>
            <w:r w:rsidR="00186271">
              <w:rPr>
                <w:noProof/>
                <w:webHidden/>
              </w:rPr>
              <w:tab/>
            </w:r>
            <w:r w:rsidR="00186271">
              <w:rPr>
                <w:noProof/>
                <w:webHidden/>
              </w:rPr>
              <w:fldChar w:fldCharType="begin"/>
            </w:r>
            <w:r w:rsidR="00186271">
              <w:rPr>
                <w:noProof/>
                <w:webHidden/>
              </w:rPr>
              <w:instrText xml:space="preserve"> PAGEREF _Toc131506781 \h </w:instrText>
            </w:r>
            <w:r w:rsidR="00186271">
              <w:rPr>
                <w:noProof/>
                <w:webHidden/>
              </w:rPr>
            </w:r>
            <w:r w:rsidR="00186271">
              <w:rPr>
                <w:noProof/>
                <w:webHidden/>
              </w:rPr>
              <w:fldChar w:fldCharType="separate"/>
            </w:r>
            <w:r w:rsidR="00606157">
              <w:rPr>
                <w:noProof/>
                <w:webHidden/>
              </w:rPr>
              <w:t>5</w:t>
            </w:r>
            <w:r w:rsidR="00186271">
              <w:rPr>
                <w:noProof/>
                <w:webHidden/>
              </w:rPr>
              <w:fldChar w:fldCharType="end"/>
            </w:r>
          </w:hyperlink>
        </w:p>
        <w:p w14:paraId="17F79A0A" w14:textId="64D2DC6F" w:rsidR="00186271" w:rsidRDefault="00000000" w:rsidP="00186271">
          <w:pPr>
            <w:pStyle w:val="TOC3"/>
            <w:rPr>
              <w:rFonts w:asciiTheme="minorHAnsi" w:eastAsiaTheme="minorEastAsia" w:hAnsiTheme="minorHAnsi" w:cstheme="minorBidi"/>
              <w:noProof/>
              <w:sz w:val="22"/>
              <w:szCs w:val="22"/>
            </w:rPr>
          </w:pPr>
          <w:hyperlink w:anchor="_Toc131506782" w:history="1">
            <w:r w:rsidR="00186271" w:rsidRPr="009A19D5">
              <w:rPr>
                <w:rStyle w:val="Hyperlink"/>
                <w:noProof/>
              </w:rPr>
              <w:t>1.</w:t>
            </w:r>
            <w:r w:rsidR="00186271">
              <w:rPr>
                <w:rFonts w:asciiTheme="minorHAnsi" w:eastAsiaTheme="minorEastAsia" w:hAnsiTheme="minorHAnsi" w:cstheme="minorBidi"/>
                <w:noProof/>
                <w:sz w:val="22"/>
                <w:szCs w:val="22"/>
              </w:rPr>
              <w:tab/>
            </w:r>
            <w:r w:rsidR="00186271" w:rsidRPr="009A19D5">
              <w:rPr>
                <w:rStyle w:val="Hyperlink"/>
                <w:noProof/>
              </w:rPr>
              <w:t>Management</w:t>
            </w:r>
            <w:r w:rsidR="00186271">
              <w:rPr>
                <w:noProof/>
                <w:webHidden/>
              </w:rPr>
              <w:tab/>
            </w:r>
            <w:r w:rsidR="00186271">
              <w:rPr>
                <w:noProof/>
                <w:webHidden/>
              </w:rPr>
              <w:fldChar w:fldCharType="begin"/>
            </w:r>
            <w:r w:rsidR="00186271">
              <w:rPr>
                <w:noProof/>
                <w:webHidden/>
              </w:rPr>
              <w:instrText xml:space="preserve"> PAGEREF _Toc131506782 \h </w:instrText>
            </w:r>
            <w:r w:rsidR="00186271">
              <w:rPr>
                <w:noProof/>
                <w:webHidden/>
              </w:rPr>
            </w:r>
            <w:r w:rsidR="00186271">
              <w:rPr>
                <w:noProof/>
                <w:webHidden/>
              </w:rPr>
              <w:fldChar w:fldCharType="separate"/>
            </w:r>
            <w:r w:rsidR="00606157">
              <w:rPr>
                <w:noProof/>
                <w:webHidden/>
              </w:rPr>
              <w:t>5</w:t>
            </w:r>
            <w:r w:rsidR="00186271">
              <w:rPr>
                <w:noProof/>
                <w:webHidden/>
              </w:rPr>
              <w:fldChar w:fldCharType="end"/>
            </w:r>
          </w:hyperlink>
        </w:p>
        <w:p w14:paraId="10DD3F7D" w14:textId="5416EC49" w:rsidR="00186271" w:rsidRDefault="00000000" w:rsidP="00186271">
          <w:pPr>
            <w:pStyle w:val="TOC3"/>
            <w:rPr>
              <w:rFonts w:asciiTheme="minorHAnsi" w:eastAsiaTheme="minorEastAsia" w:hAnsiTheme="minorHAnsi" w:cstheme="minorBidi"/>
              <w:noProof/>
              <w:sz w:val="22"/>
              <w:szCs w:val="22"/>
            </w:rPr>
          </w:pPr>
          <w:hyperlink w:anchor="_Toc131506783" w:history="1">
            <w:r w:rsidR="00186271" w:rsidRPr="009A19D5">
              <w:rPr>
                <w:rStyle w:val="Hyperlink"/>
                <w:noProof/>
              </w:rPr>
              <w:t>2.</w:t>
            </w:r>
            <w:r w:rsidR="00186271">
              <w:rPr>
                <w:rFonts w:asciiTheme="minorHAnsi" w:eastAsiaTheme="minorEastAsia" w:hAnsiTheme="minorHAnsi" w:cstheme="minorBidi"/>
                <w:noProof/>
                <w:sz w:val="22"/>
                <w:szCs w:val="22"/>
              </w:rPr>
              <w:tab/>
            </w:r>
            <w:r w:rsidR="00186271" w:rsidRPr="009A19D5">
              <w:rPr>
                <w:rStyle w:val="Hyperlink"/>
                <w:noProof/>
              </w:rPr>
              <w:t>Commercial Fishery Monitoring</w:t>
            </w:r>
            <w:r w:rsidR="00186271">
              <w:rPr>
                <w:noProof/>
                <w:webHidden/>
              </w:rPr>
              <w:tab/>
            </w:r>
            <w:r w:rsidR="00186271">
              <w:rPr>
                <w:noProof/>
                <w:webHidden/>
              </w:rPr>
              <w:fldChar w:fldCharType="begin"/>
            </w:r>
            <w:r w:rsidR="00186271">
              <w:rPr>
                <w:noProof/>
                <w:webHidden/>
              </w:rPr>
              <w:instrText xml:space="preserve"> PAGEREF _Toc131506783 \h </w:instrText>
            </w:r>
            <w:r w:rsidR="00186271">
              <w:rPr>
                <w:noProof/>
                <w:webHidden/>
              </w:rPr>
            </w:r>
            <w:r w:rsidR="00186271">
              <w:rPr>
                <w:noProof/>
                <w:webHidden/>
              </w:rPr>
              <w:fldChar w:fldCharType="separate"/>
            </w:r>
            <w:r w:rsidR="00606157">
              <w:rPr>
                <w:noProof/>
                <w:webHidden/>
              </w:rPr>
              <w:t>5</w:t>
            </w:r>
            <w:r w:rsidR="00186271">
              <w:rPr>
                <w:noProof/>
                <w:webHidden/>
              </w:rPr>
              <w:fldChar w:fldCharType="end"/>
            </w:r>
          </w:hyperlink>
        </w:p>
        <w:p w14:paraId="12D94753" w14:textId="009A4D3D" w:rsidR="00186271" w:rsidRDefault="00000000" w:rsidP="00186271">
          <w:pPr>
            <w:pStyle w:val="TOC3"/>
            <w:rPr>
              <w:rFonts w:asciiTheme="minorHAnsi" w:eastAsiaTheme="minorEastAsia" w:hAnsiTheme="minorHAnsi" w:cstheme="minorBidi"/>
              <w:noProof/>
              <w:sz w:val="22"/>
              <w:szCs w:val="22"/>
            </w:rPr>
          </w:pPr>
          <w:hyperlink w:anchor="_Toc131506784" w:history="1">
            <w:r w:rsidR="00186271" w:rsidRPr="009A19D5">
              <w:rPr>
                <w:rStyle w:val="Hyperlink"/>
                <w:noProof/>
              </w:rPr>
              <w:t>3.</w:t>
            </w:r>
            <w:r w:rsidR="00186271">
              <w:rPr>
                <w:rFonts w:asciiTheme="minorHAnsi" w:eastAsiaTheme="minorEastAsia" w:hAnsiTheme="minorHAnsi" w:cstheme="minorBidi"/>
                <w:noProof/>
                <w:sz w:val="22"/>
                <w:szCs w:val="22"/>
              </w:rPr>
              <w:tab/>
            </w:r>
            <w:r w:rsidR="00186271" w:rsidRPr="009A19D5">
              <w:rPr>
                <w:rStyle w:val="Hyperlink"/>
                <w:noProof/>
              </w:rPr>
              <w:t>Recreational Fishery Monitoring</w:t>
            </w:r>
            <w:r w:rsidR="00186271">
              <w:rPr>
                <w:noProof/>
                <w:webHidden/>
              </w:rPr>
              <w:tab/>
            </w:r>
            <w:r w:rsidR="00186271">
              <w:rPr>
                <w:noProof/>
                <w:webHidden/>
              </w:rPr>
              <w:fldChar w:fldCharType="begin"/>
            </w:r>
            <w:r w:rsidR="00186271">
              <w:rPr>
                <w:noProof/>
                <w:webHidden/>
              </w:rPr>
              <w:instrText xml:space="preserve"> PAGEREF _Toc131506784 \h </w:instrText>
            </w:r>
            <w:r w:rsidR="00186271">
              <w:rPr>
                <w:noProof/>
                <w:webHidden/>
              </w:rPr>
            </w:r>
            <w:r w:rsidR="00186271">
              <w:rPr>
                <w:noProof/>
                <w:webHidden/>
              </w:rPr>
              <w:fldChar w:fldCharType="separate"/>
            </w:r>
            <w:r w:rsidR="00606157">
              <w:rPr>
                <w:noProof/>
                <w:webHidden/>
              </w:rPr>
              <w:t>5</w:t>
            </w:r>
            <w:r w:rsidR="00186271">
              <w:rPr>
                <w:noProof/>
                <w:webHidden/>
              </w:rPr>
              <w:fldChar w:fldCharType="end"/>
            </w:r>
          </w:hyperlink>
        </w:p>
        <w:p w14:paraId="651F2C0F" w14:textId="176DAC2C" w:rsidR="00492603" w:rsidRDefault="00492603">
          <w:r>
            <w:rPr>
              <w:b/>
              <w:bCs/>
              <w:noProof/>
            </w:rPr>
            <w:fldChar w:fldCharType="end"/>
          </w:r>
        </w:p>
      </w:sdtContent>
    </w:sdt>
    <w:p w14:paraId="77EA1FB3" w14:textId="77777777" w:rsidR="00492603" w:rsidRDefault="00492603" w:rsidP="00492603">
      <w:r>
        <w:br w:type="page"/>
      </w:r>
    </w:p>
    <w:p w14:paraId="6BCF1793" w14:textId="6A800EBF" w:rsidR="00492603" w:rsidRDefault="00492603" w:rsidP="005355F6">
      <w:pPr>
        <w:pStyle w:val="Heading1"/>
        <w:numPr>
          <w:ilvl w:val="0"/>
          <w:numId w:val="7"/>
        </w:numPr>
        <w:spacing w:before="240" w:after="120"/>
        <w:rPr>
          <w:rFonts w:ascii="Arial" w:hAnsi="Arial" w:cs="Arial"/>
          <w:b w:val="0"/>
          <w:color w:val="000000" w:themeColor="text1"/>
          <w:sz w:val="24"/>
          <w:szCs w:val="24"/>
        </w:rPr>
      </w:pPr>
      <w:bookmarkStart w:id="0" w:name="_Toc480450763"/>
      <w:bookmarkStart w:id="1" w:name="_Toc131506770"/>
      <w:r w:rsidRPr="0068713E">
        <w:rPr>
          <w:rFonts w:ascii="Arial" w:hAnsi="Arial" w:cs="Arial"/>
          <w:b w:val="0"/>
          <w:color w:val="000000" w:themeColor="text1"/>
          <w:sz w:val="24"/>
          <w:szCs w:val="24"/>
        </w:rPr>
        <w:lastRenderedPageBreak/>
        <w:t>Agency Overview</w:t>
      </w:r>
      <w:bookmarkEnd w:id="0"/>
      <w:bookmarkEnd w:id="1"/>
      <w:r w:rsidRPr="0068713E">
        <w:rPr>
          <w:rFonts w:ascii="Arial" w:hAnsi="Arial" w:cs="Arial"/>
          <w:b w:val="0"/>
          <w:color w:val="000000" w:themeColor="text1"/>
          <w:sz w:val="24"/>
          <w:szCs w:val="24"/>
        </w:rPr>
        <w:t xml:space="preserve"> </w:t>
      </w:r>
    </w:p>
    <w:p w14:paraId="02C864DB" w14:textId="5CF60528" w:rsidR="00290FC7" w:rsidRDefault="00290FC7" w:rsidP="005355F6">
      <w:pPr>
        <w:pStyle w:val="ListParagraph"/>
        <w:spacing w:after="120"/>
        <w:ind w:left="360"/>
        <w:contextualSpacing w:val="0"/>
      </w:pPr>
      <w:r>
        <w:t>Within the California Department of Fish and Wildlife (CDFW), the Marine Region is responsible for protecting and managing California's marine resources under the authority of laws and regulations created by the State Legislature, the California Fish and Game Commission (CFGC) and the Pacific Fishery Management Council (PFMC)</w:t>
      </w:r>
      <w:r w:rsidR="00DC7843">
        <w:t xml:space="preserve">. </w:t>
      </w:r>
      <w:r>
        <w:t>The Marine Region is unique in the CDFW because of its dual responsibility for both policy and operational issues within the State's marine jurisdiction (0 – 3 miles)</w:t>
      </w:r>
      <w:r w:rsidR="00DC7843">
        <w:t xml:space="preserve">. </w:t>
      </w:r>
      <w:r>
        <w:t xml:space="preserve">It was created to improve marine resources management by incorporating fisheries and habitat programs, environmental </w:t>
      </w:r>
      <w:proofErr w:type="gramStart"/>
      <w:r>
        <w:t>review</w:t>
      </w:r>
      <w:proofErr w:type="gramEnd"/>
      <w:r>
        <w:t xml:space="preserve"> and water quality monitoring into a single organizational unit</w:t>
      </w:r>
      <w:r w:rsidR="00DC7843">
        <w:t xml:space="preserve">. </w:t>
      </w:r>
      <w:r>
        <w:t xml:space="preserve">In addition, it was specifically designed to be more effective, inclusive, </w:t>
      </w:r>
      <w:proofErr w:type="gramStart"/>
      <w:r>
        <w:t>comprehensive</w:t>
      </w:r>
      <w:proofErr w:type="gramEnd"/>
      <w:r>
        <w:t xml:space="preserve"> and collaborative in marine management activities.</w:t>
      </w:r>
    </w:p>
    <w:p w14:paraId="16B3B6DB" w14:textId="77777777" w:rsidR="00B445DD" w:rsidRDefault="00290FC7" w:rsidP="005355F6">
      <w:pPr>
        <w:pStyle w:val="ListParagraph"/>
        <w:spacing w:after="120"/>
        <w:ind w:left="360"/>
        <w:contextualSpacing w:val="0"/>
      </w:pPr>
      <w:r>
        <w:t>The Marine Region has adopted a management approach that takes a broad perspective relative to resource issues and problems</w:t>
      </w:r>
      <w:r w:rsidR="00DC7843">
        <w:t xml:space="preserve">. </w:t>
      </w:r>
      <w:r>
        <w:t>This ecosystem approach considers the values of entire biological communities and habitats, as well as the needs of the public, while ensuring a healthy marine environment</w:t>
      </w:r>
      <w:r w:rsidR="00DC7843">
        <w:t xml:space="preserve">. </w:t>
      </w:r>
      <w:r>
        <w:t>The Marine Region employs approximately 140 permanent and 100 seasonal staff that provide technical expertise and policy recommendations to the CDFW, CFGC, PFMC, and other agencies or entities involved with the management, protection, and utilization of finfish, shellfish, invertebrates, and plants in California’s ocean waters</w:t>
      </w:r>
      <w:r w:rsidR="00DC7843">
        <w:t xml:space="preserve">. </w:t>
      </w:r>
    </w:p>
    <w:p w14:paraId="5CD1E22D" w14:textId="0E33DC79" w:rsidR="00290FC7" w:rsidRDefault="00290FC7" w:rsidP="005355F6">
      <w:pPr>
        <w:pStyle w:val="ListParagraph"/>
        <w:spacing w:after="120"/>
        <w:ind w:left="360"/>
        <w:contextualSpacing w:val="0"/>
      </w:pPr>
      <w:r>
        <w:t>Groundfish project staff are tasked with managing groundfish and providing policy recommendations</w:t>
      </w:r>
      <w:r w:rsidR="00380004">
        <w:t>.</w:t>
      </w:r>
      <w:r w:rsidR="00DC7843">
        <w:t xml:space="preserve"> </w:t>
      </w:r>
      <w:r>
        <w:t>Other staff work indirectly on groundfish, such as our California Recreational Fisheries Survey</w:t>
      </w:r>
      <w:r w:rsidR="00646FFD">
        <w:t xml:space="preserve"> (CRFS)</w:t>
      </w:r>
      <w:r>
        <w:t xml:space="preserve"> staff that sample our recreational fisheries and our Marine Protected Areas</w:t>
      </w:r>
      <w:r w:rsidR="00D45B0E">
        <w:t xml:space="preserve"> (MPA)</w:t>
      </w:r>
      <w:r>
        <w:t xml:space="preserve"> Project and their</w:t>
      </w:r>
      <w:r w:rsidR="00011F78">
        <w:t xml:space="preserve"> remotely operated vehicle (</w:t>
      </w:r>
      <w:r>
        <w:t>ROV</w:t>
      </w:r>
      <w:r w:rsidR="00011F78">
        <w:t>)</w:t>
      </w:r>
      <w:r>
        <w:t xml:space="preserve"> </w:t>
      </w:r>
      <w:r w:rsidR="00560C55">
        <w:t>work that</w:t>
      </w:r>
      <w:r>
        <w:t xml:space="preserve"> benefits groundfish</w:t>
      </w:r>
      <w:r w:rsidR="00DC7843">
        <w:t xml:space="preserve">. </w:t>
      </w:r>
      <w:r>
        <w:t xml:space="preserve">Additionally, Pacific States Marine Fisheries Commission </w:t>
      </w:r>
      <w:r w:rsidR="00EB1E29">
        <w:t xml:space="preserve">(PSMFC) </w:t>
      </w:r>
      <w:r>
        <w:t>staff sample the state’s commercial groundfish fishery.</w:t>
      </w:r>
      <w:r w:rsidR="00FF7D24">
        <w:t xml:space="preserve"> </w:t>
      </w:r>
      <w:r w:rsidR="00907FFC">
        <w:t>The</w:t>
      </w:r>
      <w:r w:rsidR="00FF7D24">
        <w:t xml:space="preserve"> Marine Region</w:t>
      </w:r>
      <w:r w:rsidR="00907FFC">
        <w:t xml:space="preserve">’s </w:t>
      </w:r>
      <w:r w:rsidR="00FF7D24">
        <w:t xml:space="preserve">annual </w:t>
      </w:r>
      <w:hyperlink r:id="rId15" w:history="1">
        <w:r w:rsidR="00FF7D24" w:rsidRPr="00FF7D24">
          <w:rPr>
            <w:rStyle w:val="Hyperlink"/>
          </w:rPr>
          <w:t>Year in Review</w:t>
        </w:r>
      </w:hyperlink>
      <w:r w:rsidR="00907FFC">
        <w:t xml:space="preserve"> provides summary of all its programs, including groundfish.</w:t>
      </w:r>
      <w:r w:rsidR="003358BD">
        <w:t xml:space="preserve"> The Marine Region’s annual </w:t>
      </w:r>
      <w:hyperlink r:id="rId16" w:history="1">
        <w:r w:rsidR="003358BD" w:rsidRPr="00206CFD">
          <w:rPr>
            <w:rStyle w:val="Hyperlink"/>
          </w:rPr>
          <w:t>By the Numbers Report</w:t>
        </w:r>
      </w:hyperlink>
      <w:r w:rsidR="003358BD">
        <w:t xml:space="preserve"> provides another view of the breadth of work conducted by CDFW's Marine Region.</w:t>
      </w:r>
    </w:p>
    <w:p w14:paraId="4C19279B" w14:textId="4122B510" w:rsidR="00492603" w:rsidRDefault="00E33BDD" w:rsidP="005355F6">
      <w:pPr>
        <w:pStyle w:val="Heading1"/>
        <w:numPr>
          <w:ilvl w:val="0"/>
          <w:numId w:val="7"/>
        </w:numPr>
        <w:spacing w:before="240" w:after="120"/>
        <w:rPr>
          <w:rFonts w:ascii="Arial" w:hAnsi="Arial" w:cs="Arial"/>
          <w:b w:val="0"/>
          <w:color w:val="000000" w:themeColor="text1"/>
          <w:sz w:val="24"/>
        </w:rPr>
      </w:pPr>
      <w:commentRangeStart w:id="2"/>
      <w:commentRangeEnd w:id="2"/>
      <w:r>
        <w:rPr>
          <w:rStyle w:val="CommentReference"/>
        </w:rPr>
        <w:commentReference w:id="2"/>
      </w:r>
      <w:bookmarkStart w:id="3" w:name="_Toc480450764"/>
      <w:bookmarkStart w:id="4" w:name="_Toc131506771"/>
      <w:r w:rsidR="00492603" w:rsidRPr="00492603">
        <w:rPr>
          <w:rFonts w:ascii="Arial" w:hAnsi="Arial" w:cs="Arial"/>
          <w:b w:val="0"/>
          <w:color w:val="000000" w:themeColor="text1"/>
          <w:sz w:val="24"/>
        </w:rPr>
        <w:t>Surveys</w:t>
      </w:r>
      <w:bookmarkEnd w:id="3"/>
      <w:bookmarkEnd w:id="4"/>
      <w:r w:rsidR="00492603" w:rsidRPr="00492603">
        <w:rPr>
          <w:rFonts w:ascii="Arial" w:hAnsi="Arial" w:cs="Arial"/>
          <w:b w:val="0"/>
          <w:color w:val="000000" w:themeColor="text1"/>
          <w:sz w:val="24"/>
        </w:rPr>
        <w:t xml:space="preserve"> </w:t>
      </w:r>
    </w:p>
    <w:p w14:paraId="7C1131F5" w14:textId="77777777" w:rsidR="00A32292" w:rsidRPr="008433D2" w:rsidRDefault="00801215" w:rsidP="005355F6">
      <w:pPr>
        <w:pStyle w:val="NoSpacing"/>
        <w:spacing w:after="120"/>
        <w:ind w:left="360"/>
        <w:rPr>
          <w:u w:val="single"/>
        </w:rPr>
      </w:pPr>
      <w:r w:rsidRPr="006D5067">
        <w:rPr>
          <w:u w:val="single"/>
        </w:rPr>
        <w:t>ROV Visual Survey and Analysis for MPA and Fishery Data Needs</w:t>
      </w:r>
    </w:p>
    <w:p w14:paraId="729CA5C8" w14:textId="46B22C49" w:rsidR="00D45B0E" w:rsidRPr="008433D2" w:rsidRDefault="00206CFD" w:rsidP="00C049FF">
      <w:pPr>
        <w:pStyle w:val="NoSpacing"/>
        <w:spacing w:after="120"/>
        <w:ind w:left="360"/>
      </w:pPr>
      <w:r>
        <w:t xml:space="preserve">Scientists from CDFW’s Groundfish and MPA Management Projects continued analysis of ROV survey data collected from 2014 to 2016 </w:t>
      </w:r>
      <w:r w:rsidR="00606157">
        <w:t>and more recent coverage from 2019-2021 for use in this year’s copper rockfish (</w:t>
      </w:r>
      <w:r w:rsidR="00606157">
        <w:rPr>
          <w:i/>
          <w:iCs/>
        </w:rPr>
        <w:t xml:space="preserve">S. </w:t>
      </w:r>
      <w:proofErr w:type="spellStart"/>
      <w:r w:rsidR="00606157" w:rsidRPr="00606157">
        <w:rPr>
          <w:i/>
          <w:iCs/>
        </w:rPr>
        <w:t>caurinus</w:t>
      </w:r>
      <w:proofErr w:type="spellEnd"/>
      <w:r w:rsidR="00606157">
        <w:t>) stock assessment.</w:t>
      </w:r>
      <w:r>
        <w:t xml:space="preserve"> </w:t>
      </w:r>
    </w:p>
    <w:p w14:paraId="35D1F40F" w14:textId="3F235795" w:rsidR="00492603" w:rsidRDefault="00492603" w:rsidP="005355F6">
      <w:pPr>
        <w:pStyle w:val="Heading1"/>
        <w:numPr>
          <w:ilvl w:val="0"/>
          <w:numId w:val="7"/>
        </w:numPr>
        <w:spacing w:before="240" w:after="120"/>
        <w:rPr>
          <w:rFonts w:ascii="Arial" w:hAnsi="Arial" w:cs="Arial"/>
          <w:b w:val="0"/>
          <w:color w:val="000000" w:themeColor="text1"/>
          <w:sz w:val="24"/>
        </w:rPr>
      </w:pPr>
      <w:bookmarkStart w:id="5" w:name="_Toc480450765"/>
      <w:bookmarkStart w:id="6" w:name="_Toc131506772"/>
      <w:r w:rsidRPr="00492603">
        <w:rPr>
          <w:rFonts w:ascii="Arial" w:hAnsi="Arial" w:cs="Arial"/>
          <w:b w:val="0"/>
          <w:color w:val="000000" w:themeColor="text1"/>
          <w:sz w:val="24"/>
        </w:rPr>
        <w:t>Reserves</w:t>
      </w:r>
      <w:bookmarkEnd w:id="5"/>
      <w:bookmarkEnd w:id="6"/>
      <w:r w:rsidRPr="00492603">
        <w:rPr>
          <w:rFonts w:ascii="Arial" w:hAnsi="Arial" w:cs="Arial"/>
          <w:b w:val="0"/>
          <w:color w:val="000000" w:themeColor="text1"/>
          <w:sz w:val="24"/>
        </w:rPr>
        <w:t xml:space="preserve"> </w:t>
      </w:r>
    </w:p>
    <w:p w14:paraId="528CA682" w14:textId="77777777" w:rsidR="00E46A2A" w:rsidRDefault="00E46A2A" w:rsidP="005355F6">
      <w:pPr>
        <w:pStyle w:val="NoSpacing"/>
        <w:spacing w:after="120"/>
        <w:ind w:left="360"/>
      </w:pPr>
      <w:r>
        <w:t>Marine Protected Areas Research and Monitoring</w:t>
      </w:r>
    </w:p>
    <w:p w14:paraId="2428700D" w14:textId="63CDBB8E" w:rsidR="005E4138" w:rsidRDefault="002948C4" w:rsidP="0068472F">
      <w:pPr>
        <w:spacing w:after="120"/>
        <w:ind w:left="360"/>
      </w:pPr>
      <w:r>
        <w:t xml:space="preserve">In 2022, the MPA </w:t>
      </w:r>
      <w:r w:rsidR="005E4138">
        <w:t xml:space="preserve">Monitoring </w:t>
      </w:r>
      <w:r w:rsidR="00606157">
        <w:t>p</w:t>
      </w:r>
      <w:r w:rsidR="005E4138">
        <w:t>ro</w:t>
      </w:r>
      <w:r>
        <w:t xml:space="preserve">ject completed the first comprehensive </w:t>
      </w:r>
      <w:hyperlink r:id="rId21" w:history="1">
        <w:r w:rsidRPr="002948C4">
          <w:rPr>
            <w:rStyle w:val="Hyperlink"/>
          </w:rPr>
          <w:t>MPA Decadal Management Review</w:t>
        </w:r>
      </w:hyperlink>
      <w:r w:rsidR="009C6D8A">
        <w:t xml:space="preserve"> (Review)</w:t>
      </w:r>
      <w:r>
        <w:t xml:space="preserve">. </w:t>
      </w:r>
      <w:r w:rsidR="009C6D8A">
        <w:t xml:space="preserve">This </w:t>
      </w:r>
      <w:r w:rsidR="00606157">
        <w:t>R</w:t>
      </w:r>
      <w:r w:rsidR="009C6D8A">
        <w:t xml:space="preserve">eview evaluates </w:t>
      </w:r>
      <w:proofErr w:type="gramStart"/>
      <w:r w:rsidR="009C6D8A">
        <w:t>the MPA</w:t>
      </w:r>
      <w:proofErr w:type="gramEnd"/>
      <w:r w:rsidR="009C6D8A">
        <w:t xml:space="preserve"> </w:t>
      </w:r>
      <w:r w:rsidR="00606157">
        <w:t xml:space="preserve">management and </w:t>
      </w:r>
      <w:r w:rsidR="009C6D8A">
        <w:t xml:space="preserve">network in meeting the goals of the Marine Life Protection Act and includes adaptive management recommendations for CFGC consideration. To </w:t>
      </w:r>
      <w:r w:rsidR="009C6D8A">
        <w:lastRenderedPageBreak/>
        <w:t xml:space="preserve">ensure stakeholder input was incorporated into the Review, CDFW invited tribes, </w:t>
      </w:r>
      <w:r w:rsidR="00615DF5">
        <w:t>agencies,</w:t>
      </w:r>
      <w:r w:rsidR="009C6D8A">
        <w:t xml:space="preserve"> and organizational partners. Twenty-two reports, as well as a comprehensive summary provided by the tribes are available as appendices to the full Review.</w:t>
      </w:r>
      <w:r w:rsidR="005E4138">
        <w:t xml:space="preserve"> </w:t>
      </w:r>
    </w:p>
    <w:p w14:paraId="166A40C8" w14:textId="3CD45868" w:rsidR="0068713E" w:rsidRDefault="005E4138" w:rsidP="0068472F">
      <w:pPr>
        <w:pStyle w:val="NoSpacing"/>
        <w:spacing w:after="120"/>
        <w:ind w:left="360"/>
      </w:pPr>
      <w:r>
        <w:t xml:space="preserve">For any inquiries or comments about the review or MPAs in general, please email the </w:t>
      </w:r>
      <w:hyperlink r:id="rId22" w:history="1">
        <w:r w:rsidRPr="00A614D7">
          <w:rPr>
            <w:rStyle w:val="Hyperlink"/>
          </w:rPr>
          <w:t>MPA Decadal Management Review Team</w:t>
        </w:r>
      </w:hyperlink>
    </w:p>
    <w:p w14:paraId="0543EE75" w14:textId="77777777" w:rsidR="00492603" w:rsidRPr="00492603" w:rsidRDefault="00492603" w:rsidP="005355F6">
      <w:pPr>
        <w:pStyle w:val="Heading1"/>
        <w:numPr>
          <w:ilvl w:val="0"/>
          <w:numId w:val="7"/>
        </w:numPr>
        <w:spacing w:before="240" w:after="120"/>
        <w:rPr>
          <w:rFonts w:ascii="Arial" w:hAnsi="Arial" w:cs="Arial"/>
          <w:b w:val="0"/>
          <w:color w:val="000000" w:themeColor="text1"/>
          <w:sz w:val="24"/>
        </w:rPr>
      </w:pPr>
      <w:bookmarkStart w:id="7" w:name="_Toc131506773"/>
      <w:r w:rsidRPr="00492603">
        <w:rPr>
          <w:rFonts w:ascii="Arial" w:hAnsi="Arial" w:cs="Arial"/>
          <w:b w:val="0"/>
          <w:color w:val="000000" w:themeColor="text1"/>
          <w:sz w:val="24"/>
        </w:rPr>
        <w:t>Review of Agency Groundfish Research, Assessment and Management</w:t>
      </w:r>
      <w:bookmarkEnd w:id="7"/>
      <w:r w:rsidRPr="00492603">
        <w:rPr>
          <w:rFonts w:ascii="Arial" w:hAnsi="Arial" w:cs="Arial"/>
          <w:b w:val="0"/>
          <w:color w:val="000000" w:themeColor="text1"/>
          <w:sz w:val="24"/>
        </w:rPr>
        <w:t xml:space="preserve"> </w:t>
      </w:r>
    </w:p>
    <w:p w14:paraId="3610C98A" w14:textId="77777777" w:rsidR="00492603" w:rsidRDefault="00492603" w:rsidP="005355F6">
      <w:pPr>
        <w:pStyle w:val="Heading2"/>
        <w:numPr>
          <w:ilvl w:val="0"/>
          <w:numId w:val="10"/>
        </w:numPr>
        <w:spacing w:after="120"/>
        <w:rPr>
          <w:rFonts w:ascii="Arial" w:hAnsi="Arial" w:cs="Arial"/>
          <w:b w:val="0"/>
          <w:color w:val="000000" w:themeColor="text1"/>
          <w:sz w:val="24"/>
        </w:rPr>
      </w:pPr>
      <w:bookmarkStart w:id="8" w:name="_Toc480450769"/>
      <w:bookmarkStart w:id="9" w:name="_Toc131506774"/>
      <w:r w:rsidRPr="00E57E8E">
        <w:rPr>
          <w:rFonts w:ascii="Arial" w:hAnsi="Arial" w:cs="Arial"/>
          <w:b w:val="0"/>
          <w:color w:val="000000" w:themeColor="text1"/>
          <w:sz w:val="24"/>
        </w:rPr>
        <w:t xml:space="preserve">Groundfish, all species </w:t>
      </w:r>
      <w:proofErr w:type="gramStart"/>
      <w:r w:rsidRPr="00E57E8E">
        <w:rPr>
          <w:rFonts w:ascii="Arial" w:hAnsi="Arial" w:cs="Arial"/>
          <w:b w:val="0"/>
          <w:color w:val="000000" w:themeColor="text1"/>
          <w:sz w:val="24"/>
        </w:rPr>
        <w:t>combined</w:t>
      </w:r>
      <w:bookmarkEnd w:id="8"/>
      <w:bookmarkEnd w:id="9"/>
      <w:proofErr w:type="gramEnd"/>
    </w:p>
    <w:p w14:paraId="3D109404" w14:textId="77777777" w:rsidR="00492603" w:rsidRPr="00591DF0" w:rsidRDefault="00492603" w:rsidP="009F6DCA">
      <w:pPr>
        <w:pStyle w:val="ListParagraph"/>
        <w:numPr>
          <w:ilvl w:val="0"/>
          <w:numId w:val="6"/>
        </w:numPr>
        <w:ind w:left="1080"/>
        <w:outlineLvl w:val="2"/>
      </w:pPr>
      <w:bookmarkStart w:id="10" w:name="_Toc480450770"/>
      <w:bookmarkStart w:id="11" w:name="_Toc131506775"/>
      <w:r w:rsidRPr="00E57E8E">
        <w:rPr>
          <w:rStyle w:val="Heading3Char"/>
          <w:rFonts w:ascii="Arial" w:hAnsi="Arial" w:cs="Arial"/>
          <w:b w:val="0"/>
          <w:color w:val="000000" w:themeColor="text1"/>
        </w:rPr>
        <w:t>Research</w:t>
      </w:r>
      <w:bookmarkEnd w:id="10"/>
      <w:r w:rsidR="005A15C1">
        <w:rPr>
          <w:rStyle w:val="Heading3Char"/>
          <w:rFonts w:ascii="Arial" w:hAnsi="Arial" w:cs="Arial"/>
          <w:b w:val="0"/>
          <w:color w:val="000000" w:themeColor="text1"/>
        </w:rPr>
        <w:t xml:space="preserve"> off California</w:t>
      </w:r>
      <w:bookmarkEnd w:id="11"/>
    </w:p>
    <w:p w14:paraId="400B31F9" w14:textId="444A3A23" w:rsidR="00011F78" w:rsidRPr="00540809" w:rsidRDefault="00A13E9B" w:rsidP="00540809">
      <w:pPr>
        <w:pStyle w:val="NoSpacing"/>
        <w:spacing w:after="120"/>
        <w:ind w:left="1080"/>
        <w:rPr>
          <w:color w:val="000000" w:themeColor="text1"/>
        </w:rPr>
      </w:pPr>
      <w:r>
        <w:t>Scientific Collecting Permits are issued by CDFW to</w:t>
      </w:r>
      <w:r w:rsidRPr="00D2064C">
        <w:t xml:space="preserve"> take, collect, capture, mark, or salvage, for scientific, educational, and non-commercial propagation purposes</w:t>
      </w:r>
      <w:r>
        <w:t xml:space="preserve">. Permits are generally issued for three years, except that student permits are for one year. While a complete report of groundfish-related research activities isn’t available for this report, the permits fall into four broad categories: 1) public display in aquariums and interpretive centers; 2) environmental monitoring; 3) life history studies that include age and growth, hormone assays and genetics for population structure; </w:t>
      </w:r>
      <w:proofErr w:type="gramStart"/>
      <w:r>
        <w:t>and,</w:t>
      </w:r>
      <w:proofErr w:type="gramEnd"/>
      <w:r>
        <w:t xml:space="preserve"> 4) studies related to changing environmental conditions such as ocean </w:t>
      </w:r>
      <w:r w:rsidRPr="00E57E8E">
        <w:rPr>
          <w:color w:val="000000" w:themeColor="text1"/>
        </w:rPr>
        <w:t>acidification and hypoxia.</w:t>
      </w:r>
    </w:p>
    <w:p w14:paraId="08E2F787" w14:textId="77777777" w:rsidR="005A15C1" w:rsidRPr="003A5643" w:rsidRDefault="00397C56" w:rsidP="0063512A">
      <w:pPr>
        <w:pStyle w:val="Heading3"/>
        <w:numPr>
          <w:ilvl w:val="0"/>
          <w:numId w:val="6"/>
        </w:numPr>
        <w:ind w:left="1080"/>
        <w:rPr>
          <w:rFonts w:ascii="Arial" w:hAnsi="Arial" w:cs="Arial"/>
          <w:b w:val="0"/>
          <w:color w:val="000000" w:themeColor="text1"/>
        </w:rPr>
      </w:pPr>
      <w:bookmarkStart w:id="12" w:name="_Toc131506776"/>
      <w:r w:rsidRPr="00E57E8E">
        <w:rPr>
          <w:rFonts w:ascii="Arial" w:hAnsi="Arial" w:cs="Arial"/>
          <w:b w:val="0"/>
          <w:color w:val="000000" w:themeColor="text1"/>
        </w:rPr>
        <w:t>CDFW Research</w:t>
      </w:r>
      <w:bookmarkEnd w:id="12"/>
    </w:p>
    <w:p w14:paraId="090AC296" w14:textId="4AB4BCD6" w:rsidR="002B2467" w:rsidRDefault="00E04304" w:rsidP="002B2467">
      <w:pPr>
        <w:pStyle w:val="NoSpacing"/>
        <w:ind w:left="1080"/>
        <w:rPr>
          <w:u w:val="single"/>
        </w:rPr>
      </w:pPr>
      <w:bookmarkStart w:id="13" w:name="_Toc480450772"/>
      <w:r>
        <w:rPr>
          <w:u w:val="single"/>
        </w:rPr>
        <w:t>Recreational Biological Sampling</w:t>
      </w:r>
    </w:p>
    <w:p w14:paraId="2A147EE1" w14:textId="2110D363" w:rsidR="00D87F6A" w:rsidRDefault="00730AD1" w:rsidP="00713B40">
      <w:pPr>
        <w:pStyle w:val="NoSpacing"/>
        <w:spacing w:after="120"/>
        <w:ind w:left="1080"/>
      </w:pPr>
      <w:r>
        <w:t xml:space="preserve">Stock assessments completed in 2021 further highlighted the need for California specific biological data, particularly from nearshore rockfish stocks. In response, CDFW begun biological sampling of the recreational fishery late in 2021, </w:t>
      </w:r>
      <w:r w:rsidR="003117B2">
        <w:t xml:space="preserve">initially </w:t>
      </w:r>
      <w:r>
        <w:t xml:space="preserve">on an ad-hoc basis. Beginning in 2022, CDFW collaborated with NMFS staff to develop a limited sampling design such that </w:t>
      </w:r>
      <w:r w:rsidR="007919A3">
        <w:t xml:space="preserve">a more standardized random </w:t>
      </w:r>
      <w:r>
        <w:t xml:space="preserve">sampling </w:t>
      </w:r>
      <w:r w:rsidR="003117B2">
        <w:t xml:space="preserve">approach </w:t>
      </w:r>
      <w:r>
        <w:t>could</w:t>
      </w:r>
      <w:r w:rsidR="007919A3">
        <w:t xml:space="preserve"> be achieved within staffing limitations</w:t>
      </w:r>
      <w:r w:rsidR="00D87F6A">
        <w:t>.</w:t>
      </w:r>
    </w:p>
    <w:p w14:paraId="0C6E9745" w14:textId="5097F487" w:rsidR="002B2467" w:rsidRDefault="00D87F6A" w:rsidP="00713B40">
      <w:pPr>
        <w:pStyle w:val="NoSpacing"/>
        <w:spacing w:after="120"/>
        <w:ind w:left="1080"/>
      </w:pPr>
      <w:r>
        <w:t xml:space="preserve">CDFW currently has three part time sampling staff operating out of the Eureka, </w:t>
      </w:r>
      <w:proofErr w:type="gramStart"/>
      <w:r>
        <w:t>Monterey</w:t>
      </w:r>
      <w:proofErr w:type="gramEnd"/>
      <w:r>
        <w:t xml:space="preserve"> and San Diego port complexes, covering recreational sampling sites in northern, central and southern California, respectively. While samplers prioritize a suite of species that are due to be assessed or have significance to the fishery, they also collect biological data from any groundfish species they encounter. In 2022, 2,242 samples were collected</w:t>
      </w:r>
      <w:r w:rsidR="00043769">
        <w:t xml:space="preserve"> across 25 species</w:t>
      </w:r>
      <w:r>
        <w:t>, representing a significant increase in the amount of fishery dependent biological data.</w:t>
      </w:r>
      <w:r w:rsidR="00730AD1">
        <w:t xml:space="preserve">  </w:t>
      </w:r>
    </w:p>
    <w:p w14:paraId="24DA5D79" w14:textId="1ACC64F6" w:rsidR="00E33BDD" w:rsidRDefault="00E33BDD" w:rsidP="00713B40">
      <w:pPr>
        <w:pStyle w:val="NoSpacing"/>
        <w:spacing w:after="120"/>
        <w:ind w:left="1080"/>
      </w:pPr>
      <w:commentRangeStart w:id="14"/>
      <w:r>
        <w:t>While</w:t>
      </w:r>
      <w:commentRangeEnd w:id="14"/>
      <w:r w:rsidR="00380004">
        <w:rPr>
          <w:rStyle w:val="CommentReference"/>
        </w:rPr>
        <w:commentReference w:id="14"/>
      </w:r>
      <w:r>
        <w:t xml:space="preserve"> this sampling effort can not be a comprehensive statewide approach by virtue of staffing constraints and California’s size, it does offer fishery dependent biological data</w:t>
      </w:r>
      <w:r w:rsidR="00D97009">
        <w:t>, which would otherwise be unavailable,</w:t>
      </w:r>
      <w:r>
        <w:t xml:space="preserve"> that have been randomly collected in a standardized manner</w:t>
      </w:r>
      <w:r w:rsidR="00D97009">
        <w:t>.</w:t>
      </w:r>
    </w:p>
    <w:p w14:paraId="55D9DDEF" w14:textId="63745B21" w:rsidR="00E603EF" w:rsidRPr="009B05B0" w:rsidRDefault="00E90EBB" w:rsidP="008A38C6">
      <w:pPr>
        <w:pStyle w:val="NoSpacing"/>
        <w:ind w:left="1080"/>
        <w:rPr>
          <w:u w:val="single"/>
        </w:rPr>
      </w:pPr>
      <w:r>
        <w:rPr>
          <w:u w:val="single"/>
        </w:rPr>
        <w:t>Creel Survey Surrendered Fish</w:t>
      </w:r>
    </w:p>
    <w:p w14:paraId="165EA44D" w14:textId="73BCD2E8" w:rsidR="00713B40" w:rsidRDefault="00E90EBB" w:rsidP="00713B40">
      <w:pPr>
        <w:pStyle w:val="NoSpacing"/>
        <w:spacing w:after="120"/>
        <w:ind w:left="1080"/>
      </w:pPr>
      <w:r>
        <w:lastRenderedPageBreak/>
        <w:t>CDFW’s CRFS</w:t>
      </w:r>
      <w:r w:rsidR="00606157">
        <w:t xml:space="preserve"> program</w:t>
      </w:r>
      <w:r>
        <w:t xml:space="preserve"> conducts a creel survey to estimate catch and effort in California’s recreational fisheries. During those efforts, anglers are given an opportunity to voluntarily surrender certain rockfish species that were retained illegally (yelloweye rockfish [</w:t>
      </w:r>
      <w:r>
        <w:rPr>
          <w:i/>
          <w:iCs/>
        </w:rPr>
        <w:t xml:space="preserve">S. </w:t>
      </w:r>
      <w:proofErr w:type="spellStart"/>
      <w:r>
        <w:rPr>
          <w:i/>
          <w:iCs/>
        </w:rPr>
        <w:t>ruberrimus</w:t>
      </w:r>
      <w:proofErr w:type="spellEnd"/>
      <w:r>
        <w:t xml:space="preserve">]) or </w:t>
      </w:r>
      <w:proofErr w:type="gramStart"/>
      <w:r>
        <w:t>in excess of</w:t>
      </w:r>
      <w:proofErr w:type="gramEnd"/>
      <w:r>
        <w:t xml:space="preserve"> the sub-bag limit (copper [</w:t>
      </w:r>
      <w:r>
        <w:rPr>
          <w:i/>
          <w:iCs/>
        </w:rPr>
        <w:t xml:space="preserve">S. </w:t>
      </w:r>
      <w:proofErr w:type="spellStart"/>
      <w:r>
        <w:rPr>
          <w:i/>
          <w:iCs/>
        </w:rPr>
        <w:t>caurinus</w:t>
      </w:r>
      <w:proofErr w:type="spellEnd"/>
      <w:r>
        <w:t xml:space="preserve">] and </w:t>
      </w:r>
      <w:r w:rsidR="00177E58">
        <w:t>quillback</w:t>
      </w:r>
      <w:r>
        <w:t xml:space="preserve"> [</w:t>
      </w:r>
      <w:r>
        <w:rPr>
          <w:i/>
          <w:iCs/>
        </w:rPr>
        <w:t xml:space="preserve">S. </w:t>
      </w:r>
      <w:proofErr w:type="spellStart"/>
      <w:r w:rsidR="00177E58">
        <w:rPr>
          <w:i/>
          <w:iCs/>
        </w:rPr>
        <w:t>maliger</w:t>
      </w:r>
      <w:proofErr w:type="spellEnd"/>
      <w:r w:rsidR="00177E58">
        <w:t>] rockfishes).</w:t>
      </w:r>
      <w:r w:rsidR="000A0C18">
        <w:t xml:space="preserve"> Initially, this effort began in 2016, with the collection of yelloweye rockfish – an overfished species, however, less optimistic stock status indicated by stock assessments for copper and quillback rockfishes in 2021, caused the expansion to include these two species.</w:t>
      </w:r>
      <w:r w:rsidR="00881D02">
        <w:t xml:space="preserve"> </w:t>
      </w:r>
    </w:p>
    <w:p w14:paraId="5BA73E04" w14:textId="1CE2DEB5" w:rsidR="00CE4E36" w:rsidRDefault="00CE4E36" w:rsidP="00CE4E36">
      <w:pPr>
        <w:pStyle w:val="NoSpacing"/>
        <w:spacing w:after="120"/>
        <w:ind w:left="1080"/>
      </w:pPr>
      <w:r>
        <w:t xml:space="preserve">In </w:t>
      </w:r>
      <w:r w:rsidR="00881D02">
        <w:t>2022, 115 copper, 50 yelloweye and 43 quillback rockfishes were collected, totaling almost 120, 400 and 80 for each of these species, respectively</w:t>
      </w:r>
      <w:r w:rsidR="00730AD1">
        <w:t>,</w:t>
      </w:r>
      <w:r w:rsidR="00881D02">
        <w:t xml:space="preserve"> since these efforts were undertaken. </w:t>
      </w:r>
      <w:r>
        <w:t>Data from these fish will be used to inform future stock assessments</w:t>
      </w:r>
      <w:r w:rsidR="00606157">
        <w:t xml:space="preserve">, particularly age and growth parameters, which may reduce model </w:t>
      </w:r>
      <w:proofErr w:type="spellStart"/>
      <w:r w:rsidR="00606157">
        <w:t>uncertaintity</w:t>
      </w:r>
      <w:proofErr w:type="spellEnd"/>
      <w:r w:rsidR="00881D02">
        <w:t>.</w:t>
      </w:r>
    </w:p>
    <w:p w14:paraId="20870C2F" w14:textId="77777777" w:rsidR="00931F83" w:rsidRDefault="005C5D03" w:rsidP="00931F83">
      <w:pPr>
        <w:pStyle w:val="NoSpacing"/>
        <w:ind w:left="1080"/>
        <w:rPr>
          <w:u w:val="single"/>
        </w:rPr>
      </w:pPr>
      <w:bookmarkStart w:id="15" w:name="_Hlk68084467"/>
      <w:bookmarkStart w:id="16" w:name="_Toc480450773"/>
      <w:bookmarkEnd w:id="13"/>
      <w:r>
        <w:rPr>
          <w:u w:val="single"/>
        </w:rPr>
        <w:t>Cowcod Exempting Fishing Permit</w:t>
      </w:r>
    </w:p>
    <w:p w14:paraId="0856048D" w14:textId="67B735BE" w:rsidR="00E04304" w:rsidRPr="00931F83" w:rsidRDefault="005C5D03" w:rsidP="00931F83">
      <w:pPr>
        <w:pStyle w:val="NoSpacing"/>
        <w:ind w:left="1080"/>
        <w:rPr>
          <w:b/>
          <w:u w:val="single"/>
        </w:rPr>
      </w:pPr>
      <w:r>
        <w:t>Cowcod were once an overfished species that have now been declared rebuilt. However, due to</w:t>
      </w:r>
      <w:r w:rsidR="00E04304">
        <w:t xml:space="preserve"> relatively low</w:t>
      </w:r>
      <w:r>
        <w:t xml:space="preserve"> allowable harvest limits, in part </w:t>
      </w:r>
      <w:r w:rsidR="00E04304">
        <w:t xml:space="preserve">stemming from </w:t>
      </w:r>
      <w:r>
        <w:t>the lack of biological and age data</w:t>
      </w:r>
      <w:r w:rsidR="00E04304">
        <w:t>, retention of cowcod has remained prohibited in non-trawl commercial and recreational fisheries.</w:t>
      </w:r>
      <w:r>
        <w:t xml:space="preserve"> </w:t>
      </w:r>
      <w:bookmarkEnd w:id="15"/>
      <w:r w:rsidR="006135FC">
        <w:t xml:space="preserve">To </w:t>
      </w:r>
      <w:r w:rsidR="00606157">
        <w:t>collect</w:t>
      </w:r>
      <w:r w:rsidR="006135FC">
        <w:t xml:space="preserve"> biological data, CDFW has obtained a federal Exempted Fishing Permit (EFP) which allows participating recreational charter vessels to retain cowcod </w:t>
      </w:r>
      <w:r w:rsidR="00186271">
        <w:t>incidentally</w:t>
      </w:r>
      <w:r w:rsidR="006135FC">
        <w:t xml:space="preserve"> encountered during normal fishing operations. Once landed, these cowcod are transferred to CDFW for the collection of biological data. Currently, there are nine participating vessels.</w:t>
      </w:r>
    </w:p>
    <w:p w14:paraId="148900AF" w14:textId="77777777" w:rsidR="002E18E3" w:rsidRDefault="002E18E3" w:rsidP="002E18E3">
      <w:pPr>
        <w:pStyle w:val="ListParagraph"/>
        <w:ind w:left="1080"/>
        <w:outlineLvl w:val="2"/>
      </w:pPr>
    </w:p>
    <w:p w14:paraId="65C843B5" w14:textId="48E15A67" w:rsidR="00492603" w:rsidRPr="005129DF" w:rsidRDefault="00492603" w:rsidP="008A343D">
      <w:pPr>
        <w:pStyle w:val="ListParagraph"/>
        <w:numPr>
          <w:ilvl w:val="0"/>
          <w:numId w:val="6"/>
        </w:numPr>
        <w:ind w:left="1080"/>
        <w:outlineLvl w:val="2"/>
      </w:pPr>
      <w:bookmarkStart w:id="17" w:name="_Toc131506777"/>
      <w:r w:rsidRPr="005129DF">
        <w:t>Assessment</w:t>
      </w:r>
      <w:bookmarkEnd w:id="16"/>
      <w:bookmarkEnd w:id="17"/>
    </w:p>
    <w:p w14:paraId="0615DAA9" w14:textId="6B890585" w:rsidR="006D5067" w:rsidRDefault="00205580" w:rsidP="006D5067">
      <w:pPr>
        <w:spacing w:after="120"/>
        <w:ind w:left="1080"/>
      </w:pPr>
      <w:r w:rsidRPr="00205580">
        <w:t>CDFW staff contributed to the 202</w:t>
      </w:r>
      <w:r w:rsidR="00E04304">
        <w:t>3</w:t>
      </w:r>
      <w:r w:rsidRPr="00205580">
        <w:t xml:space="preserve"> stock assessments as co-</w:t>
      </w:r>
      <w:proofErr w:type="gramStart"/>
      <w:r w:rsidRPr="00205580">
        <w:t>author</w:t>
      </w:r>
      <w:proofErr w:type="gramEnd"/>
      <w:r w:rsidRPr="00205580">
        <w:t xml:space="preserve"> (</w:t>
      </w:r>
      <w:r w:rsidR="005F54D8">
        <w:t>black</w:t>
      </w:r>
      <w:r>
        <w:t xml:space="preserve"> [</w:t>
      </w:r>
      <w:r w:rsidR="005F54D8">
        <w:rPr>
          <w:i/>
          <w:iCs/>
        </w:rPr>
        <w:t>S</w:t>
      </w:r>
      <w:r w:rsidR="00606157">
        <w:rPr>
          <w:i/>
          <w:iCs/>
        </w:rPr>
        <w:t>.</w:t>
      </w:r>
      <w:r w:rsidR="005F54D8">
        <w:rPr>
          <w:i/>
          <w:iCs/>
        </w:rPr>
        <w:t xml:space="preserve"> </w:t>
      </w:r>
      <w:proofErr w:type="spellStart"/>
      <w:r w:rsidR="005F54D8">
        <w:rPr>
          <w:i/>
          <w:iCs/>
        </w:rPr>
        <w:t>melanops</w:t>
      </w:r>
      <w:proofErr w:type="spellEnd"/>
      <w:r>
        <w:t>]</w:t>
      </w:r>
      <w:r w:rsidRPr="00205580">
        <w:t xml:space="preserve">, </w:t>
      </w:r>
      <w:r w:rsidR="005F54D8">
        <w:t>canary [</w:t>
      </w:r>
      <w:r w:rsidR="005F54D8">
        <w:rPr>
          <w:i/>
          <w:iCs/>
        </w:rPr>
        <w:t xml:space="preserve">S. </w:t>
      </w:r>
      <w:proofErr w:type="spellStart"/>
      <w:r w:rsidR="005F54D8">
        <w:rPr>
          <w:i/>
          <w:iCs/>
        </w:rPr>
        <w:t>pinniger</w:t>
      </w:r>
      <w:proofErr w:type="spellEnd"/>
      <w:r w:rsidR="005F54D8" w:rsidRPr="005F54D8">
        <w:t>]</w:t>
      </w:r>
      <w:r w:rsidR="005F54D8">
        <w:rPr>
          <w:i/>
          <w:iCs/>
        </w:rPr>
        <w:t xml:space="preserve"> </w:t>
      </w:r>
      <w:r w:rsidR="005F54D8">
        <w:t>and c</w:t>
      </w:r>
      <w:r w:rsidRPr="00205580">
        <w:t>opper</w:t>
      </w:r>
      <w:r w:rsidR="005F54D8">
        <w:t xml:space="preserve"> [</w:t>
      </w:r>
      <w:r w:rsidR="005F54D8">
        <w:rPr>
          <w:i/>
          <w:iCs/>
        </w:rPr>
        <w:t xml:space="preserve">S. </w:t>
      </w:r>
      <w:proofErr w:type="spellStart"/>
      <w:r w:rsidR="005F54D8">
        <w:rPr>
          <w:i/>
          <w:iCs/>
        </w:rPr>
        <w:t>caurinus</w:t>
      </w:r>
      <w:proofErr w:type="spellEnd"/>
      <w:r w:rsidR="005F54D8" w:rsidRPr="005F54D8">
        <w:t>]</w:t>
      </w:r>
      <w:r w:rsidR="005F54D8">
        <w:rPr>
          <w:i/>
          <w:iCs/>
        </w:rPr>
        <w:t xml:space="preserve"> </w:t>
      </w:r>
      <w:r w:rsidR="005F54D8">
        <w:t>rockfishes</w:t>
      </w:r>
      <w:r w:rsidRPr="00205580">
        <w:t>)</w:t>
      </w:r>
      <w:r w:rsidR="005F54D8">
        <w:t>.</w:t>
      </w:r>
      <w:r w:rsidRPr="00205580">
        <w:t xml:space="preserve"> CDFW staff provided additional length and age data for inclusion in the </w:t>
      </w:r>
      <w:r w:rsidR="00AF7CAB">
        <w:t xml:space="preserve">black, canary and </w:t>
      </w:r>
      <w:r w:rsidRPr="00205580">
        <w:t>copper rockfish stock assessments</w:t>
      </w:r>
      <w:r w:rsidR="003117B2">
        <w:t>.</w:t>
      </w:r>
    </w:p>
    <w:p w14:paraId="2DEFE83B" w14:textId="77777777" w:rsidR="00492603" w:rsidRPr="005129DF" w:rsidRDefault="00492603" w:rsidP="008A343D">
      <w:pPr>
        <w:pStyle w:val="ListParagraph"/>
        <w:numPr>
          <w:ilvl w:val="0"/>
          <w:numId w:val="6"/>
        </w:numPr>
        <w:ind w:left="1080"/>
        <w:contextualSpacing w:val="0"/>
        <w:outlineLvl w:val="2"/>
      </w:pPr>
      <w:bookmarkStart w:id="18" w:name="_Toc480450774"/>
      <w:bookmarkStart w:id="19" w:name="_Toc131506778"/>
      <w:r w:rsidRPr="005129DF">
        <w:t>Management</w:t>
      </w:r>
      <w:bookmarkEnd w:id="18"/>
      <w:bookmarkEnd w:id="19"/>
    </w:p>
    <w:p w14:paraId="04139C50" w14:textId="52D2912B" w:rsidR="005F54D8" w:rsidRDefault="00FD2FFF" w:rsidP="005F54D8">
      <w:pPr>
        <w:pStyle w:val="ListParagraph"/>
        <w:spacing w:after="120"/>
        <w:ind w:left="1080"/>
        <w:contextualSpacing w:val="0"/>
      </w:pPr>
      <w:r>
        <w:t>After many years of work, CDFW staff, combined with work by our partner agencies (NMFS, PFMC, the states of Oregon and Washington</w:t>
      </w:r>
      <w:r w:rsidR="00C105FD">
        <w:t xml:space="preserve"> Departments of Fish and Wildlife</w:t>
      </w:r>
      <w:r>
        <w:t xml:space="preserve">) as well as stakeholder groups, the PFMC </w:t>
      </w:r>
      <w:r w:rsidR="00C105FD">
        <w:t xml:space="preserve">recently adopted and </w:t>
      </w:r>
      <w:r>
        <w:t>recommended changes to non-trawl area management. This momentous achieve</w:t>
      </w:r>
      <w:r w:rsidR="00C105FD">
        <w:t>ment</w:t>
      </w:r>
      <w:r>
        <w:t xml:space="preserve"> will restore access to historic fishing grounds and healthy groundfish stocks for the non-trawl commercial sector, and in southern California, repeal the Cowcod Conservation Areas – which had effectively closed over 4,300 square miles of productive groundfish grounds to the commercial and recreational sectors. This effort was the culmination of a successful Exempted Fishing Permit</w:t>
      </w:r>
      <w:r w:rsidR="005F54D8">
        <w:t xml:space="preserve"> which proved the viability of a new gear configuration and consensus among a stakeholder workgroup comprised of conservation, industry and CDFW.</w:t>
      </w:r>
      <w:bookmarkStart w:id="20" w:name="_Toc480450775"/>
    </w:p>
    <w:p w14:paraId="6DBC33F3" w14:textId="7F5AED04" w:rsidR="00492603" w:rsidRDefault="00931F83" w:rsidP="00122518">
      <w:pPr>
        <w:pStyle w:val="ListParagraph"/>
        <w:numPr>
          <w:ilvl w:val="0"/>
          <w:numId w:val="6"/>
        </w:numPr>
        <w:spacing w:after="120"/>
        <w:contextualSpacing w:val="0"/>
        <w:outlineLvl w:val="2"/>
      </w:pPr>
      <w:bookmarkStart w:id="21" w:name="_Toc131506779"/>
      <w:r>
        <w:t>Commercial Fishery Monitoring</w:t>
      </w:r>
      <w:bookmarkEnd w:id="20"/>
      <w:bookmarkEnd w:id="21"/>
    </w:p>
    <w:p w14:paraId="6821E74A" w14:textId="3B98B8BB" w:rsidR="00492603" w:rsidRPr="00CD628F" w:rsidRDefault="00492603" w:rsidP="0063512A">
      <w:pPr>
        <w:pStyle w:val="NoSpacing"/>
        <w:spacing w:after="120"/>
        <w:ind w:left="1080"/>
        <w:rPr>
          <w:color w:val="002060"/>
        </w:rPr>
      </w:pPr>
      <w:r>
        <w:lastRenderedPageBreak/>
        <w:t>Statistical and biological data from landings are continually collected and routinely analyzed by CDFW staff to provide current information on groundfish fisheries and the status of the stocks</w:t>
      </w:r>
      <w:r w:rsidR="00DC7843">
        <w:t xml:space="preserve">. </w:t>
      </w:r>
      <w:r>
        <w:t xml:space="preserve">California’s primary commercial landings database is housed in CDFW’s </w:t>
      </w:r>
      <w:r w:rsidR="00AC0FAE">
        <w:t>Marine Landings Database System</w:t>
      </w:r>
      <w:r w:rsidR="00DC7843">
        <w:t xml:space="preserve">. </w:t>
      </w:r>
      <w:r>
        <w:t>Outside funding also enables California fishery data to be routinely incorporated into regional databases such as Pacific Coast Fisheries Information Network</w:t>
      </w:r>
      <w:r w:rsidR="00DC7843">
        <w:t xml:space="preserve">. </w:t>
      </w:r>
    </w:p>
    <w:p w14:paraId="25E6F025" w14:textId="2BF0FC9F" w:rsidR="00922563" w:rsidRDefault="00492603" w:rsidP="00492603">
      <w:pPr>
        <w:pStyle w:val="ListParagraph"/>
        <w:spacing w:after="120"/>
        <w:ind w:left="1080"/>
        <w:contextualSpacing w:val="0"/>
      </w:pPr>
      <w:r>
        <w:t>Commercial sampling</w:t>
      </w:r>
      <w:r w:rsidR="00AC0FAE">
        <w:t xml:space="preserve"> is conducted by PSMFC staff and </w:t>
      </w:r>
      <w:r>
        <w:t xml:space="preserve">occurs at local fish markets where samplers determine species composition of the different market categories, </w:t>
      </w:r>
      <w:proofErr w:type="gramStart"/>
      <w:r>
        <w:t>measure</w:t>
      </w:r>
      <w:proofErr w:type="gramEnd"/>
      <w:r>
        <w:t xml:space="preserve"> and weigh fish</w:t>
      </w:r>
      <w:r w:rsidR="00BA57CA">
        <w:t>,</w:t>
      </w:r>
      <w:r>
        <w:t xml:space="preserve"> and take otoliths for future ageing</w:t>
      </w:r>
      <w:r w:rsidR="00DC7843">
        <w:t xml:space="preserve">. </w:t>
      </w:r>
    </w:p>
    <w:p w14:paraId="24229431" w14:textId="61ADF280" w:rsidR="00C23BB9" w:rsidRDefault="00C23BB9" w:rsidP="00492603">
      <w:pPr>
        <w:pStyle w:val="ListParagraph"/>
        <w:spacing w:after="120"/>
        <w:ind w:left="1080"/>
        <w:contextualSpacing w:val="0"/>
      </w:pPr>
      <w:r>
        <w:t xml:space="preserve">Inseason monitoring of California commercial species landings is conducted by CDFW </w:t>
      </w:r>
      <w:r w:rsidR="00C105FD">
        <w:t>staff</w:t>
      </w:r>
      <w:r w:rsidR="00DC7843">
        <w:t xml:space="preserve">. </w:t>
      </w:r>
      <w:r>
        <w:t>This work is done in conjunction with inseason monitoring, management and regulatory tasks conducted by the PFMC’s Groundfish Management Team</w:t>
      </w:r>
      <w:r w:rsidR="00DC7843">
        <w:t>.</w:t>
      </w:r>
    </w:p>
    <w:p w14:paraId="5D9BD977" w14:textId="77777777" w:rsidR="00492603" w:rsidRDefault="00492603" w:rsidP="008A343D">
      <w:pPr>
        <w:pStyle w:val="ListParagraph"/>
        <w:numPr>
          <w:ilvl w:val="0"/>
          <w:numId w:val="6"/>
        </w:numPr>
        <w:ind w:left="1080"/>
        <w:contextualSpacing w:val="0"/>
        <w:outlineLvl w:val="2"/>
      </w:pPr>
      <w:bookmarkStart w:id="22" w:name="_Toc480450776"/>
      <w:bookmarkStart w:id="23" w:name="_Toc131506780"/>
      <w:r>
        <w:t>Recreational Fishery Monitoring</w:t>
      </w:r>
      <w:bookmarkEnd w:id="22"/>
      <w:bookmarkEnd w:id="23"/>
      <w:r>
        <w:t xml:space="preserve"> </w:t>
      </w:r>
    </w:p>
    <w:p w14:paraId="2833B490" w14:textId="65165929" w:rsidR="0090486E" w:rsidRDefault="0090486E" w:rsidP="0090486E">
      <w:pPr>
        <w:spacing w:after="120"/>
        <w:ind w:left="1080"/>
      </w:pPr>
      <w:bookmarkStart w:id="24" w:name="_Toc480450777"/>
      <w:r>
        <w:t>CRFS sampling</w:t>
      </w:r>
      <w:r w:rsidR="00931F83">
        <w:t>, which estimates catch and effort in recreational fisheries, has resumed normal sampling operations, ending modified COVID sampling protocols.</w:t>
      </w:r>
      <w:r w:rsidR="00730179">
        <w:t xml:space="preserve"> Estimates are typically available </w:t>
      </w:r>
      <w:proofErr w:type="gramStart"/>
      <w:r w:rsidR="00730179">
        <w:t>on a monthly basis</w:t>
      </w:r>
      <w:proofErr w:type="gramEnd"/>
      <w:r w:rsidR="00730179">
        <w:t xml:space="preserve"> with a 6-week time lag, however, information for some species </w:t>
      </w:r>
      <w:proofErr w:type="gramStart"/>
      <w:r w:rsidR="00730179">
        <w:t>are</w:t>
      </w:r>
      <w:proofErr w:type="gramEnd"/>
      <w:r w:rsidR="00730179">
        <w:t xml:space="preserve"> available weekly. </w:t>
      </w:r>
      <w:r w:rsidR="00D27756">
        <w:t>Availability of near real time catch data, i</w:t>
      </w:r>
      <w:r w:rsidR="00730179">
        <w:t xml:space="preserve">n conjunction with fishery tracking and monitoring, </w:t>
      </w:r>
      <w:r w:rsidR="00D27756">
        <w:t>p</w:t>
      </w:r>
      <w:r w:rsidR="00730179">
        <w:t>rovid</w:t>
      </w:r>
      <w:r w:rsidR="00D27756">
        <w:t>es</w:t>
      </w:r>
      <w:r w:rsidR="00730179">
        <w:t xml:space="preserve"> the ability to take inseason action more expeditiously, if needed. This approach</w:t>
      </w:r>
      <w:r w:rsidR="002948C4">
        <w:t xml:space="preserve"> is particularly useful for species with low allowable harvest limits or when substantive changes to fishing regulations create projection uncertainties.</w:t>
      </w:r>
    </w:p>
    <w:p w14:paraId="1DFC4FF6" w14:textId="33D8AB94" w:rsidR="00206CFD" w:rsidRDefault="0090486E" w:rsidP="0090486E">
      <w:pPr>
        <w:spacing w:after="120"/>
        <w:ind w:left="1080"/>
      </w:pPr>
      <w:r>
        <w:t xml:space="preserve">For more information about CRFS, visit the Department website at </w:t>
      </w:r>
      <w:hyperlink r:id="rId23" w:history="1">
        <w:r w:rsidR="008C6163" w:rsidRPr="00DF73ED">
          <w:rPr>
            <w:rStyle w:val="Hyperlink"/>
          </w:rPr>
          <w:t>https://wildlife.ca.gov/Conservation/Marine/CRFS</w:t>
        </w:r>
      </w:hyperlink>
      <w:r>
        <w:t>.</w:t>
      </w:r>
      <w:r w:rsidR="008C6163">
        <w:t xml:space="preserve"> </w:t>
      </w:r>
      <w:r>
        <w:t xml:space="preserve"> </w:t>
      </w:r>
    </w:p>
    <w:p w14:paraId="76C082D8" w14:textId="24C867FA" w:rsidR="00492603" w:rsidRDefault="00492603" w:rsidP="00C049FF">
      <w:pPr>
        <w:pStyle w:val="ListParagraph"/>
        <w:numPr>
          <w:ilvl w:val="0"/>
          <w:numId w:val="10"/>
        </w:numPr>
        <w:spacing w:before="200" w:after="120"/>
        <w:outlineLvl w:val="1"/>
      </w:pPr>
      <w:bookmarkStart w:id="25" w:name="_Toc131506781"/>
      <w:bookmarkStart w:id="26" w:name="_Hlk131492433"/>
      <w:r w:rsidRPr="00C07736">
        <w:t>P</w:t>
      </w:r>
      <w:r w:rsidR="001D0E3E">
        <w:t>acific H</w:t>
      </w:r>
      <w:r w:rsidRPr="00C07736">
        <w:t xml:space="preserve">alibut &amp; </w:t>
      </w:r>
      <w:r w:rsidR="00CA06F0">
        <w:t>International Pacific Halibut Commission</w:t>
      </w:r>
      <w:r w:rsidRPr="00C07736">
        <w:t xml:space="preserve"> activities</w:t>
      </w:r>
      <w:bookmarkEnd w:id="24"/>
      <w:bookmarkEnd w:id="25"/>
      <w:r w:rsidRPr="00C07736">
        <w:t xml:space="preserve"> </w:t>
      </w:r>
    </w:p>
    <w:p w14:paraId="1E3627AB" w14:textId="3A5B9C08" w:rsidR="00CD5030" w:rsidRDefault="00CD5030" w:rsidP="00186271">
      <w:pPr>
        <w:ind w:left="360"/>
      </w:pPr>
      <w:r w:rsidRPr="00CD5030">
        <w:t>The California coastline plays a unique part in Pacific halibut management as it is located at the southern extent of the population range and has historically been a minor contributor to harvest removals compared to other management areas. While relatively small in volume, this fishery is essential to the continued existence of the fishing community on California’s rugged north coast, especially taking into consideration increasingly limited fishing opportunities for salmon and groundfish. CDFW is optimistic that Pacific halibut can continue to be a viable and sustainable resource for the local and regional economies of the north coast.</w:t>
      </w:r>
    </w:p>
    <w:p w14:paraId="677DA543" w14:textId="77777777" w:rsidR="00D97009" w:rsidRDefault="00D97009" w:rsidP="00CD5030">
      <w:pPr>
        <w:pStyle w:val="ListParagraph"/>
      </w:pPr>
    </w:p>
    <w:p w14:paraId="4A734D7C" w14:textId="77777777" w:rsidR="00D97009" w:rsidRDefault="00D97009" w:rsidP="00D97009">
      <w:pPr>
        <w:pStyle w:val="ListParagraph"/>
        <w:numPr>
          <w:ilvl w:val="0"/>
          <w:numId w:val="5"/>
        </w:numPr>
        <w:ind w:left="1080"/>
        <w:contextualSpacing w:val="0"/>
        <w:outlineLvl w:val="2"/>
      </w:pPr>
      <w:bookmarkStart w:id="27" w:name="_Toc131488914"/>
      <w:bookmarkStart w:id="28" w:name="_Toc131506782"/>
      <w:r w:rsidRPr="008F6365">
        <w:t>Management</w:t>
      </w:r>
      <w:bookmarkEnd w:id="27"/>
      <w:bookmarkEnd w:id="28"/>
      <w:r>
        <w:t xml:space="preserve"> </w:t>
      </w:r>
    </w:p>
    <w:p w14:paraId="44705CDF" w14:textId="77777777" w:rsidR="00D97009" w:rsidRDefault="00D97009" w:rsidP="00D97009">
      <w:pPr>
        <w:spacing w:after="120"/>
        <w:ind w:left="1080"/>
      </w:pPr>
      <w:r>
        <w:t xml:space="preserve">The CDFW collaboratively manages the Pacific Halibut resource off the coast of California with the IPHC, NMFS, PFMC, other west coast states, and the CFGC. Pacific Halibut management activities occur on an annual timeline, with most changes to management occurring through the PFMC’s Catch Sharing Plan and federal regulations published by NMFS. Changes to the </w:t>
      </w:r>
      <w:r>
        <w:lastRenderedPageBreak/>
        <w:t>Catch Sharing Plan for the following year are approved in November by the PFMC.</w:t>
      </w:r>
    </w:p>
    <w:p w14:paraId="25A7B426" w14:textId="77777777" w:rsidR="00D97009" w:rsidRDefault="00D97009" w:rsidP="00D97009">
      <w:pPr>
        <w:spacing w:after="120"/>
        <w:ind w:left="1080"/>
      </w:pPr>
      <w:r w:rsidRPr="00FC143A">
        <w:t xml:space="preserve">Once the federal regulations are adopted, the state can then take action to conform state regulations to federal regulations for the recreational fishery by notifying constituents within 10 days of publication of the regulations in the Federal Register. Notification is </w:t>
      </w:r>
      <w:proofErr w:type="gramStart"/>
      <w:r w:rsidRPr="00FC143A">
        <w:t>done</w:t>
      </w:r>
      <w:proofErr w:type="gramEnd"/>
      <w:r w:rsidRPr="00FC143A">
        <w:t xml:space="preserve"> via press release and the CFGC is notified of the action at their next scheduled meeting.</w:t>
      </w:r>
      <w:r>
        <w:t xml:space="preserve"> </w:t>
      </w:r>
    </w:p>
    <w:p w14:paraId="5CCF8D3A" w14:textId="77777777" w:rsidR="00D97009" w:rsidRDefault="00D97009" w:rsidP="00D97009">
      <w:pPr>
        <w:pStyle w:val="ListParagraph"/>
        <w:numPr>
          <w:ilvl w:val="0"/>
          <w:numId w:val="5"/>
        </w:numPr>
        <w:ind w:left="1080"/>
        <w:contextualSpacing w:val="0"/>
        <w:outlineLvl w:val="2"/>
      </w:pPr>
      <w:bookmarkStart w:id="29" w:name="_Toc131488915"/>
      <w:bookmarkStart w:id="30" w:name="_Toc131506783"/>
      <w:r>
        <w:t>Commercial Fishery Monitoring</w:t>
      </w:r>
      <w:bookmarkEnd w:id="29"/>
      <w:bookmarkEnd w:id="30"/>
      <w:r>
        <w:t xml:space="preserve"> </w:t>
      </w:r>
    </w:p>
    <w:p w14:paraId="2169C8C8" w14:textId="295B3DF7" w:rsidR="00D97009" w:rsidRDefault="00D97009" w:rsidP="00D97009">
      <w:pPr>
        <w:tabs>
          <w:tab w:val="left" w:pos="1080"/>
        </w:tabs>
        <w:spacing w:after="120"/>
        <w:ind w:left="1080"/>
      </w:pPr>
      <w:r w:rsidRPr="00D31221">
        <w:t xml:space="preserve">The directed commercial fishery for Pacific Halibut is managed under a coastwide (Washington, </w:t>
      </w:r>
      <w:proofErr w:type="gramStart"/>
      <w:r w:rsidRPr="00D31221">
        <w:t>Oregon</w:t>
      </w:r>
      <w:proofErr w:type="gramEnd"/>
      <w:r w:rsidRPr="00D31221">
        <w:t xml:space="preserve"> and California) quota and operates as a derby fishery. The fishery opened on June 26 and beginning in 202</w:t>
      </w:r>
      <w:r w:rsidR="007F4082">
        <w:t>2</w:t>
      </w:r>
      <w:r w:rsidRPr="00D31221">
        <w:t>, is structured based on 56-hour openers that are spaced two weeks apart. The fishery operates on this schedule until the coastwide quota has been met. California effort in this fishery continued in 2022 with six vessels participating in the fishery; landings totaled 2,028 dressed kilograms (4,472 dressed pounds).</w:t>
      </w:r>
    </w:p>
    <w:p w14:paraId="72486AE8" w14:textId="77777777" w:rsidR="00D97009" w:rsidRDefault="00D97009" w:rsidP="00D97009">
      <w:pPr>
        <w:pStyle w:val="ListParagraph"/>
        <w:numPr>
          <w:ilvl w:val="0"/>
          <w:numId w:val="5"/>
        </w:numPr>
        <w:ind w:left="1080"/>
        <w:contextualSpacing w:val="0"/>
        <w:outlineLvl w:val="2"/>
      </w:pPr>
      <w:bookmarkStart w:id="31" w:name="_Toc131488916"/>
      <w:bookmarkStart w:id="32" w:name="_Toc131506784"/>
      <w:r>
        <w:t>Recreational Fishery Monitoring</w:t>
      </w:r>
      <w:bookmarkEnd w:id="31"/>
      <w:bookmarkEnd w:id="32"/>
    </w:p>
    <w:p w14:paraId="5F3A46B5" w14:textId="77777777" w:rsidR="00D97009" w:rsidRPr="00D97009" w:rsidRDefault="00D97009" w:rsidP="00D97009">
      <w:pPr>
        <w:tabs>
          <w:tab w:val="left" w:pos="1080"/>
        </w:tabs>
        <w:spacing w:after="120"/>
        <w:ind w:left="1080"/>
      </w:pPr>
      <w:r w:rsidRPr="00D97009">
        <w:t>The 2022 recreational Pacific halibut fishery in California was scheduled to be open seven days per week May 1- November 15, or until the 38,740 net pound quota was met, whichever came first. However, inseason catch tracking and monitoring through the end of July indicated the quota was expected to be reached or exceeded prior to the November 15 fishery end date. CDFW in consultation with the IPHC, NMFS and the PFMC closed the recreational fishery on August 7, 2022.</w:t>
      </w:r>
    </w:p>
    <w:p w14:paraId="59B7747B" w14:textId="77777777" w:rsidR="00D97009" w:rsidRPr="00D97009" w:rsidRDefault="00D97009" w:rsidP="00D97009">
      <w:pPr>
        <w:spacing w:after="120"/>
        <w:ind w:left="1080"/>
        <w:rPr>
          <w:bCs/>
        </w:rPr>
      </w:pPr>
      <w:r w:rsidRPr="00D97009">
        <w:rPr>
          <w:bCs/>
        </w:rPr>
        <w:t xml:space="preserve">Beginning in 2020, extreme high catch events have occurred in the fishery generally starting the second half of June and extending into July or August. These extreme catch events are first observed in the raw CDFW California Recreational Fishery Survey (CRFS) sampler data, with tallies of fish reaching over 250 fish in a single week in 2020. Prior to 2020, on average 250 fish would be sampled over an entire season, and the highest single </w:t>
      </w:r>
      <w:proofErr w:type="gramStart"/>
      <w:r w:rsidRPr="00D97009">
        <w:rPr>
          <w:bCs/>
        </w:rPr>
        <w:t>months</w:t>
      </w:r>
      <w:proofErr w:type="gramEnd"/>
      <w:r w:rsidRPr="00D97009">
        <w:rPr>
          <w:bCs/>
        </w:rPr>
        <w:t xml:space="preserve"> tally was just over 100 fish. These extreme catch events continued in 2021, and 2022, and indicate an abundance of Pacific halibut off the California coast. Anecdotal information from anglers and charter/party boat operators indicates that during these times the success of anglers targeting Pacific halibut is almost 100 percent with anglers reaching their limits </w:t>
      </w:r>
      <w:proofErr w:type="gramStart"/>
      <w:r w:rsidRPr="00D97009">
        <w:rPr>
          <w:bCs/>
        </w:rPr>
        <w:t>fairly early</w:t>
      </w:r>
      <w:proofErr w:type="gramEnd"/>
      <w:r w:rsidRPr="00D97009">
        <w:rPr>
          <w:bCs/>
        </w:rPr>
        <w:t xml:space="preserve"> in the day, whereas prior to 2020 the success rate was about 50 percent and time spent on the water was significantly increased.</w:t>
      </w:r>
    </w:p>
    <w:p w14:paraId="6DFC6DA5" w14:textId="77777777" w:rsidR="00D97009" w:rsidRPr="00D97009" w:rsidRDefault="00D97009" w:rsidP="00D97009">
      <w:pPr>
        <w:spacing w:after="120"/>
        <w:ind w:left="1080"/>
        <w:rPr>
          <w:bCs/>
        </w:rPr>
      </w:pPr>
      <w:r w:rsidRPr="00D97009">
        <w:rPr>
          <w:bCs/>
        </w:rPr>
        <w:t>In response to these high catch events, and the resulting speed at which the quota can be reached or exceeded, CDFW implemented daily tracking in 2021 which continued in 2022. This adaptive catch tracking and monitoring has resulted in more timely management responses to fishery catch trends.</w:t>
      </w:r>
    </w:p>
    <w:bookmarkEnd w:id="26"/>
    <w:p w14:paraId="4E78BC13" w14:textId="5FC5C4FB" w:rsidR="00492603" w:rsidRDefault="00492603" w:rsidP="00A27BD9">
      <w:pPr>
        <w:spacing w:after="120"/>
        <w:ind w:left="1080"/>
      </w:pPr>
    </w:p>
    <w:sectPr w:rsidR="00492603" w:rsidSect="00492603">
      <w:type w:val="continuous"/>
      <w:pgSz w:w="12240" w:h="15840"/>
      <w:pgMar w:top="1440" w:right="1440" w:bottom="1440" w:left="144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lein, Andrew@Wildlife" w:date="2023-04-04T10:51:00Z" w:initials="KA">
    <w:p w14:paraId="5AAB77CC" w14:textId="3E831012" w:rsidR="00E33BDD" w:rsidRDefault="00E33BDD" w:rsidP="005F63DC">
      <w:pPr>
        <w:pStyle w:val="CommentText"/>
      </w:pPr>
      <w:r>
        <w:rPr>
          <w:rStyle w:val="CommentReference"/>
        </w:rPr>
        <w:annotationRef/>
      </w:r>
      <w:r>
        <w:t>Do we really need this? Also thought we werent supposed to put email hyperlinks in reports like this anymore?</w:t>
      </w:r>
    </w:p>
  </w:comment>
  <w:comment w:id="14" w:author="Klein, Andrew@Wildlife" w:date="2023-04-04T10:56:00Z" w:initials="KA">
    <w:p w14:paraId="4758FDCD" w14:textId="42B214C2" w:rsidR="00380004" w:rsidRDefault="00380004" w:rsidP="00422359">
      <w:pPr>
        <w:pStyle w:val="CommentText"/>
      </w:pPr>
      <w:r>
        <w:rPr>
          <w:rStyle w:val="CommentReference"/>
        </w:rPr>
        <w:annotationRef/>
      </w:r>
      <w:r>
        <w:t>I wanted to have something in here to rebut the 'its not platnum sampling' crap. Fact of the matter is it pretty damn good for what it is and right now this is the only way we are going to get this data…. So wtf, over. Use it. I sorta feel like we need to do a better job of our own PR to outside, yet incolved groups. We can say this all day long to NMFS but it isnt getting us anywhere, so if we can make others see the value in this, I think it may increase the preasure on NMFS to accept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B77CC" w15:done="0"/>
  <w15:commentEx w15:paraId="4758F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FC2" w16cex:dateUtc="2023-04-04T17:51:00Z"/>
  <w16cex:commentExtensible w16cex:durableId="27D680CA" w16cex:dateUtc="2023-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B77CC" w16cid:durableId="27D67FC2"/>
  <w16cid:commentId w16cid:paraId="4758FDCD" w16cid:durableId="27D68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1C42" w14:textId="77777777" w:rsidR="00ED28F6" w:rsidRDefault="00ED28F6" w:rsidP="00492603">
      <w:r>
        <w:separator/>
      </w:r>
    </w:p>
  </w:endnote>
  <w:endnote w:type="continuationSeparator" w:id="0">
    <w:p w14:paraId="6F0B5CB7" w14:textId="77777777" w:rsidR="00ED28F6" w:rsidRDefault="00ED28F6" w:rsidP="0049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D40" w14:textId="77777777" w:rsidR="00277F3D" w:rsidRDefault="00277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135394"/>
      <w:docPartObj>
        <w:docPartGallery w:val="Page Numbers (Bottom of Page)"/>
        <w:docPartUnique/>
      </w:docPartObj>
    </w:sdtPr>
    <w:sdtEndPr>
      <w:rPr>
        <w:noProof/>
      </w:rPr>
    </w:sdtEndPr>
    <w:sdtContent>
      <w:p w14:paraId="1CB680EB" w14:textId="77777777" w:rsidR="001F1C13" w:rsidRDefault="001F1C13">
        <w:pPr>
          <w:pStyle w:val="Footer"/>
          <w:jc w:val="center"/>
        </w:pPr>
      </w:p>
      <w:p w14:paraId="207C836D" w14:textId="77777777" w:rsidR="001F1C13" w:rsidRDefault="001F1C1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3CAAE15" w14:textId="77777777" w:rsidR="001F1C13" w:rsidRDefault="001F1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9DB2" w14:textId="77777777" w:rsidR="00277F3D" w:rsidRDefault="0027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2DCE" w14:textId="77777777" w:rsidR="00ED28F6" w:rsidRDefault="00ED28F6" w:rsidP="00492603">
      <w:r>
        <w:separator/>
      </w:r>
    </w:p>
  </w:footnote>
  <w:footnote w:type="continuationSeparator" w:id="0">
    <w:p w14:paraId="2F2B12C8" w14:textId="77777777" w:rsidR="00ED28F6" w:rsidRDefault="00ED28F6" w:rsidP="0049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EEC5" w14:textId="77777777" w:rsidR="00277F3D" w:rsidRDefault="0027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4D0E" w14:textId="77777777" w:rsidR="00277F3D" w:rsidRDefault="00277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EFC3" w14:textId="77777777" w:rsidR="00277F3D" w:rsidRDefault="0027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9E1"/>
    <w:multiLevelType w:val="hybridMultilevel"/>
    <w:tmpl w:val="AE44F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7B2564"/>
    <w:multiLevelType w:val="hybridMultilevel"/>
    <w:tmpl w:val="7250E53E"/>
    <w:lvl w:ilvl="0" w:tplc="04090015">
      <w:start w:val="1"/>
      <w:numFmt w:val="upperLetter"/>
      <w:lvlText w:val="%1."/>
      <w:lvlJc w:val="left"/>
      <w:pPr>
        <w:ind w:left="4680" w:hanging="360"/>
      </w:pPr>
    </w:lvl>
    <w:lvl w:ilvl="1" w:tplc="04090015">
      <w:start w:val="1"/>
      <w:numFmt w:val="upp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27551D0D"/>
    <w:multiLevelType w:val="hybridMultilevel"/>
    <w:tmpl w:val="73004A1E"/>
    <w:lvl w:ilvl="0" w:tplc="EC62F492">
      <w:start w:val="6"/>
      <w:numFmt w:val="upperRoman"/>
      <w:lvlText w:val="%1."/>
      <w:lvlJc w:val="right"/>
      <w:pPr>
        <w:ind w:left="360" w:hanging="360"/>
      </w:pPr>
      <w:rPr>
        <w:rFonts w:hint="default"/>
        <w:color w:val="000000" w:themeColor="text1"/>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7270917"/>
    <w:multiLevelType w:val="hybridMultilevel"/>
    <w:tmpl w:val="EC52CC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FF26E5"/>
    <w:multiLevelType w:val="hybridMultilevel"/>
    <w:tmpl w:val="B94C153E"/>
    <w:lvl w:ilvl="0" w:tplc="79F40D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B1198"/>
    <w:multiLevelType w:val="hybridMultilevel"/>
    <w:tmpl w:val="256A9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460E80"/>
    <w:multiLevelType w:val="hybridMultilevel"/>
    <w:tmpl w:val="C9F2DE2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396FD1"/>
    <w:multiLevelType w:val="hybridMultilevel"/>
    <w:tmpl w:val="0FE62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D2667"/>
    <w:multiLevelType w:val="hybridMultilevel"/>
    <w:tmpl w:val="D25828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C3513"/>
    <w:multiLevelType w:val="hybridMultilevel"/>
    <w:tmpl w:val="14F2EADA"/>
    <w:lvl w:ilvl="0" w:tplc="71845220">
      <w:start w:val="1"/>
      <w:numFmt w:val="upperLetter"/>
      <w:lvlText w:val="%1."/>
      <w:lvlJc w:val="left"/>
      <w:pPr>
        <w:ind w:left="720" w:hanging="36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B2B7C"/>
    <w:multiLevelType w:val="hybridMultilevel"/>
    <w:tmpl w:val="D2FE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15DE1"/>
    <w:multiLevelType w:val="hybridMultilevel"/>
    <w:tmpl w:val="E4C4F1D4"/>
    <w:lvl w:ilvl="0" w:tplc="A1A02A26">
      <w:start w:val="1"/>
      <w:numFmt w:val="decimal"/>
      <w:lvlText w:val="%1."/>
      <w:lvlJc w:val="left"/>
      <w:pPr>
        <w:ind w:left="1260" w:hanging="360"/>
      </w:pPr>
      <w:rPr>
        <w:rFonts w:ascii="Arial" w:hAnsi="Arial" w:cs="Aria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6941F5"/>
    <w:multiLevelType w:val="hybridMultilevel"/>
    <w:tmpl w:val="2B5858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7357D5"/>
    <w:multiLevelType w:val="hybridMultilevel"/>
    <w:tmpl w:val="9A0C4712"/>
    <w:lvl w:ilvl="0" w:tplc="00668466">
      <w:start w:val="4"/>
      <w:numFmt w:val="decimal"/>
      <w:lvlText w:val="%1."/>
      <w:lvlJc w:val="left"/>
      <w:pPr>
        <w:ind w:left="1260" w:hanging="360"/>
      </w:pPr>
      <w:rPr>
        <w:rFonts w:ascii="Arial" w:hAnsi="Arial" w:cs="Arial"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C67C2"/>
    <w:multiLevelType w:val="hybridMultilevel"/>
    <w:tmpl w:val="A3D497FE"/>
    <w:lvl w:ilvl="0" w:tplc="EDC68048">
      <w:start w:val="3"/>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F634A"/>
    <w:multiLevelType w:val="hybridMultilevel"/>
    <w:tmpl w:val="5CB28D72"/>
    <w:lvl w:ilvl="0" w:tplc="FB64E9D8">
      <w:start w:val="1"/>
      <w:numFmt w:val="decimal"/>
      <w:lvlText w:val="%1."/>
      <w:lvlJc w:val="left"/>
      <w:pPr>
        <w:ind w:left="720" w:hanging="360"/>
      </w:pPr>
      <w:rPr>
        <w:rFonts w:ascii="Arial" w:hAnsi="Arial" w:cs="Arial"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8684C"/>
    <w:multiLevelType w:val="hybridMultilevel"/>
    <w:tmpl w:val="142EA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456BF6"/>
    <w:multiLevelType w:val="hybridMultilevel"/>
    <w:tmpl w:val="1F20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70301"/>
    <w:multiLevelType w:val="hybridMultilevel"/>
    <w:tmpl w:val="FF2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3ACA"/>
    <w:multiLevelType w:val="hybridMultilevel"/>
    <w:tmpl w:val="1D801AF4"/>
    <w:lvl w:ilvl="0" w:tplc="4ADA2626">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2C6733"/>
    <w:multiLevelType w:val="hybridMultilevel"/>
    <w:tmpl w:val="EA38F95C"/>
    <w:lvl w:ilvl="0" w:tplc="ED6E1E30">
      <w:start w:val="1"/>
      <w:numFmt w:val="upperRoman"/>
      <w:lvlText w:val="%1."/>
      <w:lvlJc w:val="right"/>
      <w:pPr>
        <w:ind w:left="960" w:hanging="360"/>
      </w:pPr>
      <w:rPr>
        <w:b w:val="0"/>
        <w:i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487555378">
    <w:abstractNumId w:val="20"/>
  </w:num>
  <w:num w:numId="2" w16cid:durableId="641428231">
    <w:abstractNumId w:val="7"/>
  </w:num>
  <w:num w:numId="3" w16cid:durableId="1239512202">
    <w:abstractNumId w:val="16"/>
  </w:num>
  <w:num w:numId="4" w16cid:durableId="1920291442">
    <w:abstractNumId w:val="0"/>
  </w:num>
  <w:num w:numId="5" w16cid:durableId="287778941">
    <w:abstractNumId w:val="5"/>
  </w:num>
  <w:num w:numId="6" w16cid:durableId="151680437">
    <w:abstractNumId w:val="11"/>
  </w:num>
  <w:num w:numId="7" w16cid:durableId="1212183071">
    <w:abstractNumId w:val="19"/>
  </w:num>
  <w:num w:numId="8" w16cid:durableId="97264312">
    <w:abstractNumId w:val="3"/>
  </w:num>
  <w:num w:numId="9" w16cid:durableId="1081026141">
    <w:abstractNumId w:val="8"/>
  </w:num>
  <w:num w:numId="10" w16cid:durableId="337274935">
    <w:abstractNumId w:val="9"/>
  </w:num>
  <w:num w:numId="11" w16cid:durableId="450248342">
    <w:abstractNumId w:val="15"/>
  </w:num>
  <w:num w:numId="12" w16cid:durableId="1473792050">
    <w:abstractNumId w:val="12"/>
  </w:num>
  <w:num w:numId="13" w16cid:durableId="778646599">
    <w:abstractNumId w:val="6"/>
  </w:num>
  <w:num w:numId="14" w16cid:durableId="110169709">
    <w:abstractNumId w:val="1"/>
  </w:num>
  <w:num w:numId="15" w16cid:durableId="1910382827">
    <w:abstractNumId w:val="17"/>
  </w:num>
  <w:num w:numId="16" w16cid:durableId="1330405436">
    <w:abstractNumId w:val="4"/>
  </w:num>
  <w:num w:numId="17" w16cid:durableId="1348408935">
    <w:abstractNumId w:val="13"/>
  </w:num>
  <w:num w:numId="18" w16cid:durableId="928122552">
    <w:abstractNumId w:val="2"/>
  </w:num>
  <w:num w:numId="19" w16cid:durableId="1581523328">
    <w:abstractNumId w:val="14"/>
  </w:num>
  <w:num w:numId="20" w16cid:durableId="1026103469">
    <w:abstractNumId w:val="10"/>
  </w:num>
  <w:num w:numId="21" w16cid:durableId="12212864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in, Andrew@Wildlife">
    <w15:presenceInfo w15:providerId="AD" w15:userId="S::Andrew.Klein@wildlife.ca.gov::93b21328-5db1-4f5a-806b-264629e9f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03"/>
    <w:rsid w:val="000101A9"/>
    <w:rsid w:val="00011F78"/>
    <w:rsid w:val="00013C6C"/>
    <w:rsid w:val="00014BBC"/>
    <w:rsid w:val="00040835"/>
    <w:rsid w:val="00043769"/>
    <w:rsid w:val="000721E3"/>
    <w:rsid w:val="000745E9"/>
    <w:rsid w:val="00081074"/>
    <w:rsid w:val="000824B0"/>
    <w:rsid w:val="00095685"/>
    <w:rsid w:val="000960BA"/>
    <w:rsid w:val="000A0C18"/>
    <w:rsid w:val="000C090C"/>
    <w:rsid w:val="000E23AE"/>
    <w:rsid w:val="00120B43"/>
    <w:rsid w:val="00125D3C"/>
    <w:rsid w:val="0015035D"/>
    <w:rsid w:val="00175A33"/>
    <w:rsid w:val="00177E58"/>
    <w:rsid w:val="0018385E"/>
    <w:rsid w:val="00185913"/>
    <w:rsid w:val="00186271"/>
    <w:rsid w:val="0019315A"/>
    <w:rsid w:val="00194D0C"/>
    <w:rsid w:val="001D0E3E"/>
    <w:rsid w:val="001D27CE"/>
    <w:rsid w:val="001E47AD"/>
    <w:rsid w:val="001E6D7D"/>
    <w:rsid w:val="001F1C13"/>
    <w:rsid w:val="00205580"/>
    <w:rsid w:val="00206CFD"/>
    <w:rsid w:val="00214E67"/>
    <w:rsid w:val="00227EF9"/>
    <w:rsid w:val="00232BCF"/>
    <w:rsid w:val="00246A93"/>
    <w:rsid w:val="0026268D"/>
    <w:rsid w:val="00266036"/>
    <w:rsid w:val="00277F3D"/>
    <w:rsid w:val="00290C6C"/>
    <w:rsid w:val="00290FC7"/>
    <w:rsid w:val="002948C4"/>
    <w:rsid w:val="002B2467"/>
    <w:rsid w:val="002D2EB5"/>
    <w:rsid w:val="002E18E3"/>
    <w:rsid w:val="00300D71"/>
    <w:rsid w:val="003016F6"/>
    <w:rsid w:val="003117B2"/>
    <w:rsid w:val="00314055"/>
    <w:rsid w:val="003246C0"/>
    <w:rsid w:val="0033120C"/>
    <w:rsid w:val="003337E7"/>
    <w:rsid w:val="003358BD"/>
    <w:rsid w:val="00352CA8"/>
    <w:rsid w:val="00356D92"/>
    <w:rsid w:val="00361C06"/>
    <w:rsid w:val="00380004"/>
    <w:rsid w:val="00381EA7"/>
    <w:rsid w:val="00397C56"/>
    <w:rsid w:val="003A5643"/>
    <w:rsid w:val="003A61DB"/>
    <w:rsid w:val="003E471A"/>
    <w:rsid w:val="003F5124"/>
    <w:rsid w:val="00414E33"/>
    <w:rsid w:val="00425012"/>
    <w:rsid w:val="0043531E"/>
    <w:rsid w:val="00492603"/>
    <w:rsid w:val="004A0CC0"/>
    <w:rsid w:val="004C2B47"/>
    <w:rsid w:val="004F5DD0"/>
    <w:rsid w:val="005000EC"/>
    <w:rsid w:val="00502EC3"/>
    <w:rsid w:val="005204BF"/>
    <w:rsid w:val="0052751F"/>
    <w:rsid w:val="005355F6"/>
    <w:rsid w:val="00540189"/>
    <w:rsid w:val="00540809"/>
    <w:rsid w:val="00560C55"/>
    <w:rsid w:val="00566216"/>
    <w:rsid w:val="00573C62"/>
    <w:rsid w:val="00590C67"/>
    <w:rsid w:val="005A15C1"/>
    <w:rsid w:val="005A4022"/>
    <w:rsid w:val="005A4085"/>
    <w:rsid w:val="005B0A22"/>
    <w:rsid w:val="005B3B0D"/>
    <w:rsid w:val="005C5D03"/>
    <w:rsid w:val="005D7A3E"/>
    <w:rsid w:val="005E4138"/>
    <w:rsid w:val="005E5ABE"/>
    <w:rsid w:val="005F5082"/>
    <w:rsid w:val="005F54D8"/>
    <w:rsid w:val="00600285"/>
    <w:rsid w:val="00600885"/>
    <w:rsid w:val="00601A72"/>
    <w:rsid w:val="00602ADB"/>
    <w:rsid w:val="00606157"/>
    <w:rsid w:val="006135FC"/>
    <w:rsid w:val="00615DF5"/>
    <w:rsid w:val="00617218"/>
    <w:rsid w:val="006225EE"/>
    <w:rsid w:val="0063512A"/>
    <w:rsid w:val="0063546E"/>
    <w:rsid w:val="006407F5"/>
    <w:rsid w:val="00646FFD"/>
    <w:rsid w:val="00672740"/>
    <w:rsid w:val="0068472F"/>
    <w:rsid w:val="0068713E"/>
    <w:rsid w:val="00692553"/>
    <w:rsid w:val="006A33DF"/>
    <w:rsid w:val="006A7A50"/>
    <w:rsid w:val="006B4C22"/>
    <w:rsid w:val="006C051A"/>
    <w:rsid w:val="006D5067"/>
    <w:rsid w:val="006E321E"/>
    <w:rsid w:val="006F1396"/>
    <w:rsid w:val="00703B6C"/>
    <w:rsid w:val="00706717"/>
    <w:rsid w:val="00713B40"/>
    <w:rsid w:val="00730179"/>
    <w:rsid w:val="00730AD1"/>
    <w:rsid w:val="0073789A"/>
    <w:rsid w:val="00755784"/>
    <w:rsid w:val="00772E18"/>
    <w:rsid w:val="007919A3"/>
    <w:rsid w:val="007944F5"/>
    <w:rsid w:val="007C62EC"/>
    <w:rsid w:val="007C6FD4"/>
    <w:rsid w:val="007F4082"/>
    <w:rsid w:val="00801215"/>
    <w:rsid w:val="00823705"/>
    <w:rsid w:val="00835146"/>
    <w:rsid w:val="00835504"/>
    <w:rsid w:val="008433D2"/>
    <w:rsid w:val="008505B8"/>
    <w:rsid w:val="0087795B"/>
    <w:rsid w:val="00881D02"/>
    <w:rsid w:val="008A343D"/>
    <w:rsid w:val="008A38C6"/>
    <w:rsid w:val="008A6C84"/>
    <w:rsid w:val="008B1D11"/>
    <w:rsid w:val="008B2891"/>
    <w:rsid w:val="008C35EF"/>
    <w:rsid w:val="008C6163"/>
    <w:rsid w:val="008C7920"/>
    <w:rsid w:val="008D7464"/>
    <w:rsid w:val="008E185D"/>
    <w:rsid w:val="008F3F69"/>
    <w:rsid w:val="008F59AB"/>
    <w:rsid w:val="0090486E"/>
    <w:rsid w:val="00907FFC"/>
    <w:rsid w:val="00920C3B"/>
    <w:rsid w:val="00922563"/>
    <w:rsid w:val="009314DD"/>
    <w:rsid w:val="00931F83"/>
    <w:rsid w:val="00935409"/>
    <w:rsid w:val="00936AD2"/>
    <w:rsid w:val="0098557B"/>
    <w:rsid w:val="0099576C"/>
    <w:rsid w:val="009B05B0"/>
    <w:rsid w:val="009C1C72"/>
    <w:rsid w:val="009C277C"/>
    <w:rsid w:val="009C6D8A"/>
    <w:rsid w:val="009D1961"/>
    <w:rsid w:val="009F3FF0"/>
    <w:rsid w:val="009F6DCA"/>
    <w:rsid w:val="00A020C0"/>
    <w:rsid w:val="00A10343"/>
    <w:rsid w:val="00A13E9B"/>
    <w:rsid w:val="00A1407A"/>
    <w:rsid w:val="00A27BD9"/>
    <w:rsid w:val="00A32292"/>
    <w:rsid w:val="00A64267"/>
    <w:rsid w:val="00A9255B"/>
    <w:rsid w:val="00AB0FCF"/>
    <w:rsid w:val="00AB30D9"/>
    <w:rsid w:val="00AC0FAE"/>
    <w:rsid w:val="00AD1B9C"/>
    <w:rsid w:val="00AD47D3"/>
    <w:rsid w:val="00AE108C"/>
    <w:rsid w:val="00AF4CA3"/>
    <w:rsid w:val="00AF6439"/>
    <w:rsid w:val="00AF7CAB"/>
    <w:rsid w:val="00B02DF8"/>
    <w:rsid w:val="00B0306A"/>
    <w:rsid w:val="00B4449C"/>
    <w:rsid w:val="00B445DD"/>
    <w:rsid w:val="00B464A5"/>
    <w:rsid w:val="00B61458"/>
    <w:rsid w:val="00B76D4C"/>
    <w:rsid w:val="00B81B16"/>
    <w:rsid w:val="00B83EF4"/>
    <w:rsid w:val="00BA57CA"/>
    <w:rsid w:val="00BD0AB8"/>
    <w:rsid w:val="00BE1D7C"/>
    <w:rsid w:val="00C0358F"/>
    <w:rsid w:val="00C049FF"/>
    <w:rsid w:val="00C105FD"/>
    <w:rsid w:val="00C23BB9"/>
    <w:rsid w:val="00C253F6"/>
    <w:rsid w:val="00C25554"/>
    <w:rsid w:val="00C35761"/>
    <w:rsid w:val="00C53616"/>
    <w:rsid w:val="00C568DF"/>
    <w:rsid w:val="00C60B49"/>
    <w:rsid w:val="00C652DD"/>
    <w:rsid w:val="00C71397"/>
    <w:rsid w:val="00C803AF"/>
    <w:rsid w:val="00C96B2F"/>
    <w:rsid w:val="00CA06F0"/>
    <w:rsid w:val="00CA466D"/>
    <w:rsid w:val="00CA7465"/>
    <w:rsid w:val="00CB1A15"/>
    <w:rsid w:val="00CB4535"/>
    <w:rsid w:val="00CB6E4D"/>
    <w:rsid w:val="00CD5030"/>
    <w:rsid w:val="00CD628F"/>
    <w:rsid w:val="00CE4568"/>
    <w:rsid w:val="00CE4E36"/>
    <w:rsid w:val="00D1344B"/>
    <w:rsid w:val="00D160FF"/>
    <w:rsid w:val="00D20540"/>
    <w:rsid w:val="00D27756"/>
    <w:rsid w:val="00D31221"/>
    <w:rsid w:val="00D32629"/>
    <w:rsid w:val="00D35155"/>
    <w:rsid w:val="00D45B0E"/>
    <w:rsid w:val="00D60D27"/>
    <w:rsid w:val="00D735F2"/>
    <w:rsid w:val="00D828ED"/>
    <w:rsid w:val="00D87F6A"/>
    <w:rsid w:val="00D97009"/>
    <w:rsid w:val="00DA7149"/>
    <w:rsid w:val="00DB0E7F"/>
    <w:rsid w:val="00DC7843"/>
    <w:rsid w:val="00DD5AE7"/>
    <w:rsid w:val="00DE664D"/>
    <w:rsid w:val="00E04304"/>
    <w:rsid w:val="00E1752D"/>
    <w:rsid w:val="00E3391F"/>
    <w:rsid w:val="00E33BDD"/>
    <w:rsid w:val="00E46A2A"/>
    <w:rsid w:val="00E512E1"/>
    <w:rsid w:val="00E57E8E"/>
    <w:rsid w:val="00E600FF"/>
    <w:rsid w:val="00E603EF"/>
    <w:rsid w:val="00E608F1"/>
    <w:rsid w:val="00E65F67"/>
    <w:rsid w:val="00E85BDD"/>
    <w:rsid w:val="00E85CE6"/>
    <w:rsid w:val="00E87003"/>
    <w:rsid w:val="00E90EBB"/>
    <w:rsid w:val="00EB1E29"/>
    <w:rsid w:val="00EC23AD"/>
    <w:rsid w:val="00ED187C"/>
    <w:rsid w:val="00ED28F6"/>
    <w:rsid w:val="00EF6F68"/>
    <w:rsid w:val="00F13F80"/>
    <w:rsid w:val="00F16376"/>
    <w:rsid w:val="00F22444"/>
    <w:rsid w:val="00F35620"/>
    <w:rsid w:val="00F40E26"/>
    <w:rsid w:val="00F41741"/>
    <w:rsid w:val="00F66743"/>
    <w:rsid w:val="00F71CAE"/>
    <w:rsid w:val="00F77145"/>
    <w:rsid w:val="00FA0992"/>
    <w:rsid w:val="00FB2273"/>
    <w:rsid w:val="00FC143A"/>
    <w:rsid w:val="00FD2FFF"/>
    <w:rsid w:val="00FE7484"/>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F536"/>
  <w15:docId w15:val="{788F3172-F95D-409B-8A3B-C67BF25A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03"/>
    <w:pPr>
      <w:spacing w:after="0" w:line="240" w:lineRule="auto"/>
    </w:pPr>
    <w:rPr>
      <w:sz w:val="24"/>
      <w:szCs w:val="24"/>
    </w:rPr>
  </w:style>
  <w:style w:type="paragraph" w:styleId="Heading1">
    <w:name w:val="heading 1"/>
    <w:basedOn w:val="Normal"/>
    <w:next w:val="Normal"/>
    <w:link w:val="Heading1Char"/>
    <w:uiPriority w:val="9"/>
    <w:qFormat/>
    <w:rsid w:val="00492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05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5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603"/>
    <w:pPr>
      <w:ind w:left="720"/>
      <w:contextualSpacing/>
    </w:pPr>
  </w:style>
  <w:style w:type="character" w:styleId="Hyperlink">
    <w:name w:val="Hyperlink"/>
    <w:basedOn w:val="DefaultParagraphFont"/>
    <w:uiPriority w:val="99"/>
    <w:unhideWhenUsed/>
    <w:rsid w:val="00492603"/>
    <w:rPr>
      <w:color w:val="0000FF" w:themeColor="hyperlink"/>
      <w:u w:val="single"/>
    </w:rPr>
  </w:style>
  <w:style w:type="paragraph" w:styleId="NoSpacing">
    <w:name w:val="No Spacing"/>
    <w:uiPriority w:val="1"/>
    <w:qFormat/>
    <w:rsid w:val="00492603"/>
    <w:pPr>
      <w:spacing w:after="0" w:line="240" w:lineRule="auto"/>
    </w:pPr>
    <w:rPr>
      <w:sz w:val="24"/>
      <w:szCs w:val="24"/>
    </w:rPr>
  </w:style>
  <w:style w:type="paragraph" w:styleId="Footer">
    <w:name w:val="footer"/>
    <w:basedOn w:val="Normal"/>
    <w:link w:val="FooterChar"/>
    <w:uiPriority w:val="99"/>
    <w:unhideWhenUsed/>
    <w:rsid w:val="00492603"/>
    <w:pPr>
      <w:tabs>
        <w:tab w:val="center" w:pos="4680"/>
        <w:tab w:val="right" w:pos="9360"/>
      </w:tabs>
    </w:pPr>
  </w:style>
  <w:style w:type="character" w:customStyle="1" w:styleId="FooterChar">
    <w:name w:val="Footer Char"/>
    <w:basedOn w:val="DefaultParagraphFont"/>
    <w:link w:val="Footer"/>
    <w:uiPriority w:val="99"/>
    <w:rsid w:val="00492603"/>
    <w:rPr>
      <w:sz w:val="24"/>
      <w:szCs w:val="24"/>
    </w:rPr>
  </w:style>
  <w:style w:type="paragraph" w:styleId="TOC2">
    <w:name w:val="toc 2"/>
    <w:basedOn w:val="Normal"/>
    <w:next w:val="Normal"/>
    <w:autoRedefine/>
    <w:uiPriority w:val="39"/>
    <w:unhideWhenUsed/>
    <w:rsid w:val="00186271"/>
    <w:pPr>
      <w:tabs>
        <w:tab w:val="left" w:pos="720"/>
        <w:tab w:val="right" w:leader="dot" w:pos="9350"/>
      </w:tabs>
      <w:spacing w:after="100"/>
      <w:ind w:left="240"/>
    </w:pPr>
  </w:style>
  <w:style w:type="paragraph" w:styleId="TOC1">
    <w:name w:val="toc 1"/>
    <w:basedOn w:val="Normal"/>
    <w:next w:val="Normal"/>
    <w:autoRedefine/>
    <w:uiPriority w:val="39"/>
    <w:unhideWhenUsed/>
    <w:rsid w:val="00C049FF"/>
    <w:pPr>
      <w:tabs>
        <w:tab w:val="left" w:pos="480"/>
        <w:tab w:val="right" w:leader="dot" w:pos="9350"/>
      </w:tabs>
      <w:spacing w:after="100"/>
    </w:pPr>
  </w:style>
  <w:style w:type="paragraph" w:styleId="TOC3">
    <w:name w:val="toc 3"/>
    <w:basedOn w:val="Normal"/>
    <w:next w:val="Normal"/>
    <w:autoRedefine/>
    <w:uiPriority w:val="39"/>
    <w:unhideWhenUsed/>
    <w:rsid w:val="00186271"/>
    <w:pPr>
      <w:tabs>
        <w:tab w:val="left" w:pos="1100"/>
        <w:tab w:val="right" w:leader="dot" w:pos="9350"/>
      </w:tabs>
      <w:spacing w:after="100"/>
      <w:ind w:left="480"/>
    </w:pPr>
  </w:style>
  <w:style w:type="paragraph" w:styleId="TOC4">
    <w:name w:val="toc 4"/>
    <w:basedOn w:val="Normal"/>
    <w:next w:val="Normal"/>
    <w:autoRedefine/>
    <w:uiPriority w:val="39"/>
    <w:unhideWhenUsed/>
    <w:rsid w:val="00492603"/>
    <w:pPr>
      <w:spacing w:after="100"/>
      <w:ind w:left="720"/>
    </w:pPr>
  </w:style>
  <w:style w:type="character" w:styleId="FollowedHyperlink">
    <w:name w:val="FollowedHyperlink"/>
    <w:basedOn w:val="DefaultParagraphFont"/>
    <w:uiPriority w:val="99"/>
    <w:semiHidden/>
    <w:unhideWhenUsed/>
    <w:rsid w:val="00492603"/>
    <w:rPr>
      <w:color w:val="800080" w:themeColor="followedHyperlink"/>
      <w:u w:val="single"/>
    </w:rPr>
  </w:style>
  <w:style w:type="paragraph" w:styleId="Header">
    <w:name w:val="header"/>
    <w:basedOn w:val="Normal"/>
    <w:link w:val="HeaderChar"/>
    <w:uiPriority w:val="99"/>
    <w:unhideWhenUsed/>
    <w:rsid w:val="00492603"/>
    <w:pPr>
      <w:tabs>
        <w:tab w:val="center" w:pos="4680"/>
        <w:tab w:val="right" w:pos="9360"/>
      </w:tabs>
    </w:pPr>
  </w:style>
  <w:style w:type="character" w:customStyle="1" w:styleId="HeaderChar">
    <w:name w:val="Header Char"/>
    <w:basedOn w:val="DefaultParagraphFont"/>
    <w:link w:val="Header"/>
    <w:uiPriority w:val="99"/>
    <w:rsid w:val="00492603"/>
    <w:rPr>
      <w:sz w:val="24"/>
      <w:szCs w:val="24"/>
    </w:rPr>
  </w:style>
  <w:style w:type="paragraph" w:styleId="BalloonText">
    <w:name w:val="Balloon Text"/>
    <w:basedOn w:val="Normal"/>
    <w:link w:val="BalloonTextChar"/>
    <w:uiPriority w:val="99"/>
    <w:semiHidden/>
    <w:unhideWhenUsed/>
    <w:rsid w:val="00492603"/>
    <w:rPr>
      <w:rFonts w:ascii="Tahoma" w:hAnsi="Tahoma" w:cs="Tahoma"/>
      <w:sz w:val="16"/>
      <w:szCs w:val="16"/>
    </w:rPr>
  </w:style>
  <w:style w:type="character" w:customStyle="1" w:styleId="BalloonTextChar">
    <w:name w:val="Balloon Text Char"/>
    <w:basedOn w:val="DefaultParagraphFont"/>
    <w:link w:val="BalloonText"/>
    <w:uiPriority w:val="99"/>
    <w:semiHidden/>
    <w:rsid w:val="00492603"/>
    <w:rPr>
      <w:rFonts w:ascii="Tahoma" w:hAnsi="Tahoma" w:cs="Tahoma"/>
      <w:sz w:val="16"/>
      <w:szCs w:val="16"/>
    </w:rPr>
  </w:style>
  <w:style w:type="character" w:customStyle="1" w:styleId="Heading1Char">
    <w:name w:val="Heading 1 Char"/>
    <w:basedOn w:val="DefaultParagraphFont"/>
    <w:link w:val="Heading1"/>
    <w:uiPriority w:val="9"/>
    <w:rsid w:val="0049260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2603"/>
    <w:pPr>
      <w:spacing w:line="276" w:lineRule="auto"/>
      <w:outlineLvl w:val="9"/>
    </w:pPr>
    <w:rPr>
      <w:lang w:eastAsia="ja-JP"/>
    </w:rPr>
  </w:style>
  <w:style w:type="character" w:styleId="CommentReference">
    <w:name w:val="annotation reference"/>
    <w:basedOn w:val="DefaultParagraphFont"/>
    <w:uiPriority w:val="99"/>
    <w:semiHidden/>
    <w:unhideWhenUsed/>
    <w:rsid w:val="00194D0C"/>
    <w:rPr>
      <w:sz w:val="16"/>
      <w:szCs w:val="16"/>
    </w:rPr>
  </w:style>
  <w:style w:type="paragraph" w:styleId="CommentText">
    <w:name w:val="annotation text"/>
    <w:basedOn w:val="Normal"/>
    <w:link w:val="CommentTextChar"/>
    <w:uiPriority w:val="99"/>
    <w:unhideWhenUsed/>
    <w:rsid w:val="00194D0C"/>
    <w:rPr>
      <w:sz w:val="20"/>
      <w:szCs w:val="20"/>
    </w:rPr>
  </w:style>
  <w:style w:type="character" w:customStyle="1" w:styleId="CommentTextChar">
    <w:name w:val="Comment Text Char"/>
    <w:basedOn w:val="DefaultParagraphFont"/>
    <w:link w:val="CommentText"/>
    <w:uiPriority w:val="99"/>
    <w:rsid w:val="00194D0C"/>
    <w:rPr>
      <w:sz w:val="20"/>
      <w:szCs w:val="20"/>
    </w:rPr>
  </w:style>
  <w:style w:type="paragraph" w:styleId="CommentSubject">
    <w:name w:val="annotation subject"/>
    <w:basedOn w:val="CommentText"/>
    <w:next w:val="CommentText"/>
    <w:link w:val="CommentSubjectChar"/>
    <w:uiPriority w:val="99"/>
    <w:semiHidden/>
    <w:unhideWhenUsed/>
    <w:rsid w:val="00194D0C"/>
    <w:rPr>
      <w:b/>
      <w:bCs/>
    </w:rPr>
  </w:style>
  <w:style w:type="character" w:customStyle="1" w:styleId="CommentSubjectChar">
    <w:name w:val="Comment Subject Char"/>
    <w:basedOn w:val="CommentTextChar"/>
    <w:link w:val="CommentSubject"/>
    <w:uiPriority w:val="99"/>
    <w:semiHidden/>
    <w:rsid w:val="00194D0C"/>
    <w:rPr>
      <w:b/>
      <w:bCs/>
      <w:sz w:val="20"/>
      <w:szCs w:val="20"/>
    </w:rPr>
  </w:style>
  <w:style w:type="character" w:customStyle="1" w:styleId="Heading2Char">
    <w:name w:val="Heading 2 Char"/>
    <w:basedOn w:val="DefaultParagraphFont"/>
    <w:link w:val="Heading2"/>
    <w:uiPriority w:val="9"/>
    <w:rsid w:val="00D205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0540"/>
    <w:rPr>
      <w:rFonts w:asciiTheme="majorHAnsi" w:eastAsiaTheme="majorEastAsia" w:hAnsiTheme="majorHAnsi" w:cstheme="majorBidi"/>
      <w:b/>
      <w:bCs/>
      <w:color w:val="4F81BD" w:themeColor="accent1"/>
      <w:sz w:val="24"/>
      <w:szCs w:val="24"/>
    </w:rPr>
  </w:style>
  <w:style w:type="paragraph" w:styleId="Caption">
    <w:name w:val="caption"/>
    <w:basedOn w:val="Normal"/>
    <w:next w:val="Normal"/>
    <w:uiPriority w:val="35"/>
    <w:unhideWhenUsed/>
    <w:qFormat/>
    <w:rsid w:val="00290FC7"/>
    <w:pPr>
      <w:spacing w:after="200"/>
    </w:pPr>
    <w:rPr>
      <w:i/>
      <w:iCs/>
      <w:color w:val="1F497D" w:themeColor="text2"/>
      <w:sz w:val="18"/>
      <w:szCs w:val="18"/>
    </w:rPr>
  </w:style>
  <w:style w:type="table" w:styleId="LightGrid">
    <w:name w:val="Light Grid"/>
    <w:basedOn w:val="TableNormal"/>
    <w:uiPriority w:val="62"/>
    <w:rsid w:val="0068713E"/>
    <w:pPr>
      <w:spacing w:after="0" w:line="240" w:lineRule="auto"/>
    </w:pPr>
    <w:rPr>
      <w:rFonts w:ascii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2D2EB5"/>
    <w:rPr>
      <w:color w:val="605E5C"/>
      <w:shd w:val="clear" w:color="auto" w:fill="E1DFDD"/>
    </w:rPr>
  </w:style>
  <w:style w:type="character" w:customStyle="1" w:styleId="st">
    <w:name w:val="st"/>
    <w:basedOn w:val="DefaultParagraphFont"/>
    <w:rsid w:val="00AC0FAE"/>
  </w:style>
  <w:style w:type="paragraph" w:styleId="Revision">
    <w:name w:val="Revision"/>
    <w:hidden/>
    <w:uiPriority w:val="99"/>
    <w:semiHidden/>
    <w:rsid w:val="003358B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ildlife.ca.gov/Conservation/Marine/MPAs/Management/Decadal-Revie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ildlife.ca.gov/Fishing/Ocean/Year-In-Review"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ildlife.ca.gov/Fishing/Ocean/Year-In-Review" TargetMode="External"/><Relationship Id="rId23" Type="http://schemas.openxmlformats.org/officeDocument/2006/relationships/hyperlink" Target="https://wildlife.ca.gov/Conservation/Marine/CRFS" TargetMode="Externa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ildlife.ca.gov/Conservation/Marine/MPAs/Contact/Decadal-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3001-BF49-4753-A068-BD3F34AC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Caroline@Wildlife</dc:creator>
  <cp:lastModifiedBy>McKnight, Caroline@Wildlife</cp:lastModifiedBy>
  <cp:revision>2</cp:revision>
  <cp:lastPrinted>2020-03-27T22:07:00Z</cp:lastPrinted>
  <dcterms:created xsi:type="dcterms:W3CDTF">2023-04-07T19:17:00Z</dcterms:created>
  <dcterms:modified xsi:type="dcterms:W3CDTF">2023-04-07T19:17:00Z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Traci.Larinto@wildlife.ca.gov</vt:lpwstr>
  </property>
  <property fmtid="{D5CDD505-2E9C-101B-9397-08002B2CF9AE}" pid="5" name="MSIP_Label_6e685f86-ed8d-482b-be3a-2b7af73f9b7f_SetDate">
    <vt:lpwstr>2019-03-18T21:00:38.4763174Z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