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FA6D07A" w14:textId="77777777" w:rsidR="00882ABC" w:rsidRPr="002B7E6B" w:rsidRDefault="00882ABC" w:rsidP="00882ABC">
      <w:pPr>
        <w:jc w:val="center"/>
        <w:rPr>
          <w:sz w:val="22"/>
          <w:szCs w:val="22"/>
        </w:rPr>
      </w:pPr>
      <w:r w:rsidRPr="002B7E6B">
        <w:rPr>
          <w:sz w:val="22"/>
          <w:szCs w:val="22"/>
        </w:rPr>
        <w:t>Alaska Fisheries Science Center of the National Marine Fisheries Service</w:t>
      </w:r>
    </w:p>
    <w:p w14:paraId="7D98B35B" w14:textId="77777777" w:rsidR="00882ABC" w:rsidRPr="002B7E6B" w:rsidRDefault="00882ABC" w:rsidP="00882ABC">
      <w:pPr>
        <w:jc w:val="center"/>
        <w:rPr>
          <w:sz w:val="22"/>
          <w:szCs w:val="22"/>
        </w:rPr>
      </w:pPr>
      <w:r w:rsidRPr="002B7E6B">
        <w:rPr>
          <w:sz w:val="22"/>
          <w:szCs w:val="22"/>
        </w:rPr>
        <w:t>2022 Agency Report to the Technical Subcommittee of the Canada-US Groundfish Committee</w:t>
      </w:r>
    </w:p>
    <w:p w14:paraId="66259E7F" w14:textId="77777777" w:rsidR="00882ABC" w:rsidRPr="002B7E6B" w:rsidRDefault="00882ABC" w:rsidP="00882ABC">
      <w:pPr>
        <w:jc w:val="center"/>
        <w:rPr>
          <w:sz w:val="22"/>
          <w:szCs w:val="22"/>
        </w:rPr>
      </w:pPr>
      <w:r w:rsidRPr="002B7E6B">
        <w:rPr>
          <w:sz w:val="22"/>
          <w:szCs w:val="22"/>
        </w:rPr>
        <w:t>April 2023</w:t>
      </w:r>
    </w:p>
    <w:p w14:paraId="4C3E5277" w14:textId="77777777" w:rsidR="00882ABC" w:rsidRPr="002B7E6B" w:rsidRDefault="00882ABC" w:rsidP="00882ABC">
      <w:pPr>
        <w:rPr>
          <w:sz w:val="22"/>
          <w:szCs w:val="22"/>
        </w:rPr>
      </w:pPr>
    </w:p>
    <w:p w14:paraId="0DEE8164" w14:textId="77777777" w:rsidR="00882ABC" w:rsidRPr="002B7E6B" w:rsidRDefault="00882ABC" w:rsidP="00882ABC">
      <w:pPr>
        <w:rPr>
          <w:sz w:val="22"/>
          <w:szCs w:val="22"/>
        </w:rPr>
      </w:pPr>
      <w:r w:rsidRPr="002B7E6B">
        <w:rPr>
          <w:sz w:val="22"/>
          <w:szCs w:val="22"/>
        </w:rPr>
        <w:t>Compiled by Ned Laman, Cara Rodgveller, and Meaghan Bryan</w:t>
      </w:r>
    </w:p>
    <w:p w14:paraId="11E68ADC" w14:textId="77777777" w:rsidR="00882ABC" w:rsidRPr="002B7E6B" w:rsidRDefault="00882ABC" w:rsidP="00882ABC">
      <w:pPr>
        <w:widowControl/>
        <w:spacing w:after="160"/>
        <w:rPr>
          <w:sz w:val="22"/>
          <w:szCs w:val="22"/>
        </w:rPr>
      </w:pPr>
      <w:r w:rsidRPr="002B7E6B">
        <w:rPr>
          <w:sz w:val="22"/>
          <w:szCs w:val="22"/>
        </w:rPr>
        <w:br w:type="page"/>
      </w:r>
    </w:p>
    <w:p w14:paraId="5469CFDF" w14:textId="77777777" w:rsidR="00DE3EE8" w:rsidRPr="002B7E6B" w:rsidRDefault="00DE3EE8" w:rsidP="00DE3EE8">
      <w:pPr>
        <w:pBdr>
          <w:top w:val="nil"/>
          <w:left w:val="nil"/>
          <w:bottom w:val="nil"/>
          <w:right w:val="nil"/>
          <w:between w:val="nil"/>
        </w:pBdr>
        <w:spacing w:line="276" w:lineRule="auto"/>
        <w:rPr>
          <w:sz w:val="22"/>
          <w:szCs w:val="22"/>
        </w:rPr>
      </w:pPr>
    </w:p>
    <w:p w14:paraId="7A586F75" w14:textId="0CCF891E" w:rsidR="00DE3EE8" w:rsidRPr="002B7E6B" w:rsidRDefault="00DE3EE8" w:rsidP="00DE3EE8">
      <w:pPr>
        <w:jc w:val="center"/>
        <w:rPr>
          <w:b/>
          <w:sz w:val="22"/>
          <w:szCs w:val="22"/>
        </w:rPr>
      </w:pPr>
      <w:r w:rsidRPr="002B7E6B">
        <w:rPr>
          <w:b/>
          <w:sz w:val="22"/>
          <w:szCs w:val="22"/>
        </w:rPr>
        <w:t>TABLE OF CONTENTS</w:t>
      </w:r>
    </w:p>
    <w:p w14:paraId="2DB8C65A" w14:textId="77777777" w:rsidR="00DE3EE8" w:rsidRPr="002B7E6B" w:rsidRDefault="00DE3EE8" w:rsidP="00DE3EE8">
      <w:pPr>
        <w:rPr>
          <w:sz w:val="22"/>
          <w:szCs w:val="22"/>
        </w:rPr>
      </w:pPr>
    </w:p>
    <w:sdt>
      <w:sdtPr>
        <w:rPr>
          <w:sz w:val="22"/>
          <w:szCs w:val="22"/>
        </w:rPr>
        <w:id w:val="-1967658219"/>
        <w:docPartObj>
          <w:docPartGallery w:val="Table of Contents"/>
          <w:docPartUnique/>
        </w:docPartObj>
      </w:sdtPr>
      <w:sdtEndPr/>
      <w:sdtContent>
        <w:p w14:paraId="3E83BC66" w14:textId="0DCFB2A4" w:rsidR="000107EF" w:rsidRDefault="00DE3EE8">
          <w:pPr>
            <w:pStyle w:val="TOC1"/>
            <w:tabs>
              <w:tab w:val="left" w:pos="720"/>
              <w:tab w:val="right" w:pos="9350"/>
            </w:tabs>
            <w:rPr>
              <w:rFonts w:asciiTheme="minorHAnsi" w:eastAsiaTheme="minorEastAsia" w:hAnsiTheme="minorHAnsi" w:cstheme="minorBidi"/>
              <w:noProof/>
              <w:sz w:val="22"/>
              <w:szCs w:val="22"/>
            </w:rPr>
          </w:pPr>
          <w:r w:rsidRPr="002B7E6B">
            <w:rPr>
              <w:sz w:val="22"/>
              <w:szCs w:val="22"/>
            </w:rPr>
            <w:fldChar w:fldCharType="begin"/>
          </w:r>
          <w:r w:rsidRPr="002B7E6B">
            <w:rPr>
              <w:sz w:val="22"/>
              <w:szCs w:val="22"/>
            </w:rPr>
            <w:instrText xml:space="preserve"> TOC \h \u \z \t "Heading 1,1,Heading 2,2,Heading 3,3,Heading 4,4,Heading 5,5,Heading 6,6,"</w:instrText>
          </w:r>
          <w:r w:rsidRPr="002B7E6B">
            <w:rPr>
              <w:sz w:val="22"/>
              <w:szCs w:val="22"/>
            </w:rPr>
            <w:fldChar w:fldCharType="separate"/>
          </w:r>
          <w:hyperlink w:anchor="_Toc131503785" w:history="1">
            <w:r w:rsidR="000107EF" w:rsidRPr="00F20EBD">
              <w:rPr>
                <w:rStyle w:val="Hyperlink"/>
                <w:noProof/>
              </w:rPr>
              <w:t>VIII.</w:t>
            </w:r>
            <w:r w:rsidR="000107EF">
              <w:rPr>
                <w:rFonts w:asciiTheme="minorHAnsi" w:eastAsiaTheme="minorEastAsia" w:hAnsiTheme="minorHAnsi" w:cstheme="minorBidi"/>
                <w:noProof/>
                <w:sz w:val="22"/>
                <w:szCs w:val="22"/>
              </w:rPr>
              <w:tab/>
            </w:r>
            <w:r w:rsidR="000107EF" w:rsidRPr="00F20EBD">
              <w:rPr>
                <w:rStyle w:val="Hyperlink"/>
                <w:noProof/>
              </w:rPr>
              <w:t>REVIEW OF AGENCY GROUNDFISH RESEARCH, ASSESSMENTS, AND MANAGEMENT IN 2022</w:t>
            </w:r>
            <w:r w:rsidR="000107EF">
              <w:rPr>
                <w:noProof/>
                <w:webHidden/>
              </w:rPr>
              <w:tab/>
            </w:r>
            <w:r w:rsidR="000107EF">
              <w:rPr>
                <w:noProof/>
                <w:webHidden/>
              </w:rPr>
              <w:fldChar w:fldCharType="begin"/>
            </w:r>
            <w:r w:rsidR="000107EF">
              <w:rPr>
                <w:noProof/>
                <w:webHidden/>
              </w:rPr>
              <w:instrText xml:space="preserve"> PAGEREF _Toc131503785 \h </w:instrText>
            </w:r>
            <w:r w:rsidR="000107EF">
              <w:rPr>
                <w:noProof/>
                <w:webHidden/>
              </w:rPr>
            </w:r>
            <w:r w:rsidR="000107EF">
              <w:rPr>
                <w:noProof/>
                <w:webHidden/>
              </w:rPr>
              <w:fldChar w:fldCharType="separate"/>
            </w:r>
            <w:r w:rsidR="000107EF">
              <w:rPr>
                <w:noProof/>
                <w:webHidden/>
              </w:rPr>
              <w:t>7</w:t>
            </w:r>
            <w:r w:rsidR="000107EF">
              <w:rPr>
                <w:noProof/>
                <w:webHidden/>
              </w:rPr>
              <w:fldChar w:fldCharType="end"/>
            </w:r>
          </w:hyperlink>
        </w:p>
        <w:p w14:paraId="5EDF5EA2" w14:textId="281ABE65" w:rsidR="000107EF" w:rsidRDefault="00A44DE9">
          <w:pPr>
            <w:pStyle w:val="TOC2"/>
            <w:tabs>
              <w:tab w:val="right" w:pos="9350"/>
            </w:tabs>
            <w:rPr>
              <w:rFonts w:asciiTheme="minorHAnsi" w:eastAsiaTheme="minorEastAsia" w:hAnsiTheme="minorHAnsi" w:cstheme="minorBidi"/>
              <w:noProof/>
              <w:sz w:val="22"/>
              <w:szCs w:val="22"/>
            </w:rPr>
          </w:pPr>
          <w:hyperlink w:anchor="_Toc131503786" w:history="1">
            <w:r w:rsidR="000107EF" w:rsidRPr="00F20EBD">
              <w:rPr>
                <w:rStyle w:val="Hyperlink"/>
                <w:noProof/>
              </w:rPr>
              <w:t>I.  Agency Overview</w:t>
            </w:r>
            <w:r w:rsidR="000107EF">
              <w:rPr>
                <w:noProof/>
                <w:webHidden/>
              </w:rPr>
              <w:tab/>
            </w:r>
            <w:r w:rsidR="000107EF">
              <w:rPr>
                <w:noProof/>
                <w:webHidden/>
              </w:rPr>
              <w:fldChar w:fldCharType="begin"/>
            </w:r>
            <w:r w:rsidR="000107EF">
              <w:rPr>
                <w:noProof/>
                <w:webHidden/>
              </w:rPr>
              <w:instrText xml:space="preserve"> PAGEREF _Toc131503786 \h </w:instrText>
            </w:r>
            <w:r w:rsidR="000107EF">
              <w:rPr>
                <w:noProof/>
                <w:webHidden/>
              </w:rPr>
            </w:r>
            <w:r w:rsidR="000107EF">
              <w:rPr>
                <w:noProof/>
                <w:webHidden/>
              </w:rPr>
              <w:fldChar w:fldCharType="separate"/>
            </w:r>
            <w:r w:rsidR="000107EF">
              <w:rPr>
                <w:noProof/>
                <w:webHidden/>
              </w:rPr>
              <w:t>7</w:t>
            </w:r>
            <w:r w:rsidR="000107EF">
              <w:rPr>
                <w:noProof/>
                <w:webHidden/>
              </w:rPr>
              <w:fldChar w:fldCharType="end"/>
            </w:r>
          </w:hyperlink>
        </w:p>
        <w:p w14:paraId="3A3E54ED" w14:textId="2AE19C43" w:rsidR="000107EF" w:rsidRDefault="00A44DE9">
          <w:pPr>
            <w:pStyle w:val="TOC3"/>
            <w:tabs>
              <w:tab w:val="left" w:pos="960"/>
              <w:tab w:val="right" w:pos="9350"/>
            </w:tabs>
            <w:rPr>
              <w:rFonts w:asciiTheme="minorHAnsi" w:eastAsiaTheme="minorEastAsia" w:hAnsiTheme="minorHAnsi" w:cstheme="minorBidi"/>
              <w:noProof/>
              <w:sz w:val="22"/>
              <w:szCs w:val="22"/>
            </w:rPr>
          </w:pPr>
          <w:hyperlink w:anchor="_Toc131503787" w:history="1">
            <w:r w:rsidR="000107EF" w:rsidRPr="00F20EBD">
              <w:rPr>
                <w:rStyle w:val="Hyperlink"/>
                <w:noProof/>
              </w:rPr>
              <w:t>A.</w:t>
            </w:r>
            <w:r w:rsidR="000107EF">
              <w:rPr>
                <w:rFonts w:asciiTheme="minorHAnsi" w:eastAsiaTheme="minorEastAsia" w:hAnsiTheme="minorHAnsi" w:cstheme="minorBidi"/>
                <w:noProof/>
                <w:sz w:val="22"/>
                <w:szCs w:val="22"/>
              </w:rPr>
              <w:tab/>
            </w:r>
            <w:r w:rsidR="000107EF" w:rsidRPr="00F20EBD">
              <w:rPr>
                <w:rStyle w:val="Hyperlink"/>
                <w:noProof/>
              </w:rPr>
              <w:t>RACE DIVISION</w:t>
            </w:r>
            <w:r w:rsidR="000107EF">
              <w:rPr>
                <w:noProof/>
                <w:webHidden/>
              </w:rPr>
              <w:tab/>
            </w:r>
            <w:r w:rsidR="000107EF">
              <w:rPr>
                <w:noProof/>
                <w:webHidden/>
              </w:rPr>
              <w:fldChar w:fldCharType="begin"/>
            </w:r>
            <w:r w:rsidR="000107EF">
              <w:rPr>
                <w:noProof/>
                <w:webHidden/>
              </w:rPr>
              <w:instrText xml:space="preserve"> PAGEREF _Toc131503787 \h </w:instrText>
            </w:r>
            <w:r w:rsidR="000107EF">
              <w:rPr>
                <w:noProof/>
                <w:webHidden/>
              </w:rPr>
            </w:r>
            <w:r w:rsidR="000107EF">
              <w:rPr>
                <w:noProof/>
                <w:webHidden/>
              </w:rPr>
              <w:fldChar w:fldCharType="separate"/>
            </w:r>
            <w:r w:rsidR="000107EF">
              <w:rPr>
                <w:noProof/>
                <w:webHidden/>
              </w:rPr>
              <w:t>7</w:t>
            </w:r>
            <w:r w:rsidR="000107EF">
              <w:rPr>
                <w:noProof/>
                <w:webHidden/>
              </w:rPr>
              <w:fldChar w:fldCharType="end"/>
            </w:r>
          </w:hyperlink>
        </w:p>
        <w:p w14:paraId="044CED68" w14:textId="6C9FFEAA" w:rsidR="000107EF" w:rsidRDefault="00A44DE9">
          <w:pPr>
            <w:pStyle w:val="TOC3"/>
            <w:tabs>
              <w:tab w:val="left" w:pos="960"/>
              <w:tab w:val="right" w:pos="9350"/>
            </w:tabs>
            <w:rPr>
              <w:rFonts w:asciiTheme="minorHAnsi" w:eastAsiaTheme="minorEastAsia" w:hAnsiTheme="minorHAnsi" w:cstheme="minorBidi"/>
              <w:noProof/>
              <w:sz w:val="22"/>
              <w:szCs w:val="22"/>
            </w:rPr>
          </w:pPr>
          <w:hyperlink w:anchor="_Toc131503788" w:history="1">
            <w:r w:rsidR="000107EF" w:rsidRPr="00F20EBD">
              <w:rPr>
                <w:rStyle w:val="Hyperlink"/>
                <w:noProof/>
              </w:rPr>
              <w:t>B.</w:t>
            </w:r>
            <w:r w:rsidR="000107EF">
              <w:rPr>
                <w:rFonts w:asciiTheme="minorHAnsi" w:eastAsiaTheme="minorEastAsia" w:hAnsiTheme="minorHAnsi" w:cstheme="minorBidi"/>
                <w:noProof/>
                <w:sz w:val="22"/>
                <w:szCs w:val="22"/>
              </w:rPr>
              <w:tab/>
            </w:r>
            <w:r w:rsidR="000107EF" w:rsidRPr="00F20EBD">
              <w:rPr>
                <w:rStyle w:val="Hyperlink"/>
                <w:noProof/>
              </w:rPr>
              <w:t>REFM DIVISION</w:t>
            </w:r>
            <w:r w:rsidR="000107EF">
              <w:rPr>
                <w:noProof/>
                <w:webHidden/>
              </w:rPr>
              <w:tab/>
            </w:r>
            <w:r w:rsidR="000107EF">
              <w:rPr>
                <w:noProof/>
                <w:webHidden/>
              </w:rPr>
              <w:fldChar w:fldCharType="begin"/>
            </w:r>
            <w:r w:rsidR="000107EF">
              <w:rPr>
                <w:noProof/>
                <w:webHidden/>
              </w:rPr>
              <w:instrText xml:space="preserve"> PAGEREF _Toc131503788 \h </w:instrText>
            </w:r>
            <w:r w:rsidR="000107EF">
              <w:rPr>
                <w:noProof/>
                <w:webHidden/>
              </w:rPr>
            </w:r>
            <w:r w:rsidR="000107EF">
              <w:rPr>
                <w:noProof/>
                <w:webHidden/>
              </w:rPr>
              <w:fldChar w:fldCharType="separate"/>
            </w:r>
            <w:r w:rsidR="000107EF">
              <w:rPr>
                <w:noProof/>
                <w:webHidden/>
              </w:rPr>
              <w:t>9</w:t>
            </w:r>
            <w:r w:rsidR="000107EF">
              <w:rPr>
                <w:noProof/>
                <w:webHidden/>
              </w:rPr>
              <w:fldChar w:fldCharType="end"/>
            </w:r>
          </w:hyperlink>
        </w:p>
        <w:p w14:paraId="163C5213" w14:textId="310B0A49" w:rsidR="000107EF" w:rsidRDefault="00A44DE9">
          <w:pPr>
            <w:pStyle w:val="TOC3"/>
            <w:tabs>
              <w:tab w:val="left" w:pos="960"/>
              <w:tab w:val="right" w:pos="9350"/>
            </w:tabs>
            <w:rPr>
              <w:rFonts w:asciiTheme="minorHAnsi" w:eastAsiaTheme="minorEastAsia" w:hAnsiTheme="minorHAnsi" w:cstheme="minorBidi"/>
              <w:noProof/>
              <w:sz w:val="22"/>
              <w:szCs w:val="22"/>
            </w:rPr>
          </w:pPr>
          <w:hyperlink w:anchor="_Toc131503789" w:history="1">
            <w:r w:rsidR="000107EF" w:rsidRPr="00F20EBD">
              <w:rPr>
                <w:rStyle w:val="Hyperlink"/>
                <w:noProof/>
              </w:rPr>
              <w:t>C.</w:t>
            </w:r>
            <w:r w:rsidR="000107EF">
              <w:rPr>
                <w:rFonts w:asciiTheme="minorHAnsi" w:eastAsiaTheme="minorEastAsia" w:hAnsiTheme="minorHAnsi" w:cstheme="minorBidi"/>
                <w:noProof/>
                <w:sz w:val="22"/>
                <w:szCs w:val="22"/>
              </w:rPr>
              <w:tab/>
            </w:r>
            <w:r w:rsidR="000107EF" w:rsidRPr="00F20EBD">
              <w:rPr>
                <w:rStyle w:val="Hyperlink"/>
                <w:noProof/>
              </w:rPr>
              <w:t>AUKE BAY LABORATORIES</w:t>
            </w:r>
            <w:r w:rsidR="000107EF">
              <w:rPr>
                <w:noProof/>
                <w:webHidden/>
              </w:rPr>
              <w:tab/>
            </w:r>
            <w:r w:rsidR="000107EF">
              <w:rPr>
                <w:noProof/>
                <w:webHidden/>
              </w:rPr>
              <w:fldChar w:fldCharType="begin"/>
            </w:r>
            <w:r w:rsidR="000107EF">
              <w:rPr>
                <w:noProof/>
                <w:webHidden/>
              </w:rPr>
              <w:instrText xml:space="preserve"> PAGEREF _Toc131503789 \h </w:instrText>
            </w:r>
            <w:r w:rsidR="000107EF">
              <w:rPr>
                <w:noProof/>
                <w:webHidden/>
              </w:rPr>
            </w:r>
            <w:r w:rsidR="000107EF">
              <w:rPr>
                <w:noProof/>
                <w:webHidden/>
              </w:rPr>
              <w:fldChar w:fldCharType="separate"/>
            </w:r>
            <w:r w:rsidR="000107EF">
              <w:rPr>
                <w:noProof/>
                <w:webHidden/>
              </w:rPr>
              <w:t>10</w:t>
            </w:r>
            <w:r w:rsidR="000107EF">
              <w:rPr>
                <w:noProof/>
                <w:webHidden/>
              </w:rPr>
              <w:fldChar w:fldCharType="end"/>
            </w:r>
          </w:hyperlink>
        </w:p>
        <w:p w14:paraId="23256B96" w14:textId="13D397F8" w:rsidR="000107EF" w:rsidRDefault="00A44DE9">
          <w:pPr>
            <w:pStyle w:val="TOC3"/>
            <w:tabs>
              <w:tab w:val="left" w:pos="960"/>
              <w:tab w:val="right" w:pos="9350"/>
            </w:tabs>
            <w:rPr>
              <w:rFonts w:asciiTheme="minorHAnsi" w:eastAsiaTheme="minorEastAsia" w:hAnsiTheme="minorHAnsi" w:cstheme="minorBidi"/>
              <w:noProof/>
              <w:sz w:val="22"/>
              <w:szCs w:val="22"/>
            </w:rPr>
          </w:pPr>
          <w:hyperlink w:anchor="_Toc131503790" w:history="1">
            <w:r w:rsidR="000107EF" w:rsidRPr="00F20EBD">
              <w:rPr>
                <w:rStyle w:val="Hyperlink"/>
                <w:noProof/>
              </w:rPr>
              <w:t>D.</w:t>
            </w:r>
            <w:r w:rsidR="000107EF">
              <w:rPr>
                <w:rFonts w:asciiTheme="minorHAnsi" w:eastAsiaTheme="minorEastAsia" w:hAnsiTheme="minorHAnsi" w:cstheme="minorBidi"/>
                <w:noProof/>
                <w:sz w:val="22"/>
                <w:szCs w:val="22"/>
              </w:rPr>
              <w:tab/>
            </w:r>
            <w:r w:rsidR="000107EF" w:rsidRPr="00F20EBD">
              <w:rPr>
                <w:rStyle w:val="Hyperlink"/>
                <w:noProof/>
              </w:rPr>
              <w:t>FMA DIVISION</w:t>
            </w:r>
            <w:r w:rsidR="000107EF">
              <w:rPr>
                <w:noProof/>
                <w:webHidden/>
              </w:rPr>
              <w:tab/>
            </w:r>
            <w:r w:rsidR="000107EF">
              <w:rPr>
                <w:noProof/>
                <w:webHidden/>
              </w:rPr>
              <w:fldChar w:fldCharType="begin"/>
            </w:r>
            <w:r w:rsidR="000107EF">
              <w:rPr>
                <w:noProof/>
                <w:webHidden/>
              </w:rPr>
              <w:instrText xml:space="preserve"> PAGEREF _Toc131503790 \h </w:instrText>
            </w:r>
            <w:r w:rsidR="000107EF">
              <w:rPr>
                <w:noProof/>
                <w:webHidden/>
              </w:rPr>
            </w:r>
            <w:r w:rsidR="000107EF">
              <w:rPr>
                <w:noProof/>
                <w:webHidden/>
              </w:rPr>
              <w:fldChar w:fldCharType="separate"/>
            </w:r>
            <w:r w:rsidR="000107EF">
              <w:rPr>
                <w:noProof/>
                <w:webHidden/>
              </w:rPr>
              <w:t>10</w:t>
            </w:r>
            <w:r w:rsidR="000107EF">
              <w:rPr>
                <w:noProof/>
                <w:webHidden/>
              </w:rPr>
              <w:fldChar w:fldCharType="end"/>
            </w:r>
          </w:hyperlink>
        </w:p>
        <w:p w14:paraId="6D9D144F" w14:textId="5AE36A62" w:rsidR="000107EF" w:rsidRDefault="00A44DE9">
          <w:pPr>
            <w:pStyle w:val="TOC3"/>
            <w:tabs>
              <w:tab w:val="left" w:pos="960"/>
              <w:tab w:val="right" w:pos="9350"/>
            </w:tabs>
            <w:rPr>
              <w:rFonts w:asciiTheme="minorHAnsi" w:eastAsiaTheme="minorEastAsia" w:hAnsiTheme="minorHAnsi" w:cstheme="minorBidi"/>
              <w:noProof/>
              <w:sz w:val="22"/>
              <w:szCs w:val="22"/>
            </w:rPr>
          </w:pPr>
          <w:hyperlink w:anchor="_Toc131503791" w:history="1">
            <w:r w:rsidR="000107EF" w:rsidRPr="00F20EBD">
              <w:rPr>
                <w:rStyle w:val="Hyperlink"/>
                <w:noProof/>
              </w:rPr>
              <w:t>E.</w:t>
            </w:r>
            <w:r w:rsidR="000107EF">
              <w:rPr>
                <w:rFonts w:asciiTheme="minorHAnsi" w:eastAsiaTheme="minorEastAsia" w:hAnsiTheme="minorHAnsi" w:cstheme="minorBidi"/>
                <w:noProof/>
                <w:sz w:val="22"/>
                <w:szCs w:val="22"/>
              </w:rPr>
              <w:tab/>
            </w:r>
            <w:r w:rsidR="000107EF" w:rsidRPr="00F20EBD">
              <w:rPr>
                <w:rStyle w:val="Hyperlink"/>
                <w:noProof/>
              </w:rPr>
              <w:t>HEPR</w:t>
            </w:r>
            <w:r w:rsidR="000107EF">
              <w:rPr>
                <w:noProof/>
                <w:webHidden/>
              </w:rPr>
              <w:tab/>
            </w:r>
            <w:r w:rsidR="000107EF">
              <w:rPr>
                <w:noProof/>
                <w:webHidden/>
              </w:rPr>
              <w:fldChar w:fldCharType="begin"/>
            </w:r>
            <w:r w:rsidR="000107EF">
              <w:rPr>
                <w:noProof/>
                <w:webHidden/>
              </w:rPr>
              <w:instrText xml:space="preserve"> PAGEREF _Toc131503791 \h </w:instrText>
            </w:r>
            <w:r w:rsidR="000107EF">
              <w:rPr>
                <w:noProof/>
                <w:webHidden/>
              </w:rPr>
            </w:r>
            <w:r w:rsidR="000107EF">
              <w:rPr>
                <w:noProof/>
                <w:webHidden/>
              </w:rPr>
              <w:fldChar w:fldCharType="separate"/>
            </w:r>
            <w:r w:rsidR="000107EF">
              <w:rPr>
                <w:noProof/>
                <w:webHidden/>
              </w:rPr>
              <w:t>11</w:t>
            </w:r>
            <w:r w:rsidR="000107EF">
              <w:rPr>
                <w:noProof/>
                <w:webHidden/>
              </w:rPr>
              <w:fldChar w:fldCharType="end"/>
            </w:r>
          </w:hyperlink>
        </w:p>
        <w:p w14:paraId="3E210B18" w14:textId="5C8A6AF7" w:rsidR="000107EF" w:rsidRDefault="00A44DE9">
          <w:pPr>
            <w:pStyle w:val="TOC4"/>
            <w:tabs>
              <w:tab w:val="right" w:pos="9350"/>
            </w:tabs>
            <w:rPr>
              <w:rFonts w:asciiTheme="minorHAnsi" w:eastAsiaTheme="minorEastAsia" w:hAnsiTheme="minorHAnsi" w:cstheme="minorBidi"/>
              <w:noProof/>
              <w:sz w:val="22"/>
              <w:szCs w:val="22"/>
            </w:rPr>
          </w:pPr>
          <w:hyperlink w:anchor="_Toc131503792" w:history="1">
            <w:r w:rsidR="000107EF" w:rsidRPr="00F20EBD">
              <w:rPr>
                <w:rStyle w:val="Hyperlink"/>
                <w:noProof/>
              </w:rPr>
              <w:t>Loss of Sea Ice</w:t>
            </w:r>
            <w:r w:rsidR="000107EF">
              <w:rPr>
                <w:noProof/>
                <w:webHidden/>
              </w:rPr>
              <w:tab/>
            </w:r>
            <w:r w:rsidR="000107EF">
              <w:rPr>
                <w:noProof/>
                <w:webHidden/>
              </w:rPr>
              <w:fldChar w:fldCharType="begin"/>
            </w:r>
            <w:r w:rsidR="000107EF">
              <w:rPr>
                <w:noProof/>
                <w:webHidden/>
              </w:rPr>
              <w:instrText xml:space="preserve"> PAGEREF _Toc131503792 \h </w:instrText>
            </w:r>
            <w:r w:rsidR="000107EF">
              <w:rPr>
                <w:noProof/>
                <w:webHidden/>
              </w:rPr>
            </w:r>
            <w:r w:rsidR="000107EF">
              <w:rPr>
                <w:noProof/>
                <w:webHidden/>
              </w:rPr>
              <w:fldChar w:fldCharType="separate"/>
            </w:r>
            <w:r w:rsidR="000107EF">
              <w:rPr>
                <w:noProof/>
                <w:webHidden/>
              </w:rPr>
              <w:t>11</w:t>
            </w:r>
            <w:r w:rsidR="000107EF">
              <w:rPr>
                <w:noProof/>
                <w:webHidden/>
              </w:rPr>
              <w:fldChar w:fldCharType="end"/>
            </w:r>
          </w:hyperlink>
        </w:p>
        <w:p w14:paraId="14B35CE1" w14:textId="59898CC9" w:rsidR="000107EF" w:rsidRDefault="00A44DE9">
          <w:pPr>
            <w:pStyle w:val="TOC4"/>
            <w:tabs>
              <w:tab w:val="right" w:pos="9350"/>
            </w:tabs>
            <w:rPr>
              <w:rFonts w:asciiTheme="minorHAnsi" w:eastAsiaTheme="minorEastAsia" w:hAnsiTheme="minorHAnsi" w:cstheme="minorBidi"/>
              <w:noProof/>
              <w:sz w:val="22"/>
              <w:szCs w:val="22"/>
            </w:rPr>
          </w:pPr>
          <w:hyperlink w:anchor="_Toc131503793" w:history="1">
            <w:r w:rsidR="000107EF" w:rsidRPr="00F20EBD">
              <w:rPr>
                <w:rStyle w:val="Hyperlink"/>
                <w:noProof/>
              </w:rPr>
              <w:t>Essential Fish Habitat</w:t>
            </w:r>
            <w:r w:rsidR="000107EF">
              <w:rPr>
                <w:noProof/>
                <w:webHidden/>
              </w:rPr>
              <w:tab/>
            </w:r>
            <w:r w:rsidR="000107EF">
              <w:rPr>
                <w:noProof/>
                <w:webHidden/>
              </w:rPr>
              <w:fldChar w:fldCharType="begin"/>
            </w:r>
            <w:r w:rsidR="000107EF">
              <w:rPr>
                <w:noProof/>
                <w:webHidden/>
              </w:rPr>
              <w:instrText xml:space="preserve"> PAGEREF _Toc131503793 \h </w:instrText>
            </w:r>
            <w:r w:rsidR="000107EF">
              <w:rPr>
                <w:noProof/>
                <w:webHidden/>
              </w:rPr>
            </w:r>
            <w:r w:rsidR="000107EF">
              <w:rPr>
                <w:noProof/>
                <w:webHidden/>
              </w:rPr>
              <w:fldChar w:fldCharType="separate"/>
            </w:r>
            <w:r w:rsidR="000107EF">
              <w:rPr>
                <w:noProof/>
                <w:webHidden/>
              </w:rPr>
              <w:t>11</w:t>
            </w:r>
            <w:r w:rsidR="000107EF">
              <w:rPr>
                <w:noProof/>
                <w:webHidden/>
              </w:rPr>
              <w:fldChar w:fldCharType="end"/>
            </w:r>
          </w:hyperlink>
        </w:p>
        <w:p w14:paraId="3FFEF051" w14:textId="219C498A" w:rsidR="000107EF" w:rsidRDefault="00A44DE9">
          <w:pPr>
            <w:pStyle w:val="TOC4"/>
            <w:tabs>
              <w:tab w:val="right" w:pos="9350"/>
            </w:tabs>
            <w:rPr>
              <w:rFonts w:asciiTheme="minorHAnsi" w:eastAsiaTheme="minorEastAsia" w:hAnsiTheme="minorHAnsi" w:cstheme="minorBidi"/>
              <w:noProof/>
              <w:sz w:val="22"/>
              <w:szCs w:val="22"/>
            </w:rPr>
          </w:pPr>
          <w:hyperlink w:anchor="_Toc131503794" w:history="1">
            <w:r w:rsidR="000107EF" w:rsidRPr="00F20EBD">
              <w:rPr>
                <w:rStyle w:val="Hyperlink"/>
                <w:noProof/>
              </w:rPr>
              <w:t>Habitat Research in Alaska</w:t>
            </w:r>
            <w:r w:rsidR="000107EF">
              <w:rPr>
                <w:noProof/>
                <w:webHidden/>
              </w:rPr>
              <w:tab/>
            </w:r>
            <w:r w:rsidR="000107EF">
              <w:rPr>
                <w:noProof/>
                <w:webHidden/>
              </w:rPr>
              <w:fldChar w:fldCharType="begin"/>
            </w:r>
            <w:r w:rsidR="000107EF">
              <w:rPr>
                <w:noProof/>
                <w:webHidden/>
              </w:rPr>
              <w:instrText xml:space="preserve"> PAGEREF _Toc131503794 \h </w:instrText>
            </w:r>
            <w:r w:rsidR="000107EF">
              <w:rPr>
                <w:noProof/>
                <w:webHidden/>
              </w:rPr>
            </w:r>
            <w:r w:rsidR="000107EF">
              <w:rPr>
                <w:noProof/>
                <w:webHidden/>
              </w:rPr>
              <w:fldChar w:fldCharType="separate"/>
            </w:r>
            <w:r w:rsidR="000107EF">
              <w:rPr>
                <w:noProof/>
                <w:webHidden/>
              </w:rPr>
              <w:t>11</w:t>
            </w:r>
            <w:r w:rsidR="000107EF">
              <w:rPr>
                <w:noProof/>
                <w:webHidden/>
              </w:rPr>
              <w:fldChar w:fldCharType="end"/>
            </w:r>
          </w:hyperlink>
        </w:p>
        <w:p w14:paraId="32561F54" w14:textId="2625F853" w:rsidR="000107EF" w:rsidRDefault="00A44DE9">
          <w:pPr>
            <w:pStyle w:val="TOC2"/>
            <w:tabs>
              <w:tab w:val="left" w:pos="720"/>
              <w:tab w:val="right" w:pos="9350"/>
            </w:tabs>
            <w:rPr>
              <w:rFonts w:asciiTheme="minorHAnsi" w:eastAsiaTheme="minorEastAsia" w:hAnsiTheme="minorHAnsi" w:cstheme="minorBidi"/>
              <w:noProof/>
              <w:sz w:val="22"/>
              <w:szCs w:val="22"/>
            </w:rPr>
          </w:pPr>
          <w:hyperlink w:anchor="_Toc131503795" w:history="1">
            <w:r w:rsidR="000107EF" w:rsidRPr="00F20EBD">
              <w:rPr>
                <w:rStyle w:val="Hyperlink"/>
                <w:noProof/>
              </w:rPr>
              <w:t>II.</w:t>
            </w:r>
            <w:r w:rsidR="000107EF">
              <w:rPr>
                <w:rFonts w:asciiTheme="minorHAnsi" w:eastAsiaTheme="minorEastAsia" w:hAnsiTheme="minorHAnsi" w:cstheme="minorBidi"/>
                <w:noProof/>
                <w:sz w:val="22"/>
                <w:szCs w:val="22"/>
              </w:rPr>
              <w:tab/>
            </w:r>
            <w:r w:rsidR="000107EF" w:rsidRPr="00F20EBD">
              <w:rPr>
                <w:rStyle w:val="Hyperlink"/>
                <w:noProof/>
              </w:rPr>
              <w:t>Surveys</w:t>
            </w:r>
            <w:r w:rsidR="000107EF">
              <w:rPr>
                <w:noProof/>
                <w:webHidden/>
              </w:rPr>
              <w:tab/>
            </w:r>
            <w:r w:rsidR="000107EF">
              <w:rPr>
                <w:noProof/>
                <w:webHidden/>
              </w:rPr>
              <w:fldChar w:fldCharType="begin"/>
            </w:r>
            <w:r w:rsidR="000107EF">
              <w:rPr>
                <w:noProof/>
                <w:webHidden/>
              </w:rPr>
              <w:instrText xml:space="preserve"> PAGEREF _Toc131503795 \h </w:instrText>
            </w:r>
            <w:r w:rsidR="000107EF">
              <w:rPr>
                <w:noProof/>
                <w:webHidden/>
              </w:rPr>
            </w:r>
            <w:r w:rsidR="000107EF">
              <w:rPr>
                <w:noProof/>
                <w:webHidden/>
              </w:rPr>
              <w:fldChar w:fldCharType="separate"/>
            </w:r>
            <w:r w:rsidR="000107EF">
              <w:rPr>
                <w:noProof/>
                <w:webHidden/>
              </w:rPr>
              <w:t>11</w:t>
            </w:r>
            <w:r w:rsidR="000107EF">
              <w:rPr>
                <w:noProof/>
                <w:webHidden/>
              </w:rPr>
              <w:fldChar w:fldCharType="end"/>
            </w:r>
          </w:hyperlink>
        </w:p>
        <w:p w14:paraId="2CFCB36E" w14:textId="356DEAD0" w:rsidR="000107EF" w:rsidRDefault="00A44DE9">
          <w:pPr>
            <w:pStyle w:val="TOC5"/>
            <w:rPr>
              <w:rFonts w:asciiTheme="minorHAnsi" w:eastAsiaTheme="minorEastAsia" w:hAnsiTheme="minorHAnsi" w:cstheme="minorBidi"/>
              <w:noProof/>
              <w:sz w:val="22"/>
              <w:szCs w:val="22"/>
            </w:rPr>
          </w:pPr>
          <w:hyperlink w:anchor="_Toc131503796" w:history="1">
            <w:r w:rsidR="000107EF" w:rsidRPr="00F20EBD">
              <w:rPr>
                <w:rStyle w:val="Hyperlink"/>
                <w:noProof/>
              </w:rPr>
              <w:t>2022 Eastern Bering Sea Continental Shelf and Northern Bering Sea Bottom Trawl Surveys – RACE-GAP</w:t>
            </w:r>
            <w:r w:rsidR="000107EF">
              <w:rPr>
                <w:noProof/>
                <w:webHidden/>
              </w:rPr>
              <w:tab/>
            </w:r>
            <w:r w:rsidR="000107EF">
              <w:rPr>
                <w:noProof/>
                <w:webHidden/>
              </w:rPr>
              <w:fldChar w:fldCharType="begin"/>
            </w:r>
            <w:r w:rsidR="000107EF">
              <w:rPr>
                <w:noProof/>
                <w:webHidden/>
              </w:rPr>
              <w:instrText xml:space="preserve"> PAGEREF _Toc131503796 \h </w:instrText>
            </w:r>
            <w:r w:rsidR="000107EF">
              <w:rPr>
                <w:noProof/>
                <w:webHidden/>
              </w:rPr>
            </w:r>
            <w:r w:rsidR="000107EF">
              <w:rPr>
                <w:noProof/>
                <w:webHidden/>
              </w:rPr>
              <w:fldChar w:fldCharType="separate"/>
            </w:r>
            <w:r w:rsidR="000107EF">
              <w:rPr>
                <w:noProof/>
                <w:webHidden/>
              </w:rPr>
              <w:t>11</w:t>
            </w:r>
            <w:r w:rsidR="000107EF">
              <w:rPr>
                <w:noProof/>
                <w:webHidden/>
              </w:rPr>
              <w:fldChar w:fldCharType="end"/>
            </w:r>
          </w:hyperlink>
        </w:p>
        <w:p w14:paraId="757C5B99" w14:textId="753175C8" w:rsidR="000107EF" w:rsidRDefault="00A44DE9">
          <w:pPr>
            <w:pStyle w:val="TOC5"/>
            <w:rPr>
              <w:rFonts w:asciiTheme="minorHAnsi" w:eastAsiaTheme="minorEastAsia" w:hAnsiTheme="minorHAnsi" w:cstheme="minorBidi"/>
              <w:noProof/>
              <w:sz w:val="22"/>
              <w:szCs w:val="22"/>
            </w:rPr>
          </w:pPr>
          <w:hyperlink w:anchor="_Toc131503797" w:history="1">
            <w:r w:rsidR="000107EF" w:rsidRPr="00F20EBD">
              <w:rPr>
                <w:rStyle w:val="Hyperlink"/>
                <w:noProof/>
              </w:rPr>
              <w:t>2022 Aleutian Islands Biennial Bottom Trawl Survey – RACE-GAP</w:t>
            </w:r>
            <w:r w:rsidR="000107EF">
              <w:rPr>
                <w:noProof/>
                <w:webHidden/>
              </w:rPr>
              <w:tab/>
            </w:r>
            <w:r w:rsidR="000107EF">
              <w:rPr>
                <w:noProof/>
                <w:webHidden/>
              </w:rPr>
              <w:fldChar w:fldCharType="begin"/>
            </w:r>
            <w:r w:rsidR="000107EF">
              <w:rPr>
                <w:noProof/>
                <w:webHidden/>
              </w:rPr>
              <w:instrText xml:space="preserve"> PAGEREF _Toc131503797 \h </w:instrText>
            </w:r>
            <w:r w:rsidR="000107EF">
              <w:rPr>
                <w:noProof/>
                <w:webHidden/>
              </w:rPr>
            </w:r>
            <w:r w:rsidR="000107EF">
              <w:rPr>
                <w:noProof/>
                <w:webHidden/>
              </w:rPr>
              <w:fldChar w:fldCharType="separate"/>
            </w:r>
            <w:r w:rsidR="000107EF">
              <w:rPr>
                <w:noProof/>
                <w:webHidden/>
              </w:rPr>
              <w:t>16</w:t>
            </w:r>
            <w:r w:rsidR="000107EF">
              <w:rPr>
                <w:noProof/>
                <w:webHidden/>
              </w:rPr>
              <w:fldChar w:fldCharType="end"/>
            </w:r>
          </w:hyperlink>
        </w:p>
        <w:p w14:paraId="3ED2F837" w14:textId="4769D24F" w:rsidR="000107EF" w:rsidRDefault="00A44DE9">
          <w:pPr>
            <w:pStyle w:val="TOC5"/>
            <w:rPr>
              <w:rFonts w:asciiTheme="minorHAnsi" w:eastAsiaTheme="minorEastAsia" w:hAnsiTheme="minorHAnsi" w:cstheme="minorBidi"/>
              <w:noProof/>
              <w:sz w:val="22"/>
              <w:szCs w:val="22"/>
            </w:rPr>
          </w:pPr>
          <w:hyperlink w:anchor="_Toc131503798" w:history="1">
            <w:r w:rsidR="000107EF" w:rsidRPr="00F20EBD">
              <w:rPr>
                <w:rStyle w:val="Hyperlink"/>
                <w:noProof/>
              </w:rPr>
              <w:t>Winter acoustic-trawl survey of pre-spawning walleye pollock in the Gulf of Alaska – MACE</w:t>
            </w:r>
            <w:r w:rsidR="000107EF">
              <w:rPr>
                <w:noProof/>
                <w:webHidden/>
              </w:rPr>
              <w:tab/>
            </w:r>
            <w:r w:rsidR="000107EF">
              <w:rPr>
                <w:noProof/>
                <w:webHidden/>
              </w:rPr>
              <w:fldChar w:fldCharType="begin"/>
            </w:r>
            <w:r w:rsidR="000107EF">
              <w:rPr>
                <w:noProof/>
                <w:webHidden/>
              </w:rPr>
              <w:instrText xml:space="preserve"> PAGEREF _Toc131503798 \h </w:instrText>
            </w:r>
            <w:r w:rsidR="000107EF">
              <w:rPr>
                <w:noProof/>
                <w:webHidden/>
              </w:rPr>
            </w:r>
            <w:r w:rsidR="000107EF">
              <w:rPr>
                <w:noProof/>
                <w:webHidden/>
              </w:rPr>
              <w:fldChar w:fldCharType="separate"/>
            </w:r>
            <w:r w:rsidR="000107EF">
              <w:rPr>
                <w:noProof/>
                <w:webHidden/>
              </w:rPr>
              <w:t>20</w:t>
            </w:r>
            <w:r w:rsidR="000107EF">
              <w:rPr>
                <w:noProof/>
                <w:webHidden/>
              </w:rPr>
              <w:fldChar w:fldCharType="end"/>
            </w:r>
          </w:hyperlink>
        </w:p>
        <w:p w14:paraId="3E8924BB" w14:textId="230A7017" w:rsidR="000107EF" w:rsidRDefault="00A44DE9">
          <w:pPr>
            <w:pStyle w:val="TOC5"/>
            <w:rPr>
              <w:rFonts w:asciiTheme="minorHAnsi" w:eastAsiaTheme="minorEastAsia" w:hAnsiTheme="minorHAnsi" w:cstheme="minorBidi"/>
              <w:noProof/>
              <w:sz w:val="22"/>
              <w:szCs w:val="22"/>
            </w:rPr>
          </w:pPr>
          <w:hyperlink w:anchor="_Toc131503799" w:history="1">
            <w:r w:rsidR="000107EF" w:rsidRPr="00F20EBD">
              <w:rPr>
                <w:rStyle w:val="Hyperlink"/>
                <w:noProof/>
              </w:rPr>
              <w:t>Summer acoustic-trawl survey of walleye pollock in the eastern Bering Sea – MACE</w:t>
            </w:r>
            <w:r w:rsidR="000107EF">
              <w:rPr>
                <w:noProof/>
                <w:webHidden/>
              </w:rPr>
              <w:tab/>
            </w:r>
            <w:r w:rsidR="000107EF">
              <w:rPr>
                <w:noProof/>
                <w:webHidden/>
              </w:rPr>
              <w:fldChar w:fldCharType="begin"/>
            </w:r>
            <w:r w:rsidR="000107EF">
              <w:rPr>
                <w:noProof/>
                <w:webHidden/>
              </w:rPr>
              <w:instrText xml:space="preserve"> PAGEREF _Toc131503799 \h </w:instrText>
            </w:r>
            <w:r w:rsidR="000107EF">
              <w:rPr>
                <w:noProof/>
                <w:webHidden/>
              </w:rPr>
            </w:r>
            <w:r w:rsidR="000107EF">
              <w:rPr>
                <w:noProof/>
                <w:webHidden/>
              </w:rPr>
              <w:fldChar w:fldCharType="separate"/>
            </w:r>
            <w:r w:rsidR="000107EF">
              <w:rPr>
                <w:noProof/>
                <w:webHidden/>
              </w:rPr>
              <w:t>21</w:t>
            </w:r>
            <w:r w:rsidR="000107EF">
              <w:rPr>
                <w:noProof/>
                <w:webHidden/>
              </w:rPr>
              <w:fldChar w:fldCharType="end"/>
            </w:r>
          </w:hyperlink>
        </w:p>
        <w:p w14:paraId="2E52F01A" w14:textId="0DD985A0" w:rsidR="000107EF" w:rsidRDefault="00A44DE9">
          <w:pPr>
            <w:pStyle w:val="TOC5"/>
            <w:rPr>
              <w:rFonts w:asciiTheme="minorHAnsi" w:eastAsiaTheme="minorEastAsia" w:hAnsiTheme="minorHAnsi" w:cstheme="minorBidi"/>
              <w:noProof/>
              <w:sz w:val="22"/>
              <w:szCs w:val="22"/>
            </w:rPr>
          </w:pPr>
          <w:hyperlink w:anchor="_Toc131503800" w:history="1">
            <w:r w:rsidR="000107EF" w:rsidRPr="00F20EBD">
              <w:rPr>
                <w:rStyle w:val="Hyperlink"/>
                <w:noProof/>
              </w:rPr>
              <w:t>Summer acoustic vessel of opportunity (AVO) index for midwater Bering Sea pollock – MACE</w:t>
            </w:r>
            <w:r w:rsidR="000107EF">
              <w:rPr>
                <w:noProof/>
                <w:webHidden/>
              </w:rPr>
              <w:tab/>
            </w:r>
            <w:r w:rsidR="000107EF">
              <w:rPr>
                <w:noProof/>
                <w:webHidden/>
              </w:rPr>
              <w:fldChar w:fldCharType="begin"/>
            </w:r>
            <w:r w:rsidR="000107EF">
              <w:rPr>
                <w:noProof/>
                <w:webHidden/>
              </w:rPr>
              <w:instrText xml:space="preserve"> PAGEREF _Toc131503800 \h </w:instrText>
            </w:r>
            <w:r w:rsidR="000107EF">
              <w:rPr>
                <w:noProof/>
                <w:webHidden/>
              </w:rPr>
            </w:r>
            <w:r w:rsidR="000107EF">
              <w:rPr>
                <w:noProof/>
                <w:webHidden/>
              </w:rPr>
              <w:fldChar w:fldCharType="separate"/>
            </w:r>
            <w:r w:rsidR="000107EF">
              <w:rPr>
                <w:noProof/>
                <w:webHidden/>
              </w:rPr>
              <w:t>24</w:t>
            </w:r>
            <w:r w:rsidR="000107EF">
              <w:rPr>
                <w:noProof/>
                <w:webHidden/>
              </w:rPr>
              <w:fldChar w:fldCharType="end"/>
            </w:r>
          </w:hyperlink>
        </w:p>
        <w:p w14:paraId="3ED1EAF0" w14:textId="0FDA9B82" w:rsidR="000107EF" w:rsidRDefault="00A44DE9">
          <w:pPr>
            <w:pStyle w:val="TOC5"/>
            <w:rPr>
              <w:rFonts w:asciiTheme="minorHAnsi" w:eastAsiaTheme="minorEastAsia" w:hAnsiTheme="minorHAnsi" w:cstheme="minorBidi"/>
              <w:noProof/>
              <w:sz w:val="22"/>
              <w:szCs w:val="22"/>
            </w:rPr>
          </w:pPr>
          <w:hyperlink w:anchor="_Toc131503801" w:history="1">
            <w:r w:rsidR="000107EF" w:rsidRPr="00F20EBD">
              <w:rPr>
                <w:rStyle w:val="Hyperlink"/>
                <w:noProof/>
              </w:rPr>
              <w:t>Longline Survey – ABL</w:t>
            </w:r>
            <w:r w:rsidR="000107EF">
              <w:rPr>
                <w:noProof/>
                <w:webHidden/>
              </w:rPr>
              <w:tab/>
            </w:r>
            <w:r w:rsidR="000107EF">
              <w:rPr>
                <w:noProof/>
                <w:webHidden/>
              </w:rPr>
              <w:fldChar w:fldCharType="begin"/>
            </w:r>
            <w:r w:rsidR="000107EF">
              <w:rPr>
                <w:noProof/>
                <w:webHidden/>
              </w:rPr>
              <w:instrText xml:space="preserve"> PAGEREF _Toc131503801 \h </w:instrText>
            </w:r>
            <w:r w:rsidR="000107EF">
              <w:rPr>
                <w:noProof/>
                <w:webHidden/>
              </w:rPr>
            </w:r>
            <w:r w:rsidR="000107EF">
              <w:rPr>
                <w:noProof/>
                <w:webHidden/>
              </w:rPr>
              <w:fldChar w:fldCharType="separate"/>
            </w:r>
            <w:r w:rsidR="000107EF">
              <w:rPr>
                <w:noProof/>
                <w:webHidden/>
              </w:rPr>
              <w:t>25</w:t>
            </w:r>
            <w:r w:rsidR="000107EF">
              <w:rPr>
                <w:noProof/>
                <w:webHidden/>
              </w:rPr>
              <w:fldChar w:fldCharType="end"/>
            </w:r>
          </w:hyperlink>
        </w:p>
        <w:p w14:paraId="162EDCB2" w14:textId="0DF2A86C" w:rsidR="000107EF" w:rsidRDefault="00A44DE9">
          <w:pPr>
            <w:pStyle w:val="TOC5"/>
            <w:rPr>
              <w:rFonts w:asciiTheme="minorHAnsi" w:eastAsiaTheme="minorEastAsia" w:hAnsiTheme="minorHAnsi" w:cstheme="minorBidi"/>
              <w:noProof/>
              <w:sz w:val="22"/>
              <w:szCs w:val="22"/>
            </w:rPr>
          </w:pPr>
          <w:hyperlink w:anchor="_Toc131503802" w:history="1">
            <w:r w:rsidR="000107EF" w:rsidRPr="00F20EBD">
              <w:rPr>
                <w:rStyle w:val="Hyperlink"/>
                <w:noProof/>
              </w:rPr>
              <w:t>Northern Bering Sea Surface Trawl and Ecosystem Survey – ABL</w:t>
            </w:r>
            <w:r w:rsidR="000107EF">
              <w:rPr>
                <w:noProof/>
                <w:webHidden/>
              </w:rPr>
              <w:tab/>
            </w:r>
            <w:r w:rsidR="000107EF">
              <w:rPr>
                <w:noProof/>
                <w:webHidden/>
              </w:rPr>
              <w:fldChar w:fldCharType="begin"/>
            </w:r>
            <w:r w:rsidR="000107EF">
              <w:rPr>
                <w:noProof/>
                <w:webHidden/>
              </w:rPr>
              <w:instrText xml:space="preserve"> PAGEREF _Toc131503802 \h </w:instrText>
            </w:r>
            <w:r w:rsidR="000107EF">
              <w:rPr>
                <w:noProof/>
                <w:webHidden/>
              </w:rPr>
            </w:r>
            <w:r w:rsidR="000107EF">
              <w:rPr>
                <w:noProof/>
                <w:webHidden/>
              </w:rPr>
              <w:fldChar w:fldCharType="separate"/>
            </w:r>
            <w:r w:rsidR="000107EF">
              <w:rPr>
                <w:noProof/>
                <w:webHidden/>
              </w:rPr>
              <w:t>26</w:t>
            </w:r>
            <w:r w:rsidR="000107EF">
              <w:rPr>
                <w:noProof/>
                <w:webHidden/>
              </w:rPr>
              <w:fldChar w:fldCharType="end"/>
            </w:r>
          </w:hyperlink>
        </w:p>
        <w:p w14:paraId="1ED55489" w14:textId="36DDCDB3" w:rsidR="000107EF" w:rsidRDefault="00A44DE9">
          <w:pPr>
            <w:pStyle w:val="TOC5"/>
            <w:rPr>
              <w:rFonts w:asciiTheme="minorHAnsi" w:eastAsiaTheme="minorEastAsia" w:hAnsiTheme="minorHAnsi" w:cstheme="minorBidi"/>
              <w:noProof/>
              <w:sz w:val="22"/>
              <w:szCs w:val="22"/>
            </w:rPr>
          </w:pPr>
          <w:hyperlink w:anchor="_Toc131503803" w:history="1">
            <w:r w:rsidR="000107EF" w:rsidRPr="00F20EBD">
              <w:rPr>
                <w:rStyle w:val="Hyperlink"/>
                <w:noProof/>
              </w:rPr>
              <w:t>North Pacific Groundfish Observer Program (Observer Program) – FMA</w:t>
            </w:r>
            <w:r w:rsidR="000107EF">
              <w:rPr>
                <w:noProof/>
                <w:webHidden/>
              </w:rPr>
              <w:tab/>
            </w:r>
            <w:r w:rsidR="000107EF">
              <w:rPr>
                <w:noProof/>
                <w:webHidden/>
              </w:rPr>
              <w:fldChar w:fldCharType="begin"/>
            </w:r>
            <w:r w:rsidR="000107EF">
              <w:rPr>
                <w:noProof/>
                <w:webHidden/>
              </w:rPr>
              <w:instrText xml:space="preserve"> PAGEREF _Toc131503803 \h </w:instrText>
            </w:r>
            <w:r w:rsidR="000107EF">
              <w:rPr>
                <w:noProof/>
                <w:webHidden/>
              </w:rPr>
            </w:r>
            <w:r w:rsidR="000107EF">
              <w:rPr>
                <w:noProof/>
                <w:webHidden/>
              </w:rPr>
              <w:fldChar w:fldCharType="separate"/>
            </w:r>
            <w:r w:rsidR="000107EF">
              <w:rPr>
                <w:noProof/>
                <w:webHidden/>
              </w:rPr>
              <w:t>27</w:t>
            </w:r>
            <w:r w:rsidR="000107EF">
              <w:rPr>
                <w:noProof/>
                <w:webHidden/>
              </w:rPr>
              <w:fldChar w:fldCharType="end"/>
            </w:r>
          </w:hyperlink>
        </w:p>
        <w:p w14:paraId="7918C443" w14:textId="1F623E5D" w:rsidR="000107EF" w:rsidRDefault="00A44DE9">
          <w:pPr>
            <w:pStyle w:val="TOC2"/>
            <w:tabs>
              <w:tab w:val="left" w:pos="960"/>
              <w:tab w:val="right" w:pos="9350"/>
            </w:tabs>
            <w:rPr>
              <w:rFonts w:asciiTheme="minorHAnsi" w:eastAsiaTheme="minorEastAsia" w:hAnsiTheme="minorHAnsi" w:cstheme="minorBidi"/>
              <w:noProof/>
              <w:sz w:val="22"/>
              <w:szCs w:val="22"/>
            </w:rPr>
          </w:pPr>
          <w:hyperlink w:anchor="_Toc131503804" w:history="1">
            <w:r w:rsidR="000107EF" w:rsidRPr="00F20EBD">
              <w:rPr>
                <w:rStyle w:val="Hyperlink"/>
                <w:noProof/>
                <w:shd w:val="clear" w:color="auto" w:fill="F3F3F3"/>
              </w:rPr>
              <w:t>III.</w:t>
            </w:r>
            <w:r w:rsidR="000107EF">
              <w:rPr>
                <w:rFonts w:asciiTheme="minorHAnsi" w:eastAsiaTheme="minorEastAsia" w:hAnsiTheme="minorHAnsi" w:cstheme="minorBidi"/>
                <w:noProof/>
                <w:sz w:val="22"/>
                <w:szCs w:val="22"/>
              </w:rPr>
              <w:tab/>
            </w:r>
            <w:r w:rsidR="000107EF" w:rsidRPr="00F20EBD">
              <w:rPr>
                <w:rStyle w:val="Hyperlink"/>
                <w:noProof/>
                <w:shd w:val="clear" w:color="auto" w:fill="F3F3F3"/>
              </w:rPr>
              <w:t>Reserves</w:t>
            </w:r>
            <w:r w:rsidR="000107EF">
              <w:rPr>
                <w:noProof/>
                <w:webHidden/>
              </w:rPr>
              <w:tab/>
            </w:r>
            <w:r w:rsidR="000107EF">
              <w:rPr>
                <w:noProof/>
                <w:webHidden/>
              </w:rPr>
              <w:fldChar w:fldCharType="begin"/>
            </w:r>
            <w:r w:rsidR="000107EF">
              <w:rPr>
                <w:noProof/>
                <w:webHidden/>
              </w:rPr>
              <w:instrText xml:space="preserve"> PAGEREF _Toc131503804 \h </w:instrText>
            </w:r>
            <w:r w:rsidR="000107EF">
              <w:rPr>
                <w:noProof/>
                <w:webHidden/>
              </w:rPr>
            </w:r>
            <w:r w:rsidR="000107EF">
              <w:rPr>
                <w:noProof/>
                <w:webHidden/>
              </w:rPr>
              <w:fldChar w:fldCharType="separate"/>
            </w:r>
            <w:r w:rsidR="000107EF">
              <w:rPr>
                <w:noProof/>
                <w:webHidden/>
              </w:rPr>
              <w:t>28</w:t>
            </w:r>
            <w:r w:rsidR="000107EF">
              <w:rPr>
                <w:noProof/>
                <w:webHidden/>
              </w:rPr>
              <w:fldChar w:fldCharType="end"/>
            </w:r>
          </w:hyperlink>
        </w:p>
        <w:p w14:paraId="462E3CE5" w14:textId="6CCB6210" w:rsidR="000107EF" w:rsidRDefault="00A44DE9">
          <w:pPr>
            <w:pStyle w:val="TOC2"/>
            <w:tabs>
              <w:tab w:val="left" w:pos="960"/>
              <w:tab w:val="right" w:pos="9350"/>
            </w:tabs>
            <w:rPr>
              <w:rFonts w:asciiTheme="minorHAnsi" w:eastAsiaTheme="minorEastAsia" w:hAnsiTheme="minorHAnsi" w:cstheme="minorBidi"/>
              <w:noProof/>
              <w:sz w:val="22"/>
              <w:szCs w:val="22"/>
            </w:rPr>
          </w:pPr>
          <w:hyperlink w:anchor="_Toc131503805" w:history="1">
            <w:r w:rsidR="000107EF" w:rsidRPr="00F20EBD">
              <w:rPr>
                <w:rStyle w:val="Hyperlink"/>
                <w:noProof/>
                <w:shd w:val="clear" w:color="auto" w:fill="F3F3F3"/>
              </w:rPr>
              <w:t>IV.</w:t>
            </w:r>
            <w:r w:rsidR="000107EF">
              <w:rPr>
                <w:rFonts w:asciiTheme="minorHAnsi" w:eastAsiaTheme="minorEastAsia" w:hAnsiTheme="minorHAnsi" w:cstheme="minorBidi"/>
                <w:noProof/>
                <w:sz w:val="22"/>
                <w:szCs w:val="22"/>
              </w:rPr>
              <w:tab/>
            </w:r>
            <w:r w:rsidR="000107EF" w:rsidRPr="00F20EBD">
              <w:rPr>
                <w:rStyle w:val="Hyperlink"/>
                <w:noProof/>
                <w:shd w:val="clear" w:color="auto" w:fill="F3F3F3"/>
              </w:rPr>
              <w:t>Review of Agency Groundfish Research, Assessment, and Management</w:t>
            </w:r>
            <w:r w:rsidR="000107EF">
              <w:rPr>
                <w:noProof/>
                <w:webHidden/>
              </w:rPr>
              <w:tab/>
            </w:r>
            <w:r w:rsidR="000107EF">
              <w:rPr>
                <w:noProof/>
                <w:webHidden/>
              </w:rPr>
              <w:fldChar w:fldCharType="begin"/>
            </w:r>
            <w:r w:rsidR="000107EF">
              <w:rPr>
                <w:noProof/>
                <w:webHidden/>
              </w:rPr>
              <w:instrText xml:space="preserve"> PAGEREF _Toc131503805 \h </w:instrText>
            </w:r>
            <w:r w:rsidR="000107EF">
              <w:rPr>
                <w:noProof/>
                <w:webHidden/>
              </w:rPr>
            </w:r>
            <w:r w:rsidR="000107EF">
              <w:rPr>
                <w:noProof/>
                <w:webHidden/>
              </w:rPr>
              <w:fldChar w:fldCharType="separate"/>
            </w:r>
            <w:r w:rsidR="000107EF">
              <w:rPr>
                <w:noProof/>
                <w:webHidden/>
              </w:rPr>
              <w:t>28</w:t>
            </w:r>
            <w:r w:rsidR="000107EF">
              <w:rPr>
                <w:noProof/>
                <w:webHidden/>
              </w:rPr>
              <w:fldChar w:fldCharType="end"/>
            </w:r>
          </w:hyperlink>
        </w:p>
        <w:p w14:paraId="76E2EF16" w14:textId="1945AA1F" w:rsidR="000107EF" w:rsidRDefault="00A44DE9">
          <w:pPr>
            <w:pStyle w:val="TOC3"/>
            <w:tabs>
              <w:tab w:val="left" w:pos="960"/>
              <w:tab w:val="right" w:pos="9350"/>
            </w:tabs>
            <w:rPr>
              <w:rFonts w:asciiTheme="minorHAnsi" w:eastAsiaTheme="minorEastAsia" w:hAnsiTheme="minorHAnsi" w:cstheme="minorBidi"/>
              <w:noProof/>
              <w:sz w:val="22"/>
              <w:szCs w:val="22"/>
            </w:rPr>
          </w:pPr>
          <w:hyperlink w:anchor="_Toc131503806" w:history="1">
            <w:r w:rsidR="000107EF" w:rsidRPr="00F20EBD">
              <w:rPr>
                <w:rStyle w:val="Hyperlink"/>
                <w:noProof/>
              </w:rPr>
              <w:t>A.</w:t>
            </w:r>
            <w:r w:rsidR="000107EF">
              <w:rPr>
                <w:rFonts w:asciiTheme="minorHAnsi" w:eastAsiaTheme="minorEastAsia" w:hAnsiTheme="minorHAnsi" w:cstheme="minorBidi"/>
                <w:noProof/>
                <w:sz w:val="22"/>
                <w:szCs w:val="22"/>
              </w:rPr>
              <w:tab/>
            </w:r>
            <w:r w:rsidR="000107EF" w:rsidRPr="00F20EBD">
              <w:rPr>
                <w:rStyle w:val="Hyperlink"/>
                <w:noProof/>
              </w:rPr>
              <w:t>Multispecies assessment</w:t>
            </w:r>
            <w:r w:rsidR="000107EF">
              <w:rPr>
                <w:noProof/>
                <w:webHidden/>
              </w:rPr>
              <w:tab/>
            </w:r>
            <w:r w:rsidR="000107EF">
              <w:rPr>
                <w:noProof/>
                <w:webHidden/>
              </w:rPr>
              <w:fldChar w:fldCharType="begin"/>
            </w:r>
            <w:r w:rsidR="000107EF">
              <w:rPr>
                <w:noProof/>
                <w:webHidden/>
              </w:rPr>
              <w:instrText xml:space="preserve"> PAGEREF _Toc131503806 \h </w:instrText>
            </w:r>
            <w:r w:rsidR="000107EF">
              <w:rPr>
                <w:noProof/>
                <w:webHidden/>
              </w:rPr>
            </w:r>
            <w:r w:rsidR="000107EF">
              <w:rPr>
                <w:noProof/>
                <w:webHidden/>
              </w:rPr>
              <w:fldChar w:fldCharType="separate"/>
            </w:r>
            <w:r w:rsidR="000107EF">
              <w:rPr>
                <w:noProof/>
                <w:webHidden/>
              </w:rPr>
              <w:t>28</w:t>
            </w:r>
            <w:r w:rsidR="000107EF">
              <w:rPr>
                <w:noProof/>
                <w:webHidden/>
              </w:rPr>
              <w:fldChar w:fldCharType="end"/>
            </w:r>
          </w:hyperlink>
        </w:p>
        <w:p w14:paraId="7AFB0D49" w14:textId="3FD22E7E" w:rsidR="000107EF" w:rsidRDefault="00A44DE9">
          <w:pPr>
            <w:pStyle w:val="TOC3"/>
            <w:tabs>
              <w:tab w:val="left" w:pos="960"/>
              <w:tab w:val="right" w:pos="9350"/>
            </w:tabs>
            <w:rPr>
              <w:rFonts w:asciiTheme="minorHAnsi" w:eastAsiaTheme="minorEastAsia" w:hAnsiTheme="minorHAnsi" w:cstheme="minorBidi"/>
              <w:noProof/>
              <w:sz w:val="22"/>
              <w:szCs w:val="22"/>
            </w:rPr>
          </w:pPr>
          <w:hyperlink w:anchor="_Toc131503807" w:history="1">
            <w:r w:rsidR="000107EF" w:rsidRPr="00F20EBD">
              <w:rPr>
                <w:rStyle w:val="Hyperlink"/>
                <w:noProof/>
              </w:rPr>
              <w:t>B.</w:t>
            </w:r>
            <w:r w:rsidR="000107EF">
              <w:rPr>
                <w:rFonts w:asciiTheme="minorHAnsi" w:eastAsiaTheme="minorEastAsia" w:hAnsiTheme="minorHAnsi" w:cstheme="minorBidi"/>
                <w:noProof/>
                <w:sz w:val="22"/>
                <w:szCs w:val="22"/>
              </w:rPr>
              <w:tab/>
            </w:r>
            <w:r w:rsidR="000107EF" w:rsidRPr="00F20EBD">
              <w:rPr>
                <w:rStyle w:val="Hyperlink"/>
                <w:noProof/>
              </w:rPr>
              <w:t>Hagfish</w:t>
            </w:r>
            <w:r w:rsidR="000107EF">
              <w:rPr>
                <w:noProof/>
                <w:webHidden/>
              </w:rPr>
              <w:tab/>
            </w:r>
            <w:r w:rsidR="000107EF">
              <w:rPr>
                <w:noProof/>
                <w:webHidden/>
              </w:rPr>
              <w:fldChar w:fldCharType="begin"/>
            </w:r>
            <w:r w:rsidR="000107EF">
              <w:rPr>
                <w:noProof/>
                <w:webHidden/>
              </w:rPr>
              <w:instrText xml:space="preserve"> PAGEREF _Toc131503807 \h </w:instrText>
            </w:r>
            <w:r w:rsidR="000107EF">
              <w:rPr>
                <w:noProof/>
                <w:webHidden/>
              </w:rPr>
            </w:r>
            <w:r w:rsidR="000107EF">
              <w:rPr>
                <w:noProof/>
                <w:webHidden/>
              </w:rPr>
              <w:fldChar w:fldCharType="separate"/>
            </w:r>
            <w:r w:rsidR="000107EF">
              <w:rPr>
                <w:noProof/>
                <w:webHidden/>
              </w:rPr>
              <w:t>33</w:t>
            </w:r>
            <w:r w:rsidR="000107EF">
              <w:rPr>
                <w:noProof/>
                <w:webHidden/>
              </w:rPr>
              <w:fldChar w:fldCharType="end"/>
            </w:r>
          </w:hyperlink>
        </w:p>
        <w:p w14:paraId="0C3991C0" w14:textId="3FE6163B" w:rsidR="000107EF" w:rsidRDefault="00A44DE9">
          <w:pPr>
            <w:pStyle w:val="TOC3"/>
            <w:tabs>
              <w:tab w:val="left" w:pos="960"/>
              <w:tab w:val="right" w:pos="9350"/>
            </w:tabs>
            <w:rPr>
              <w:rFonts w:asciiTheme="minorHAnsi" w:eastAsiaTheme="minorEastAsia" w:hAnsiTheme="minorHAnsi" w:cstheme="minorBidi"/>
              <w:noProof/>
              <w:sz w:val="22"/>
              <w:szCs w:val="22"/>
            </w:rPr>
          </w:pPr>
          <w:hyperlink w:anchor="_Toc131503808" w:history="1">
            <w:r w:rsidR="000107EF" w:rsidRPr="00F20EBD">
              <w:rPr>
                <w:rStyle w:val="Hyperlink"/>
                <w:noProof/>
              </w:rPr>
              <w:t>C.</w:t>
            </w:r>
            <w:r w:rsidR="000107EF">
              <w:rPr>
                <w:rFonts w:asciiTheme="minorHAnsi" w:eastAsiaTheme="minorEastAsia" w:hAnsiTheme="minorHAnsi" w:cstheme="minorBidi"/>
                <w:noProof/>
                <w:sz w:val="22"/>
                <w:szCs w:val="22"/>
              </w:rPr>
              <w:tab/>
            </w:r>
            <w:r w:rsidR="000107EF" w:rsidRPr="00F20EBD">
              <w:rPr>
                <w:rStyle w:val="Hyperlink"/>
                <w:noProof/>
              </w:rPr>
              <w:t>Dogfish and other sharks</w:t>
            </w:r>
            <w:r w:rsidR="000107EF">
              <w:rPr>
                <w:noProof/>
                <w:webHidden/>
              </w:rPr>
              <w:tab/>
            </w:r>
            <w:r w:rsidR="000107EF">
              <w:rPr>
                <w:noProof/>
                <w:webHidden/>
              </w:rPr>
              <w:fldChar w:fldCharType="begin"/>
            </w:r>
            <w:r w:rsidR="000107EF">
              <w:rPr>
                <w:noProof/>
                <w:webHidden/>
              </w:rPr>
              <w:instrText xml:space="preserve"> PAGEREF _Toc131503808 \h </w:instrText>
            </w:r>
            <w:r w:rsidR="000107EF">
              <w:rPr>
                <w:noProof/>
                <w:webHidden/>
              </w:rPr>
            </w:r>
            <w:r w:rsidR="000107EF">
              <w:rPr>
                <w:noProof/>
                <w:webHidden/>
              </w:rPr>
              <w:fldChar w:fldCharType="separate"/>
            </w:r>
            <w:r w:rsidR="000107EF">
              <w:rPr>
                <w:noProof/>
                <w:webHidden/>
              </w:rPr>
              <w:t>33</w:t>
            </w:r>
            <w:r w:rsidR="000107EF">
              <w:rPr>
                <w:noProof/>
                <w:webHidden/>
              </w:rPr>
              <w:fldChar w:fldCharType="end"/>
            </w:r>
          </w:hyperlink>
        </w:p>
        <w:p w14:paraId="17991957" w14:textId="66320FAB" w:rsidR="000107EF" w:rsidRDefault="00A44DE9">
          <w:pPr>
            <w:pStyle w:val="TOC4"/>
            <w:tabs>
              <w:tab w:val="left" w:pos="1320"/>
              <w:tab w:val="right" w:pos="9350"/>
            </w:tabs>
            <w:rPr>
              <w:rFonts w:asciiTheme="minorHAnsi" w:eastAsiaTheme="minorEastAsia" w:hAnsiTheme="minorHAnsi" w:cstheme="minorBidi"/>
              <w:noProof/>
              <w:sz w:val="22"/>
              <w:szCs w:val="22"/>
            </w:rPr>
          </w:pPr>
          <w:hyperlink w:anchor="_Toc131503809" w:history="1">
            <w:r w:rsidR="000107EF" w:rsidRPr="00F20EBD">
              <w:rPr>
                <w:rStyle w:val="Hyperlink"/>
                <w:noProof/>
              </w:rPr>
              <w:t>1.</w:t>
            </w:r>
            <w:r w:rsidR="000107EF">
              <w:rPr>
                <w:rFonts w:asciiTheme="minorHAnsi" w:eastAsiaTheme="minorEastAsia" w:hAnsiTheme="minorHAnsi" w:cstheme="minorBidi"/>
                <w:noProof/>
                <w:sz w:val="22"/>
                <w:szCs w:val="22"/>
              </w:rPr>
              <w:tab/>
            </w:r>
            <w:r w:rsidR="000107EF" w:rsidRPr="00F20EBD">
              <w:rPr>
                <w:rStyle w:val="Hyperlink"/>
                <w:noProof/>
              </w:rPr>
              <w:t>Research</w:t>
            </w:r>
            <w:r w:rsidR="000107EF">
              <w:rPr>
                <w:noProof/>
                <w:webHidden/>
              </w:rPr>
              <w:tab/>
            </w:r>
            <w:r w:rsidR="000107EF">
              <w:rPr>
                <w:noProof/>
                <w:webHidden/>
              </w:rPr>
              <w:fldChar w:fldCharType="begin"/>
            </w:r>
            <w:r w:rsidR="000107EF">
              <w:rPr>
                <w:noProof/>
                <w:webHidden/>
              </w:rPr>
              <w:instrText xml:space="preserve"> PAGEREF _Toc131503809 \h </w:instrText>
            </w:r>
            <w:r w:rsidR="000107EF">
              <w:rPr>
                <w:noProof/>
                <w:webHidden/>
              </w:rPr>
            </w:r>
            <w:r w:rsidR="000107EF">
              <w:rPr>
                <w:noProof/>
                <w:webHidden/>
              </w:rPr>
              <w:fldChar w:fldCharType="separate"/>
            </w:r>
            <w:r w:rsidR="000107EF">
              <w:rPr>
                <w:noProof/>
                <w:webHidden/>
              </w:rPr>
              <w:t>33</w:t>
            </w:r>
            <w:r w:rsidR="000107EF">
              <w:rPr>
                <w:noProof/>
                <w:webHidden/>
              </w:rPr>
              <w:fldChar w:fldCharType="end"/>
            </w:r>
          </w:hyperlink>
        </w:p>
        <w:p w14:paraId="676DE6FC" w14:textId="5978D3B3" w:rsidR="000107EF" w:rsidRDefault="00A44DE9">
          <w:pPr>
            <w:pStyle w:val="TOC5"/>
            <w:rPr>
              <w:rFonts w:asciiTheme="minorHAnsi" w:eastAsiaTheme="minorEastAsia" w:hAnsiTheme="minorHAnsi" w:cstheme="minorBidi"/>
              <w:noProof/>
              <w:sz w:val="22"/>
              <w:szCs w:val="22"/>
            </w:rPr>
          </w:pPr>
          <w:hyperlink w:anchor="_Toc131503810" w:history="1">
            <w:r w:rsidR="000107EF" w:rsidRPr="00F20EBD">
              <w:rPr>
                <w:rStyle w:val="Hyperlink"/>
                <w:noProof/>
              </w:rPr>
              <w:t>Population Genetics of Pacific Sleeper Sharks – ABL</w:t>
            </w:r>
            <w:r w:rsidR="000107EF">
              <w:rPr>
                <w:noProof/>
                <w:webHidden/>
              </w:rPr>
              <w:tab/>
            </w:r>
            <w:r w:rsidR="000107EF">
              <w:rPr>
                <w:noProof/>
                <w:webHidden/>
              </w:rPr>
              <w:fldChar w:fldCharType="begin"/>
            </w:r>
            <w:r w:rsidR="000107EF">
              <w:rPr>
                <w:noProof/>
                <w:webHidden/>
              </w:rPr>
              <w:instrText xml:space="preserve"> PAGEREF _Toc131503810 \h </w:instrText>
            </w:r>
            <w:r w:rsidR="000107EF">
              <w:rPr>
                <w:noProof/>
                <w:webHidden/>
              </w:rPr>
            </w:r>
            <w:r w:rsidR="000107EF">
              <w:rPr>
                <w:noProof/>
                <w:webHidden/>
              </w:rPr>
              <w:fldChar w:fldCharType="separate"/>
            </w:r>
            <w:r w:rsidR="000107EF">
              <w:rPr>
                <w:noProof/>
                <w:webHidden/>
              </w:rPr>
              <w:t>33</w:t>
            </w:r>
            <w:r w:rsidR="000107EF">
              <w:rPr>
                <w:noProof/>
                <w:webHidden/>
              </w:rPr>
              <w:fldChar w:fldCharType="end"/>
            </w:r>
          </w:hyperlink>
        </w:p>
        <w:p w14:paraId="7E433D37" w14:textId="2CEE4796" w:rsidR="000107EF" w:rsidRDefault="00A44DE9">
          <w:pPr>
            <w:pStyle w:val="TOC5"/>
            <w:rPr>
              <w:rFonts w:asciiTheme="minorHAnsi" w:eastAsiaTheme="minorEastAsia" w:hAnsiTheme="minorHAnsi" w:cstheme="minorBidi"/>
              <w:noProof/>
              <w:sz w:val="22"/>
              <w:szCs w:val="22"/>
            </w:rPr>
          </w:pPr>
          <w:hyperlink w:anchor="_Toc131503811" w:history="1">
            <w:r w:rsidR="000107EF" w:rsidRPr="00F20EBD">
              <w:rPr>
                <w:rStyle w:val="Hyperlink"/>
                <w:noProof/>
              </w:rPr>
              <w:t>Ageing of Pacific Sleeper Sharks – ABL</w:t>
            </w:r>
            <w:r w:rsidR="000107EF">
              <w:rPr>
                <w:noProof/>
                <w:webHidden/>
              </w:rPr>
              <w:tab/>
            </w:r>
            <w:r w:rsidR="000107EF">
              <w:rPr>
                <w:noProof/>
                <w:webHidden/>
              </w:rPr>
              <w:fldChar w:fldCharType="begin"/>
            </w:r>
            <w:r w:rsidR="000107EF">
              <w:rPr>
                <w:noProof/>
                <w:webHidden/>
              </w:rPr>
              <w:instrText xml:space="preserve"> PAGEREF _Toc131503811 \h </w:instrText>
            </w:r>
            <w:r w:rsidR="000107EF">
              <w:rPr>
                <w:noProof/>
                <w:webHidden/>
              </w:rPr>
            </w:r>
            <w:r w:rsidR="000107EF">
              <w:rPr>
                <w:noProof/>
                <w:webHidden/>
              </w:rPr>
              <w:fldChar w:fldCharType="separate"/>
            </w:r>
            <w:r w:rsidR="000107EF">
              <w:rPr>
                <w:noProof/>
                <w:webHidden/>
              </w:rPr>
              <w:t>33</w:t>
            </w:r>
            <w:r w:rsidR="000107EF">
              <w:rPr>
                <w:noProof/>
                <w:webHidden/>
              </w:rPr>
              <w:fldChar w:fldCharType="end"/>
            </w:r>
          </w:hyperlink>
        </w:p>
        <w:p w14:paraId="749067DB" w14:textId="474E83D9" w:rsidR="000107EF" w:rsidRDefault="00A44DE9">
          <w:pPr>
            <w:pStyle w:val="TOC5"/>
            <w:rPr>
              <w:rFonts w:asciiTheme="minorHAnsi" w:eastAsiaTheme="minorEastAsia" w:hAnsiTheme="minorHAnsi" w:cstheme="minorBidi"/>
              <w:noProof/>
              <w:sz w:val="22"/>
              <w:szCs w:val="22"/>
            </w:rPr>
          </w:pPr>
          <w:hyperlink w:anchor="_Toc131503812" w:history="1">
            <w:r w:rsidR="000107EF" w:rsidRPr="00F20EBD">
              <w:rPr>
                <w:rStyle w:val="Hyperlink"/>
                <w:noProof/>
              </w:rPr>
              <w:t>Shark tagging – ABL</w:t>
            </w:r>
            <w:r w:rsidR="000107EF">
              <w:rPr>
                <w:noProof/>
                <w:webHidden/>
              </w:rPr>
              <w:tab/>
            </w:r>
            <w:r w:rsidR="000107EF">
              <w:rPr>
                <w:noProof/>
                <w:webHidden/>
              </w:rPr>
              <w:fldChar w:fldCharType="begin"/>
            </w:r>
            <w:r w:rsidR="000107EF">
              <w:rPr>
                <w:noProof/>
                <w:webHidden/>
              </w:rPr>
              <w:instrText xml:space="preserve"> PAGEREF _Toc131503812 \h </w:instrText>
            </w:r>
            <w:r w:rsidR="000107EF">
              <w:rPr>
                <w:noProof/>
                <w:webHidden/>
              </w:rPr>
            </w:r>
            <w:r w:rsidR="000107EF">
              <w:rPr>
                <w:noProof/>
                <w:webHidden/>
              </w:rPr>
              <w:fldChar w:fldCharType="separate"/>
            </w:r>
            <w:r w:rsidR="000107EF">
              <w:rPr>
                <w:noProof/>
                <w:webHidden/>
              </w:rPr>
              <w:t>35</w:t>
            </w:r>
            <w:r w:rsidR="000107EF">
              <w:rPr>
                <w:noProof/>
                <w:webHidden/>
              </w:rPr>
              <w:fldChar w:fldCharType="end"/>
            </w:r>
          </w:hyperlink>
        </w:p>
        <w:p w14:paraId="62ED2695" w14:textId="7DA42BCE" w:rsidR="000107EF" w:rsidRDefault="00A44DE9">
          <w:pPr>
            <w:pStyle w:val="TOC5"/>
            <w:rPr>
              <w:rFonts w:asciiTheme="minorHAnsi" w:eastAsiaTheme="minorEastAsia" w:hAnsiTheme="minorHAnsi" w:cstheme="minorBidi"/>
              <w:noProof/>
              <w:sz w:val="22"/>
              <w:szCs w:val="22"/>
            </w:rPr>
          </w:pPr>
          <w:hyperlink w:anchor="_Toc131503813" w:history="1">
            <w:r w:rsidR="000107EF" w:rsidRPr="00F20EBD">
              <w:rPr>
                <w:rStyle w:val="Hyperlink"/>
                <w:noProof/>
              </w:rPr>
              <w:t>Electronic Monitoring: large shark size estimation – ABL</w:t>
            </w:r>
            <w:r w:rsidR="000107EF">
              <w:rPr>
                <w:noProof/>
                <w:webHidden/>
              </w:rPr>
              <w:tab/>
            </w:r>
            <w:r w:rsidR="000107EF">
              <w:rPr>
                <w:noProof/>
                <w:webHidden/>
              </w:rPr>
              <w:fldChar w:fldCharType="begin"/>
            </w:r>
            <w:r w:rsidR="000107EF">
              <w:rPr>
                <w:noProof/>
                <w:webHidden/>
              </w:rPr>
              <w:instrText xml:space="preserve"> PAGEREF _Toc131503813 \h </w:instrText>
            </w:r>
            <w:r w:rsidR="000107EF">
              <w:rPr>
                <w:noProof/>
                <w:webHidden/>
              </w:rPr>
            </w:r>
            <w:r w:rsidR="000107EF">
              <w:rPr>
                <w:noProof/>
                <w:webHidden/>
              </w:rPr>
              <w:fldChar w:fldCharType="separate"/>
            </w:r>
            <w:r w:rsidR="000107EF">
              <w:rPr>
                <w:noProof/>
                <w:webHidden/>
              </w:rPr>
              <w:t>36</w:t>
            </w:r>
            <w:r w:rsidR="000107EF">
              <w:rPr>
                <w:noProof/>
                <w:webHidden/>
              </w:rPr>
              <w:fldChar w:fldCharType="end"/>
            </w:r>
          </w:hyperlink>
        </w:p>
        <w:p w14:paraId="3EEDFCDE" w14:textId="07C059B8" w:rsidR="000107EF" w:rsidRDefault="00A44DE9">
          <w:pPr>
            <w:pStyle w:val="TOC4"/>
            <w:tabs>
              <w:tab w:val="left" w:pos="1320"/>
              <w:tab w:val="right" w:pos="9350"/>
            </w:tabs>
            <w:rPr>
              <w:rFonts w:asciiTheme="minorHAnsi" w:eastAsiaTheme="minorEastAsia" w:hAnsiTheme="minorHAnsi" w:cstheme="minorBidi"/>
              <w:noProof/>
              <w:sz w:val="22"/>
              <w:szCs w:val="22"/>
            </w:rPr>
          </w:pPr>
          <w:hyperlink w:anchor="_Toc131503814" w:history="1">
            <w:r w:rsidR="000107EF" w:rsidRPr="00F20EBD">
              <w:rPr>
                <w:rStyle w:val="Hyperlink"/>
                <w:noProof/>
              </w:rPr>
              <w:t>2.</w:t>
            </w:r>
            <w:r w:rsidR="000107EF">
              <w:rPr>
                <w:rFonts w:asciiTheme="minorHAnsi" w:eastAsiaTheme="minorEastAsia" w:hAnsiTheme="minorHAnsi" w:cstheme="minorBidi"/>
                <w:noProof/>
                <w:sz w:val="22"/>
                <w:szCs w:val="22"/>
              </w:rPr>
              <w:tab/>
            </w:r>
            <w:r w:rsidR="000107EF" w:rsidRPr="00F20EBD">
              <w:rPr>
                <w:rStyle w:val="Hyperlink"/>
                <w:noProof/>
              </w:rPr>
              <w:t>Stock Assessment</w:t>
            </w:r>
            <w:r w:rsidR="000107EF">
              <w:rPr>
                <w:noProof/>
                <w:webHidden/>
              </w:rPr>
              <w:tab/>
            </w:r>
            <w:r w:rsidR="000107EF">
              <w:rPr>
                <w:noProof/>
                <w:webHidden/>
              </w:rPr>
              <w:fldChar w:fldCharType="begin"/>
            </w:r>
            <w:r w:rsidR="000107EF">
              <w:rPr>
                <w:noProof/>
                <w:webHidden/>
              </w:rPr>
              <w:instrText xml:space="preserve"> PAGEREF _Toc131503814 \h </w:instrText>
            </w:r>
            <w:r w:rsidR="000107EF">
              <w:rPr>
                <w:noProof/>
                <w:webHidden/>
              </w:rPr>
            </w:r>
            <w:r w:rsidR="000107EF">
              <w:rPr>
                <w:noProof/>
                <w:webHidden/>
              </w:rPr>
              <w:fldChar w:fldCharType="separate"/>
            </w:r>
            <w:r w:rsidR="000107EF">
              <w:rPr>
                <w:noProof/>
                <w:webHidden/>
              </w:rPr>
              <w:t>37</w:t>
            </w:r>
            <w:r w:rsidR="000107EF">
              <w:rPr>
                <w:noProof/>
                <w:webHidden/>
              </w:rPr>
              <w:fldChar w:fldCharType="end"/>
            </w:r>
          </w:hyperlink>
        </w:p>
        <w:p w14:paraId="4B0AA937" w14:textId="7A71486E" w:rsidR="000107EF" w:rsidRDefault="00A44DE9">
          <w:pPr>
            <w:pStyle w:val="TOC5"/>
            <w:rPr>
              <w:rFonts w:asciiTheme="minorHAnsi" w:eastAsiaTheme="minorEastAsia" w:hAnsiTheme="minorHAnsi" w:cstheme="minorBidi"/>
              <w:noProof/>
              <w:sz w:val="22"/>
              <w:szCs w:val="22"/>
            </w:rPr>
          </w:pPr>
          <w:hyperlink w:anchor="_Toc131503815" w:history="1">
            <w:r w:rsidR="000107EF" w:rsidRPr="00F20EBD">
              <w:rPr>
                <w:rStyle w:val="Hyperlink"/>
                <w:noProof/>
              </w:rPr>
              <w:t>Sharks – ABL</w:t>
            </w:r>
            <w:r w:rsidR="000107EF">
              <w:rPr>
                <w:noProof/>
                <w:webHidden/>
              </w:rPr>
              <w:tab/>
            </w:r>
            <w:r w:rsidR="000107EF">
              <w:rPr>
                <w:noProof/>
                <w:webHidden/>
              </w:rPr>
              <w:fldChar w:fldCharType="begin"/>
            </w:r>
            <w:r w:rsidR="000107EF">
              <w:rPr>
                <w:noProof/>
                <w:webHidden/>
              </w:rPr>
              <w:instrText xml:space="preserve"> PAGEREF _Toc131503815 \h </w:instrText>
            </w:r>
            <w:r w:rsidR="000107EF">
              <w:rPr>
                <w:noProof/>
                <w:webHidden/>
              </w:rPr>
            </w:r>
            <w:r w:rsidR="000107EF">
              <w:rPr>
                <w:noProof/>
                <w:webHidden/>
              </w:rPr>
              <w:fldChar w:fldCharType="separate"/>
            </w:r>
            <w:r w:rsidR="000107EF">
              <w:rPr>
                <w:noProof/>
                <w:webHidden/>
              </w:rPr>
              <w:t>37</w:t>
            </w:r>
            <w:r w:rsidR="000107EF">
              <w:rPr>
                <w:noProof/>
                <w:webHidden/>
              </w:rPr>
              <w:fldChar w:fldCharType="end"/>
            </w:r>
          </w:hyperlink>
        </w:p>
        <w:p w14:paraId="730A7147" w14:textId="75F33271" w:rsidR="000107EF" w:rsidRDefault="00A44DE9">
          <w:pPr>
            <w:pStyle w:val="TOC3"/>
            <w:tabs>
              <w:tab w:val="left" w:pos="960"/>
              <w:tab w:val="right" w:pos="9350"/>
            </w:tabs>
            <w:rPr>
              <w:rFonts w:asciiTheme="minorHAnsi" w:eastAsiaTheme="minorEastAsia" w:hAnsiTheme="minorHAnsi" w:cstheme="minorBidi"/>
              <w:noProof/>
              <w:sz w:val="22"/>
              <w:szCs w:val="22"/>
            </w:rPr>
          </w:pPr>
          <w:hyperlink w:anchor="_Toc131503816" w:history="1">
            <w:r w:rsidR="000107EF" w:rsidRPr="00F20EBD">
              <w:rPr>
                <w:rStyle w:val="Hyperlink"/>
                <w:noProof/>
              </w:rPr>
              <w:t>D.</w:t>
            </w:r>
            <w:r w:rsidR="000107EF">
              <w:rPr>
                <w:rFonts w:asciiTheme="minorHAnsi" w:eastAsiaTheme="minorEastAsia" w:hAnsiTheme="minorHAnsi" w:cstheme="minorBidi"/>
                <w:noProof/>
                <w:sz w:val="22"/>
                <w:szCs w:val="22"/>
              </w:rPr>
              <w:tab/>
            </w:r>
            <w:r w:rsidR="000107EF" w:rsidRPr="00F20EBD">
              <w:rPr>
                <w:rStyle w:val="Hyperlink"/>
                <w:noProof/>
              </w:rPr>
              <w:t>Skates</w:t>
            </w:r>
            <w:r w:rsidR="000107EF">
              <w:rPr>
                <w:noProof/>
                <w:webHidden/>
              </w:rPr>
              <w:tab/>
            </w:r>
            <w:r w:rsidR="000107EF">
              <w:rPr>
                <w:noProof/>
                <w:webHidden/>
              </w:rPr>
              <w:fldChar w:fldCharType="begin"/>
            </w:r>
            <w:r w:rsidR="000107EF">
              <w:rPr>
                <w:noProof/>
                <w:webHidden/>
              </w:rPr>
              <w:instrText xml:space="preserve"> PAGEREF _Toc131503816 \h </w:instrText>
            </w:r>
            <w:r w:rsidR="000107EF">
              <w:rPr>
                <w:noProof/>
                <w:webHidden/>
              </w:rPr>
            </w:r>
            <w:r w:rsidR="000107EF">
              <w:rPr>
                <w:noProof/>
                <w:webHidden/>
              </w:rPr>
              <w:fldChar w:fldCharType="separate"/>
            </w:r>
            <w:r w:rsidR="000107EF">
              <w:rPr>
                <w:noProof/>
                <w:webHidden/>
              </w:rPr>
              <w:t>38</w:t>
            </w:r>
            <w:r w:rsidR="000107EF">
              <w:rPr>
                <w:noProof/>
                <w:webHidden/>
              </w:rPr>
              <w:fldChar w:fldCharType="end"/>
            </w:r>
          </w:hyperlink>
        </w:p>
        <w:p w14:paraId="72A8A9E0" w14:textId="18893A1B" w:rsidR="000107EF" w:rsidRDefault="00A44DE9">
          <w:pPr>
            <w:pStyle w:val="TOC4"/>
            <w:tabs>
              <w:tab w:val="left" w:pos="1320"/>
              <w:tab w:val="right" w:pos="9350"/>
            </w:tabs>
            <w:rPr>
              <w:rFonts w:asciiTheme="minorHAnsi" w:eastAsiaTheme="minorEastAsia" w:hAnsiTheme="minorHAnsi" w:cstheme="minorBidi"/>
              <w:noProof/>
              <w:sz w:val="22"/>
              <w:szCs w:val="22"/>
            </w:rPr>
          </w:pPr>
          <w:hyperlink w:anchor="_Toc131503817" w:history="1">
            <w:r w:rsidR="000107EF" w:rsidRPr="00F20EBD">
              <w:rPr>
                <w:rStyle w:val="Hyperlink"/>
                <w:noProof/>
              </w:rPr>
              <w:t>1.</w:t>
            </w:r>
            <w:r w:rsidR="000107EF">
              <w:rPr>
                <w:rFonts w:asciiTheme="minorHAnsi" w:eastAsiaTheme="minorEastAsia" w:hAnsiTheme="minorHAnsi" w:cstheme="minorBidi"/>
                <w:noProof/>
                <w:sz w:val="22"/>
                <w:szCs w:val="22"/>
              </w:rPr>
              <w:tab/>
            </w:r>
            <w:r w:rsidR="000107EF" w:rsidRPr="00F20EBD">
              <w:rPr>
                <w:rStyle w:val="Hyperlink"/>
                <w:noProof/>
              </w:rPr>
              <w:t>Research</w:t>
            </w:r>
            <w:r w:rsidR="000107EF">
              <w:rPr>
                <w:noProof/>
                <w:webHidden/>
              </w:rPr>
              <w:tab/>
            </w:r>
            <w:r w:rsidR="000107EF">
              <w:rPr>
                <w:noProof/>
                <w:webHidden/>
              </w:rPr>
              <w:fldChar w:fldCharType="begin"/>
            </w:r>
            <w:r w:rsidR="000107EF">
              <w:rPr>
                <w:noProof/>
                <w:webHidden/>
              </w:rPr>
              <w:instrText xml:space="preserve"> PAGEREF _Toc131503817 \h </w:instrText>
            </w:r>
            <w:r w:rsidR="000107EF">
              <w:rPr>
                <w:noProof/>
                <w:webHidden/>
              </w:rPr>
            </w:r>
            <w:r w:rsidR="000107EF">
              <w:rPr>
                <w:noProof/>
                <w:webHidden/>
              </w:rPr>
              <w:fldChar w:fldCharType="separate"/>
            </w:r>
            <w:r w:rsidR="000107EF">
              <w:rPr>
                <w:noProof/>
                <w:webHidden/>
              </w:rPr>
              <w:t>38</w:t>
            </w:r>
            <w:r w:rsidR="000107EF">
              <w:rPr>
                <w:noProof/>
                <w:webHidden/>
              </w:rPr>
              <w:fldChar w:fldCharType="end"/>
            </w:r>
          </w:hyperlink>
        </w:p>
        <w:p w14:paraId="4B89E498" w14:textId="694F59EE" w:rsidR="000107EF" w:rsidRDefault="00A44DE9">
          <w:pPr>
            <w:pStyle w:val="TOC4"/>
            <w:tabs>
              <w:tab w:val="left" w:pos="1320"/>
              <w:tab w:val="right" w:pos="9350"/>
            </w:tabs>
            <w:rPr>
              <w:rFonts w:asciiTheme="minorHAnsi" w:eastAsiaTheme="minorEastAsia" w:hAnsiTheme="minorHAnsi" w:cstheme="minorBidi"/>
              <w:noProof/>
              <w:sz w:val="22"/>
              <w:szCs w:val="22"/>
            </w:rPr>
          </w:pPr>
          <w:hyperlink w:anchor="_Toc131503818" w:history="1">
            <w:r w:rsidR="000107EF" w:rsidRPr="00F20EBD">
              <w:rPr>
                <w:rStyle w:val="Hyperlink"/>
                <w:noProof/>
              </w:rPr>
              <w:t>2.</w:t>
            </w:r>
            <w:r w:rsidR="000107EF">
              <w:rPr>
                <w:rFonts w:asciiTheme="minorHAnsi" w:eastAsiaTheme="minorEastAsia" w:hAnsiTheme="minorHAnsi" w:cstheme="minorBidi"/>
                <w:noProof/>
                <w:sz w:val="22"/>
                <w:szCs w:val="22"/>
              </w:rPr>
              <w:tab/>
            </w:r>
            <w:r w:rsidR="000107EF" w:rsidRPr="00F20EBD">
              <w:rPr>
                <w:rStyle w:val="Hyperlink"/>
                <w:noProof/>
              </w:rPr>
              <w:t>Assessment</w:t>
            </w:r>
            <w:r w:rsidR="000107EF">
              <w:rPr>
                <w:noProof/>
                <w:webHidden/>
              </w:rPr>
              <w:tab/>
            </w:r>
            <w:r w:rsidR="000107EF">
              <w:rPr>
                <w:noProof/>
                <w:webHidden/>
              </w:rPr>
              <w:fldChar w:fldCharType="begin"/>
            </w:r>
            <w:r w:rsidR="000107EF">
              <w:rPr>
                <w:noProof/>
                <w:webHidden/>
              </w:rPr>
              <w:instrText xml:space="preserve"> PAGEREF _Toc131503818 \h </w:instrText>
            </w:r>
            <w:r w:rsidR="000107EF">
              <w:rPr>
                <w:noProof/>
                <w:webHidden/>
              </w:rPr>
            </w:r>
            <w:r w:rsidR="000107EF">
              <w:rPr>
                <w:noProof/>
                <w:webHidden/>
              </w:rPr>
              <w:fldChar w:fldCharType="separate"/>
            </w:r>
            <w:r w:rsidR="000107EF">
              <w:rPr>
                <w:noProof/>
                <w:webHidden/>
              </w:rPr>
              <w:t>38</w:t>
            </w:r>
            <w:r w:rsidR="000107EF">
              <w:rPr>
                <w:noProof/>
                <w:webHidden/>
              </w:rPr>
              <w:fldChar w:fldCharType="end"/>
            </w:r>
          </w:hyperlink>
        </w:p>
        <w:p w14:paraId="04137C8E" w14:textId="52AC55D0" w:rsidR="000107EF" w:rsidRDefault="00A44DE9">
          <w:pPr>
            <w:pStyle w:val="TOC5"/>
            <w:rPr>
              <w:rFonts w:asciiTheme="minorHAnsi" w:eastAsiaTheme="minorEastAsia" w:hAnsiTheme="minorHAnsi" w:cstheme="minorBidi"/>
              <w:noProof/>
              <w:sz w:val="22"/>
              <w:szCs w:val="22"/>
            </w:rPr>
          </w:pPr>
          <w:hyperlink w:anchor="_Toc131503819" w:history="1">
            <w:r w:rsidR="000107EF" w:rsidRPr="00F20EBD">
              <w:rPr>
                <w:rStyle w:val="Hyperlink"/>
                <w:noProof/>
              </w:rPr>
              <w:t>Bering Sea and Aleutian Islands – REFM</w:t>
            </w:r>
            <w:r w:rsidR="000107EF">
              <w:rPr>
                <w:noProof/>
                <w:webHidden/>
              </w:rPr>
              <w:tab/>
            </w:r>
            <w:r w:rsidR="000107EF">
              <w:rPr>
                <w:noProof/>
                <w:webHidden/>
              </w:rPr>
              <w:fldChar w:fldCharType="begin"/>
            </w:r>
            <w:r w:rsidR="000107EF">
              <w:rPr>
                <w:noProof/>
                <w:webHidden/>
              </w:rPr>
              <w:instrText xml:space="preserve"> PAGEREF _Toc131503819 \h </w:instrText>
            </w:r>
            <w:r w:rsidR="000107EF">
              <w:rPr>
                <w:noProof/>
                <w:webHidden/>
              </w:rPr>
            </w:r>
            <w:r w:rsidR="000107EF">
              <w:rPr>
                <w:noProof/>
                <w:webHidden/>
              </w:rPr>
              <w:fldChar w:fldCharType="separate"/>
            </w:r>
            <w:r w:rsidR="000107EF">
              <w:rPr>
                <w:noProof/>
                <w:webHidden/>
              </w:rPr>
              <w:t>38</w:t>
            </w:r>
            <w:r w:rsidR="000107EF">
              <w:rPr>
                <w:noProof/>
                <w:webHidden/>
              </w:rPr>
              <w:fldChar w:fldCharType="end"/>
            </w:r>
          </w:hyperlink>
        </w:p>
        <w:p w14:paraId="7A9E052F" w14:textId="62A63307" w:rsidR="000107EF" w:rsidRDefault="00A44DE9">
          <w:pPr>
            <w:pStyle w:val="TOC5"/>
            <w:rPr>
              <w:rFonts w:asciiTheme="minorHAnsi" w:eastAsiaTheme="minorEastAsia" w:hAnsiTheme="minorHAnsi" w:cstheme="minorBidi"/>
              <w:noProof/>
              <w:sz w:val="22"/>
              <w:szCs w:val="22"/>
            </w:rPr>
          </w:pPr>
          <w:hyperlink w:anchor="_Toc131503820" w:history="1">
            <w:r w:rsidR="000107EF" w:rsidRPr="00F20EBD">
              <w:rPr>
                <w:rStyle w:val="Hyperlink"/>
                <w:noProof/>
              </w:rPr>
              <w:t>Gulf of Alaska – REFM</w:t>
            </w:r>
            <w:r w:rsidR="000107EF">
              <w:rPr>
                <w:noProof/>
                <w:webHidden/>
              </w:rPr>
              <w:tab/>
            </w:r>
            <w:r w:rsidR="000107EF">
              <w:rPr>
                <w:noProof/>
                <w:webHidden/>
              </w:rPr>
              <w:fldChar w:fldCharType="begin"/>
            </w:r>
            <w:r w:rsidR="000107EF">
              <w:rPr>
                <w:noProof/>
                <w:webHidden/>
              </w:rPr>
              <w:instrText xml:space="preserve"> PAGEREF _Toc131503820 \h </w:instrText>
            </w:r>
            <w:r w:rsidR="000107EF">
              <w:rPr>
                <w:noProof/>
                <w:webHidden/>
              </w:rPr>
            </w:r>
            <w:r w:rsidR="000107EF">
              <w:rPr>
                <w:noProof/>
                <w:webHidden/>
              </w:rPr>
              <w:fldChar w:fldCharType="separate"/>
            </w:r>
            <w:r w:rsidR="000107EF">
              <w:rPr>
                <w:noProof/>
                <w:webHidden/>
              </w:rPr>
              <w:t>39</w:t>
            </w:r>
            <w:r w:rsidR="000107EF">
              <w:rPr>
                <w:noProof/>
                <w:webHidden/>
              </w:rPr>
              <w:fldChar w:fldCharType="end"/>
            </w:r>
          </w:hyperlink>
        </w:p>
        <w:p w14:paraId="1B39E5B8" w14:textId="2F25E153" w:rsidR="000107EF" w:rsidRDefault="00A44DE9">
          <w:pPr>
            <w:pStyle w:val="TOC3"/>
            <w:tabs>
              <w:tab w:val="left" w:pos="960"/>
              <w:tab w:val="right" w:pos="9350"/>
            </w:tabs>
            <w:rPr>
              <w:rFonts w:asciiTheme="minorHAnsi" w:eastAsiaTheme="minorEastAsia" w:hAnsiTheme="minorHAnsi" w:cstheme="minorBidi"/>
              <w:noProof/>
              <w:sz w:val="22"/>
              <w:szCs w:val="22"/>
            </w:rPr>
          </w:pPr>
          <w:hyperlink w:anchor="_Toc131503821" w:history="1">
            <w:r w:rsidR="000107EF" w:rsidRPr="00F20EBD">
              <w:rPr>
                <w:rStyle w:val="Hyperlink"/>
                <w:noProof/>
              </w:rPr>
              <w:t>E.</w:t>
            </w:r>
            <w:r w:rsidR="000107EF">
              <w:rPr>
                <w:rFonts w:asciiTheme="minorHAnsi" w:eastAsiaTheme="minorEastAsia" w:hAnsiTheme="minorHAnsi" w:cstheme="minorBidi"/>
                <w:noProof/>
                <w:sz w:val="22"/>
                <w:szCs w:val="22"/>
              </w:rPr>
              <w:tab/>
            </w:r>
            <w:r w:rsidR="000107EF" w:rsidRPr="00F20EBD">
              <w:rPr>
                <w:rStyle w:val="Hyperlink"/>
                <w:noProof/>
              </w:rPr>
              <w:t>Pacific Cod</w:t>
            </w:r>
            <w:r w:rsidR="000107EF">
              <w:rPr>
                <w:noProof/>
                <w:webHidden/>
              </w:rPr>
              <w:tab/>
            </w:r>
            <w:r w:rsidR="000107EF">
              <w:rPr>
                <w:noProof/>
                <w:webHidden/>
              </w:rPr>
              <w:fldChar w:fldCharType="begin"/>
            </w:r>
            <w:r w:rsidR="000107EF">
              <w:rPr>
                <w:noProof/>
                <w:webHidden/>
              </w:rPr>
              <w:instrText xml:space="preserve"> PAGEREF _Toc131503821 \h </w:instrText>
            </w:r>
            <w:r w:rsidR="000107EF">
              <w:rPr>
                <w:noProof/>
                <w:webHidden/>
              </w:rPr>
            </w:r>
            <w:r w:rsidR="000107EF">
              <w:rPr>
                <w:noProof/>
                <w:webHidden/>
              </w:rPr>
              <w:fldChar w:fldCharType="separate"/>
            </w:r>
            <w:r w:rsidR="000107EF">
              <w:rPr>
                <w:noProof/>
                <w:webHidden/>
              </w:rPr>
              <w:t>40</w:t>
            </w:r>
            <w:r w:rsidR="000107EF">
              <w:rPr>
                <w:noProof/>
                <w:webHidden/>
              </w:rPr>
              <w:fldChar w:fldCharType="end"/>
            </w:r>
          </w:hyperlink>
        </w:p>
        <w:p w14:paraId="172E913F" w14:textId="1DEF0BF5" w:rsidR="000107EF" w:rsidRDefault="00A44DE9">
          <w:pPr>
            <w:pStyle w:val="TOC4"/>
            <w:tabs>
              <w:tab w:val="left" w:pos="1320"/>
              <w:tab w:val="right" w:pos="9350"/>
            </w:tabs>
            <w:rPr>
              <w:rFonts w:asciiTheme="minorHAnsi" w:eastAsiaTheme="minorEastAsia" w:hAnsiTheme="minorHAnsi" w:cstheme="minorBidi"/>
              <w:noProof/>
              <w:sz w:val="22"/>
              <w:szCs w:val="22"/>
            </w:rPr>
          </w:pPr>
          <w:hyperlink w:anchor="_Toc131503822" w:history="1">
            <w:r w:rsidR="000107EF" w:rsidRPr="00F20EBD">
              <w:rPr>
                <w:rStyle w:val="Hyperlink"/>
                <w:noProof/>
              </w:rPr>
              <w:t>1.</w:t>
            </w:r>
            <w:r w:rsidR="000107EF">
              <w:rPr>
                <w:rFonts w:asciiTheme="minorHAnsi" w:eastAsiaTheme="minorEastAsia" w:hAnsiTheme="minorHAnsi" w:cstheme="minorBidi"/>
                <w:noProof/>
                <w:sz w:val="22"/>
                <w:szCs w:val="22"/>
              </w:rPr>
              <w:tab/>
            </w:r>
            <w:r w:rsidR="000107EF" w:rsidRPr="00F20EBD">
              <w:rPr>
                <w:rStyle w:val="Hyperlink"/>
                <w:noProof/>
              </w:rPr>
              <w:t>Research</w:t>
            </w:r>
            <w:r w:rsidR="000107EF">
              <w:rPr>
                <w:noProof/>
                <w:webHidden/>
              </w:rPr>
              <w:tab/>
            </w:r>
            <w:r w:rsidR="000107EF">
              <w:rPr>
                <w:noProof/>
                <w:webHidden/>
              </w:rPr>
              <w:fldChar w:fldCharType="begin"/>
            </w:r>
            <w:r w:rsidR="000107EF">
              <w:rPr>
                <w:noProof/>
                <w:webHidden/>
              </w:rPr>
              <w:instrText xml:space="preserve"> PAGEREF _Toc131503822 \h </w:instrText>
            </w:r>
            <w:r w:rsidR="000107EF">
              <w:rPr>
                <w:noProof/>
                <w:webHidden/>
              </w:rPr>
            </w:r>
            <w:r w:rsidR="000107EF">
              <w:rPr>
                <w:noProof/>
                <w:webHidden/>
              </w:rPr>
              <w:fldChar w:fldCharType="separate"/>
            </w:r>
            <w:r w:rsidR="000107EF">
              <w:rPr>
                <w:noProof/>
                <w:webHidden/>
              </w:rPr>
              <w:t>40</w:t>
            </w:r>
            <w:r w:rsidR="000107EF">
              <w:rPr>
                <w:noProof/>
                <w:webHidden/>
              </w:rPr>
              <w:fldChar w:fldCharType="end"/>
            </w:r>
          </w:hyperlink>
        </w:p>
        <w:p w14:paraId="7086E9B6" w14:textId="3C3C6F78" w:rsidR="000107EF" w:rsidRDefault="00A44DE9">
          <w:pPr>
            <w:pStyle w:val="TOC5"/>
            <w:rPr>
              <w:rFonts w:asciiTheme="minorHAnsi" w:eastAsiaTheme="minorEastAsia" w:hAnsiTheme="minorHAnsi" w:cstheme="minorBidi"/>
              <w:noProof/>
              <w:sz w:val="22"/>
              <w:szCs w:val="22"/>
            </w:rPr>
          </w:pPr>
          <w:hyperlink w:anchor="_Toc131503823" w:history="1">
            <w:r w:rsidR="000107EF" w:rsidRPr="00F20EBD">
              <w:rPr>
                <w:rStyle w:val="Hyperlink"/>
                <w:noProof/>
              </w:rPr>
              <w:t>Multiple AFSC research activities regarding Pacific cod – REFM/RACE/ABL</w:t>
            </w:r>
            <w:r w:rsidR="000107EF">
              <w:rPr>
                <w:noProof/>
                <w:webHidden/>
              </w:rPr>
              <w:tab/>
            </w:r>
            <w:r w:rsidR="000107EF">
              <w:rPr>
                <w:noProof/>
                <w:webHidden/>
              </w:rPr>
              <w:fldChar w:fldCharType="begin"/>
            </w:r>
            <w:r w:rsidR="000107EF">
              <w:rPr>
                <w:noProof/>
                <w:webHidden/>
              </w:rPr>
              <w:instrText xml:space="preserve"> PAGEREF _Toc131503823 \h </w:instrText>
            </w:r>
            <w:r w:rsidR="000107EF">
              <w:rPr>
                <w:noProof/>
                <w:webHidden/>
              </w:rPr>
            </w:r>
            <w:r w:rsidR="000107EF">
              <w:rPr>
                <w:noProof/>
                <w:webHidden/>
              </w:rPr>
              <w:fldChar w:fldCharType="separate"/>
            </w:r>
            <w:r w:rsidR="000107EF">
              <w:rPr>
                <w:noProof/>
                <w:webHidden/>
              </w:rPr>
              <w:t>40</w:t>
            </w:r>
            <w:r w:rsidR="000107EF">
              <w:rPr>
                <w:noProof/>
                <w:webHidden/>
              </w:rPr>
              <w:fldChar w:fldCharType="end"/>
            </w:r>
          </w:hyperlink>
        </w:p>
        <w:p w14:paraId="02C0E46E" w14:textId="026EFF28" w:rsidR="000107EF" w:rsidRDefault="00A44DE9">
          <w:pPr>
            <w:pStyle w:val="TOC5"/>
            <w:rPr>
              <w:rFonts w:asciiTheme="minorHAnsi" w:eastAsiaTheme="minorEastAsia" w:hAnsiTheme="minorHAnsi" w:cstheme="minorBidi"/>
              <w:noProof/>
              <w:sz w:val="22"/>
              <w:szCs w:val="22"/>
            </w:rPr>
          </w:pPr>
          <w:hyperlink w:anchor="_Toc131503824" w:history="1">
            <w:r w:rsidR="000107EF" w:rsidRPr="00F20EBD">
              <w:rPr>
                <w:rStyle w:val="Hyperlink"/>
                <w:noProof/>
              </w:rPr>
              <w:t>Eastern Bering Sea – REFM</w:t>
            </w:r>
            <w:r w:rsidR="000107EF">
              <w:rPr>
                <w:noProof/>
                <w:webHidden/>
              </w:rPr>
              <w:tab/>
            </w:r>
            <w:r w:rsidR="000107EF">
              <w:rPr>
                <w:noProof/>
                <w:webHidden/>
              </w:rPr>
              <w:fldChar w:fldCharType="begin"/>
            </w:r>
            <w:r w:rsidR="000107EF">
              <w:rPr>
                <w:noProof/>
                <w:webHidden/>
              </w:rPr>
              <w:instrText xml:space="preserve"> PAGEREF _Toc131503824 \h </w:instrText>
            </w:r>
            <w:r w:rsidR="000107EF">
              <w:rPr>
                <w:noProof/>
                <w:webHidden/>
              </w:rPr>
            </w:r>
            <w:r w:rsidR="000107EF">
              <w:rPr>
                <w:noProof/>
                <w:webHidden/>
              </w:rPr>
              <w:fldChar w:fldCharType="separate"/>
            </w:r>
            <w:r w:rsidR="000107EF">
              <w:rPr>
                <w:noProof/>
                <w:webHidden/>
              </w:rPr>
              <w:t>46</w:t>
            </w:r>
            <w:r w:rsidR="000107EF">
              <w:rPr>
                <w:noProof/>
                <w:webHidden/>
              </w:rPr>
              <w:fldChar w:fldCharType="end"/>
            </w:r>
          </w:hyperlink>
        </w:p>
        <w:p w14:paraId="3D08066F" w14:textId="5BA7A428" w:rsidR="000107EF" w:rsidRDefault="00A44DE9">
          <w:pPr>
            <w:pStyle w:val="TOC5"/>
            <w:rPr>
              <w:rFonts w:asciiTheme="minorHAnsi" w:eastAsiaTheme="minorEastAsia" w:hAnsiTheme="minorHAnsi" w:cstheme="minorBidi"/>
              <w:noProof/>
              <w:sz w:val="22"/>
              <w:szCs w:val="22"/>
            </w:rPr>
          </w:pPr>
          <w:hyperlink w:anchor="_Toc131503825" w:history="1">
            <w:r w:rsidR="000107EF" w:rsidRPr="00F20EBD">
              <w:rPr>
                <w:rStyle w:val="Hyperlink"/>
                <w:noProof/>
              </w:rPr>
              <w:t>Aleutian Islands – REFM</w:t>
            </w:r>
            <w:r w:rsidR="000107EF">
              <w:rPr>
                <w:noProof/>
                <w:webHidden/>
              </w:rPr>
              <w:tab/>
            </w:r>
            <w:r w:rsidR="000107EF">
              <w:rPr>
                <w:noProof/>
                <w:webHidden/>
              </w:rPr>
              <w:fldChar w:fldCharType="begin"/>
            </w:r>
            <w:r w:rsidR="000107EF">
              <w:rPr>
                <w:noProof/>
                <w:webHidden/>
              </w:rPr>
              <w:instrText xml:space="preserve"> PAGEREF _Toc131503825 \h </w:instrText>
            </w:r>
            <w:r w:rsidR="000107EF">
              <w:rPr>
                <w:noProof/>
                <w:webHidden/>
              </w:rPr>
            </w:r>
            <w:r w:rsidR="000107EF">
              <w:rPr>
                <w:noProof/>
                <w:webHidden/>
              </w:rPr>
              <w:fldChar w:fldCharType="separate"/>
            </w:r>
            <w:r w:rsidR="000107EF">
              <w:rPr>
                <w:noProof/>
                <w:webHidden/>
              </w:rPr>
              <w:t>47</w:t>
            </w:r>
            <w:r w:rsidR="000107EF">
              <w:rPr>
                <w:noProof/>
                <w:webHidden/>
              </w:rPr>
              <w:fldChar w:fldCharType="end"/>
            </w:r>
          </w:hyperlink>
        </w:p>
        <w:p w14:paraId="77EBAC30" w14:textId="134374A8" w:rsidR="000107EF" w:rsidRDefault="00A44DE9">
          <w:pPr>
            <w:pStyle w:val="TOC5"/>
            <w:rPr>
              <w:rFonts w:asciiTheme="minorHAnsi" w:eastAsiaTheme="minorEastAsia" w:hAnsiTheme="minorHAnsi" w:cstheme="minorBidi"/>
              <w:noProof/>
              <w:sz w:val="22"/>
              <w:szCs w:val="22"/>
            </w:rPr>
          </w:pPr>
          <w:hyperlink w:anchor="_Toc131503826" w:history="1">
            <w:r w:rsidR="000107EF" w:rsidRPr="00F20EBD">
              <w:rPr>
                <w:rStyle w:val="Hyperlink"/>
                <w:noProof/>
              </w:rPr>
              <w:t>Gulf of Alaska – ABL</w:t>
            </w:r>
            <w:r w:rsidR="000107EF">
              <w:rPr>
                <w:noProof/>
                <w:webHidden/>
              </w:rPr>
              <w:tab/>
            </w:r>
            <w:r w:rsidR="000107EF">
              <w:rPr>
                <w:noProof/>
                <w:webHidden/>
              </w:rPr>
              <w:fldChar w:fldCharType="begin"/>
            </w:r>
            <w:r w:rsidR="000107EF">
              <w:rPr>
                <w:noProof/>
                <w:webHidden/>
              </w:rPr>
              <w:instrText xml:space="preserve"> PAGEREF _Toc131503826 \h </w:instrText>
            </w:r>
            <w:r w:rsidR="000107EF">
              <w:rPr>
                <w:noProof/>
                <w:webHidden/>
              </w:rPr>
            </w:r>
            <w:r w:rsidR="000107EF">
              <w:rPr>
                <w:noProof/>
                <w:webHidden/>
              </w:rPr>
              <w:fldChar w:fldCharType="separate"/>
            </w:r>
            <w:r w:rsidR="000107EF">
              <w:rPr>
                <w:noProof/>
                <w:webHidden/>
              </w:rPr>
              <w:t>47</w:t>
            </w:r>
            <w:r w:rsidR="000107EF">
              <w:rPr>
                <w:noProof/>
                <w:webHidden/>
              </w:rPr>
              <w:fldChar w:fldCharType="end"/>
            </w:r>
          </w:hyperlink>
        </w:p>
        <w:p w14:paraId="27399271" w14:textId="43268768" w:rsidR="000107EF" w:rsidRDefault="00A44DE9">
          <w:pPr>
            <w:pStyle w:val="TOC3"/>
            <w:tabs>
              <w:tab w:val="left" w:pos="960"/>
              <w:tab w:val="right" w:pos="9350"/>
            </w:tabs>
            <w:rPr>
              <w:rFonts w:asciiTheme="minorHAnsi" w:eastAsiaTheme="minorEastAsia" w:hAnsiTheme="minorHAnsi" w:cstheme="minorBidi"/>
              <w:noProof/>
              <w:sz w:val="22"/>
              <w:szCs w:val="22"/>
            </w:rPr>
          </w:pPr>
          <w:hyperlink w:anchor="_Toc131503827" w:history="1">
            <w:r w:rsidR="000107EF" w:rsidRPr="00F20EBD">
              <w:rPr>
                <w:rStyle w:val="Hyperlink"/>
                <w:noProof/>
              </w:rPr>
              <w:t>F.</w:t>
            </w:r>
            <w:r w:rsidR="000107EF">
              <w:rPr>
                <w:rFonts w:asciiTheme="minorHAnsi" w:eastAsiaTheme="minorEastAsia" w:hAnsiTheme="minorHAnsi" w:cstheme="minorBidi"/>
                <w:noProof/>
                <w:sz w:val="22"/>
                <w:szCs w:val="22"/>
              </w:rPr>
              <w:tab/>
            </w:r>
            <w:r w:rsidR="000107EF" w:rsidRPr="00F20EBD">
              <w:rPr>
                <w:rStyle w:val="Hyperlink"/>
                <w:noProof/>
              </w:rPr>
              <w:t>Walleye Pollock</w:t>
            </w:r>
            <w:r w:rsidR="000107EF">
              <w:rPr>
                <w:noProof/>
                <w:webHidden/>
              </w:rPr>
              <w:tab/>
            </w:r>
            <w:r w:rsidR="000107EF">
              <w:rPr>
                <w:noProof/>
                <w:webHidden/>
              </w:rPr>
              <w:fldChar w:fldCharType="begin"/>
            </w:r>
            <w:r w:rsidR="000107EF">
              <w:rPr>
                <w:noProof/>
                <w:webHidden/>
              </w:rPr>
              <w:instrText xml:space="preserve"> PAGEREF _Toc131503827 \h </w:instrText>
            </w:r>
            <w:r w:rsidR="000107EF">
              <w:rPr>
                <w:noProof/>
                <w:webHidden/>
              </w:rPr>
            </w:r>
            <w:r w:rsidR="000107EF">
              <w:rPr>
                <w:noProof/>
                <w:webHidden/>
              </w:rPr>
              <w:fldChar w:fldCharType="separate"/>
            </w:r>
            <w:r w:rsidR="000107EF">
              <w:rPr>
                <w:noProof/>
                <w:webHidden/>
              </w:rPr>
              <w:t>47</w:t>
            </w:r>
            <w:r w:rsidR="000107EF">
              <w:rPr>
                <w:noProof/>
                <w:webHidden/>
              </w:rPr>
              <w:fldChar w:fldCharType="end"/>
            </w:r>
          </w:hyperlink>
        </w:p>
        <w:p w14:paraId="66B3CD31" w14:textId="415A0A83" w:rsidR="000107EF" w:rsidRDefault="00A44DE9">
          <w:pPr>
            <w:pStyle w:val="TOC4"/>
            <w:tabs>
              <w:tab w:val="left" w:pos="1320"/>
              <w:tab w:val="right" w:pos="9350"/>
            </w:tabs>
            <w:rPr>
              <w:rFonts w:asciiTheme="minorHAnsi" w:eastAsiaTheme="minorEastAsia" w:hAnsiTheme="minorHAnsi" w:cstheme="minorBidi"/>
              <w:noProof/>
              <w:sz w:val="22"/>
              <w:szCs w:val="22"/>
            </w:rPr>
          </w:pPr>
          <w:hyperlink w:anchor="_Toc131503828" w:history="1">
            <w:r w:rsidR="000107EF" w:rsidRPr="00F20EBD">
              <w:rPr>
                <w:rStyle w:val="Hyperlink"/>
                <w:noProof/>
              </w:rPr>
              <w:t>1.</w:t>
            </w:r>
            <w:r w:rsidR="000107EF">
              <w:rPr>
                <w:rFonts w:asciiTheme="minorHAnsi" w:eastAsiaTheme="minorEastAsia" w:hAnsiTheme="minorHAnsi" w:cstheme="minorBidi"/>
                <w:noProof/>
                <w:sz w:val="22"/>
                <w:szCs w:val="22"/>
              </w:rPr>
              <w:tab/>
            </w:r>
            <w:r w:rsidR="000107EF" w:rsidRPr="00F20EBD">
              <w:rPr>
                <w:rStyle w:val="Hyperlink"/>
                <w:noProof/>
              </w:rPr>
              <w:t>Research</w:t>
            </w:r>
            <w:r w:rsidR="000107EF">
              <w:rPr>
                <w:noProof/>
                <w:webHidden/>
              </w:rPr>
              <w:tab/>
            </w:r>
            <w:r w:rsidR="000107EF">
              <w:rPr>
                <w:noProof/>
                <w:webHidden/>
              </w:rPr>
              <w:fldChar w:fldCharType="begin"/>
            </w:r>
            <w:r w:rsidR="000107EF">
              <w:rPr>
                <w:noProof/>
                <w:webHidden/>
              </w:rPr>
              <w:instrText xml:space="preserve"> PAGEREF _Toc131503828 \h </w:instrText>
            </w:r>
            <w:r w:rsidR="000107EF">
              <w:rPr>
                <w:noProof/>
                <w:webHidden/>
              </w:rPr>
            </w:r>
            <w:r w:rsidR="000107EF">
              <w:rPr>
                <w:noProof/>
                <w:webHidden/>
              </w:rPr>
              <w:fldChar w:fldCharType="separate"/>
            </w:r>
            <w:r w:rsidR="000107EF">
              <w:rPr>
                <w:noProof/>
                <w:webHidden/>
              </w:rPr>
              <w:t>47</w:t>
            </w:r>
            <w:r w:rsidR="000107EF">
              <w:rPr>
                <w:noProof/>
                <w:webHidden/>
              </w:rPr>
              <w:fldChar w:fldCharType="end"/>
            </w:r>
          </w:hyperlink>
        </w:p>
        <w:p w14:paraId="1AD3D055" w14:textId="69BDE16D" w:rsidR="000107EF" w:rsidRDefault="00A44DE9">
          <w:pPr>
            <w:pStyle w:val="TOC5"/>
            <w:rPr>
              <w:rFonts w:asciiTheme="minorHAnsi" w:eastAsiaTheme="minorEastAsia" w:hAnsiTheme="minorHAnsi" w:cstheme="minorBidi"/>
              <w:noProof/>
              <w:sz w:val="22"/>
              <w:szCs w:val="22"/>
            </w:rPr>
          </w:pPr>
          <w:hyperlink w:anchor="_Toc131503829" w:history="1">
            <w:r w:rsidR="000107EF" w:rsidRPr="00F20EBD">
              <w:rPr>
                <w:rStyle w:val="Hyperlink"/>
                <w:noProof/>
              </w:rPr>
              <w:t>Pre- and Post-Winter Temperature Change Index and the Recruitment of Bering Sea Pollock – ABL</w:t>
            </w:r>
            <w:r w:rsidR="000107EF">
              <w:rPr>
                <w:noProof/>
                <w:webHidden/>
              </w:rPr>
              <w:tab/>
            </w:r>
            <w:r w:rsidR="000107EF">
              <w:rPr>
                <w:noProof/>
                <w:webHidden/>
              </w:rPr>
              <w:fldChar w:fldCharType="begin"/>
            </w:r>
            <w:r w:rsidR="000107EF">
              <w:rPr>
                <w:noProof/>
                <w:webHidden/>
              </w:rPr>
              <w:instrText xml:space="preserve"> PAGEREF _Toc131503829 \h </w:instrText>
            </w:r>
            <w:r w:rsidR="000107EF">
              <w:rPr>
                <w:noProof/>
                <w:webHidden/>
              </w:rPr>
            </w:r>
            <w:r w:rsidR="000107EF">
              <w:rPr>
                <w:noProof/>
                <w:webHidden/>
              </w:rPr>
              <w:fldChar w:fldCharType="separate"/>
            </w:r>
            <w:r w:rsidR="000107EF">
              <w:rPr>
                <w:noProof/>
                <w:webHidden/>
              </w:rPr>
              <w:t>47</w:t>
            </w:r>
            <w:r w:rsidR="000107EF">
              <w:rPr>
                <w:noProof/>
                <w:webHidden/>
              </w:rPr>
              <w:fldChar w:fldCharType="end"/>
            </w:r>
          </w:hyperlink>
        </w:p>
        <w:p w14:paraId="4AEC0633" w14:textId="0BCDEE39" w:rsidR="000107EF" w:rsidRDefault="00A44DE9">
          <w:pPr>
            <w:pStyle w:val="TOC5"/>
            <w:rPr>
              <w:rFonts w:asciiTheme="minorHAnsi" w:eastAsiaTheme="minorEastAsia" w:hAnsiTheme="minorHAnsi" w:cstheme="minorBidi"/>
              <w:noProof/>
              <w:sz w:val="22"/>
              <w:szCs w:val="22"/>
            </w:rPr>
          </w:pPr>
          <w:hyperlink w:anchor="_Toc131503830" w:history="1">
            <w:r w:rsidR="000107EF" w:rsidRPr="00F20EBD">
              <w:rPr>
                <w:rStyle w:val="Hyperlink"/>
                <w:noProof/>
              </w:rPr>
              <w:t>Large copepod abundance sample-based and modeled) as an indicator of pollock recruitment to age-3 in the southeastern Bering Sea – ABL</w:t>
            </w:r>
            <w:r w:rsidR="000107EF">
              <w:rPr>
                <w:noProof/>
                <w:webHidden/>
              </w:rPr>
              <w:tab/>
            </w:r>
            <w:r w:rsidR="000107EF">
              <w:rPr>
                <w:noProof/>
                <w:webHidden/>
              </w:rPr>
              <w:fldChar w:fldCharType="begin"/>
            </w:r>
            <w:r w:rsidR="000107EF">
              <w:rPr>
                <w:noProof/>
                <w:webHidden/>
              </w:rPr>
              <w:instrText xml:space="preserve"> PAGEREF _Toc131503830 \h </w:instrText>
            </w:r>
            <w:r w:rsidR="000107EF">
              <w:rPr>
                <w:noProof/>
                <w:webHidden/>
              </w:rPr>
            </w:r>
            <w:r w:rsidR="000107EF">
              <w:rPr>
                <w:noProof/>
                <w:webHidden/>
              </w:rPr>
              <w:fldChar w:fldCharType="separate"/>
            </w:r>
            <w:r w:rsidR="000107EF">
              <w:rPr>
                <w:noProof/>
                <w:webHidden/>
              </w:rPr>
              <w:t>49</w:t>
            </w:r>
            <w:r w:rsidR="000107EF">
              <w:rPr>
                <w:noProof/>
                <w:webHidden/>
              </w:rPr>
              <w:fldChar w:fldCharType="end"/>
            </w:r>
          </w:hyperlink>
        </w:p>
        <w:p w14:paraId="5BB6AAA4" w14:textId="69853D9D" w:rsidR="000107EF" w:rsidRDefault="00A44DE9">
          <w:pPr>
            <w:pStyle w:val="TOC5"/>
            <w:rPr>
              <w:rFonts w:asciiTheme="minorHAnsi" w:eastAsiaTheme="minorEastAsia" w:hAnsiTheme="minorHAnsi" w:cstheme="minorBidi"/>
              <w:noProof/>
              <w:sz w:val="22"/>
              <w:szCs w:val="22"/>
            </w:rPr>
          </w:pPr>
          <w:hyperlink w:anchor="_Toc131503831" w:history="1">
            <w:r w:rsidR="000107EF" w:rsidRPr="00F20EBD">
              <w:rPr>
                <w:rStyle w:val="Hyperlink"/>
                <w:noProof/>
              </w:rPr>
              <w:t>Ontogenic Shifts in the Diet of Walleye Pollock – ABL</w:t>
            </w:r>
            <w:r w:rsidR="000107EF">
              <w:rPr>
                <w:noProof/>
                <w:webHidden/>
              </w:rPr>
              <w:tab/>
            </w:r>
            <w:r w:rsidR="000107EF">
              <w:rPr>
                <w:noProof/>
                <w:webHidden/>
              </w:rPr>
              <w:fldChar w:fldCharType="begin"/>
            </w:r>
            <w:r w:rsidR="000107EF">
              <w:rPr>
                <w:noProof/>
                <w:webHidden/>
              </w:rPr>
              <w:instrText xml:space="preserve"> PAGEREF _Toc131503831 \h </w:instrText>
            </w:r>
            <w:r w:rsidR="000107EF">
              <w:rPr>
                <w:noProof/>
                <w:webHidden/>
              </w:rPr>
            </w:r>
            <w:r w:rsidR="000107EF">
              <w:rPr>
                <w:noProof/>
                <w:webHidden/>
              </w:rPr>
              <w:fldChar w:fldCharType="separate"/>
            </w:r>
            <w:r w:rsidR="000107EF">
              <w:rPr>
                <w:noProof/>
                <w:webHidden/>
              </w:rPr>
              <w:t>52</w:t>
            </w:r>
            <w:r w:rsidR="000107EF">
              <w:rPr>
                <w:noProof/>
                <w:webHidden/>
              </w:rPr>
              <w:fldChar w:fldCharType="end"/>
            </w:r>
          </w:hyperlink>
        </w:p>
        <w:p w14:paraId="09BD46CC" w14:textId="287E7CF3" w:rsidR="000107EF" w:rsidRDefault="00A44DE9">
          <w:pPr>
            <w:pStyle w:val="TOC5"/>
            <w:rPr>
              <w:rFonts w:asciiTheme="minorHAnsi" w:eastAsiaTheme="minorEastAsia" w:hAnsiTheme="minorHAnsi" w:cstheme="minorBidi"/>
              <w:noProof/>
              <w:sz w:val="22"/>
              <w:szCs w:val="22"/>
            </w:rPr>
          </w:pPr>
          <w:hyperlink w:anchor="_Toc131503832" w:history="1">
            <w:r w:rsidR="000107EF" w:rsidRPr="00F20EBD">
              <w:rPr>
                <w:rStyle w:val="Hyperlink"/>
                <w:noProof/>
              </w:rPr>
              <w:t>Condition and Diet of Juvenile Walleye Pollock – ABL</w:t>
            </w:r>
            <w:r w:rsidR="000107EF">
              <w:rPr>
                <w:noProof/>
                <w:webHidden/>
              </w:rPr>
              <w:tab/>
            </w:r>
            <w:r w:rsidR="000107EF">
              <w:rPr>
                <w:noProof/>
                <w:webHidden/>
              </w:rPr>
              <w:fldChar w:fldCharType="begin"/>
            </w:r>
            <w:r w:rsidR="000107EF">
              <w:rPr>
                <w:noProof/>
                <w:webHidden/>
              </w:rPr>
              <w:instrText xml:space="preserve"> PAGEREF _Toc131503832 \h </w:instrText>
            </w:r>
            <w:r w:rsidR="000107EF">
              <w:rPr>
                <w:noProof/>
                <w:webHidden/>
              </w:rPr>
            </w:r>
            <w:r w:rsidR="000107EF">
              <w:rPr>
                <w:noProof/>
                <w:webHidden/>
              </w:rPr>
              <w:fldChar w:fldCharType="separate"/>
            </w:r>
            <w:r w:rsidR="000107EF">
              <w:rPr>
                <w:noProof/>
                <w:webHidden/>
              </w:rPr>
              <w:t>53</w:t>
            </w:r>
            <w:r w:rsidR="000107EF">
              <w:rPr>
                <w:noProof/>
                <w:webHidden/>
              </w:rPr>
              <w:fldChar w:fldCharType="end"/>
            </w:r>
          </w:hyperlink>
        </w:p>
        <w:p w14:paraId="3D51C532" w14:textId="43DEB87E" w:rsidR="000107EF" w:rsidRDefault="00A44DE9">
          <w:pPr>
            <w:pStyle w:val="TOC5"/>
            <w:rPr>
              <w:rFonts w:asciiTheme="minorHAnsi" w:eastAsiaTheme="minorEastAsia" w:hAnsiTheme="minorHAnsi" w:cstheme="minorBidi"/>
              <w:noProof/>
              <w:sz w:val="22"/>
              <w:szCs w:val="22"/>
            </w:rPr>
          </w:pPr>
          <w:hyperlink w:anchor="_Toc131503833" w:history="1">
            <w:r w:rsidR="000107EF" w:rsidRPr="00F20EBD">
              <w:rPr>
                <w:rStyle w:val="Hyperlink"/>
                <w:noProof/>
              </w:rPr>
              <w:t>RACE Recruitment Processes Program – RPP</w:t>
            </w:r>
            <w:r w:rsidR="000107EF">
              <w:rPr>
                <w:noProof/>
                <w:webHidden/>
              </w:rPr>
              <w:tab/>
            </w:r>
            <w:r w:rsidR="000107EF">
              <w:rPr>
                <w:noProof/>
                <w:webHidden/>
              </w:rPr>
              <w:fldChar w:fldCharType="begin"/>
            </w:r>
            <w:r w:rsidR="000107EF">
              <w:rPr>
                <w:noProof/>
                <w:webHidden/>
              </w:rPr>
              <w:instrText xml:space="preserve"> PAGEREF _Toc131503833 \h </w:instrText>
            </w:r>
            <w:r w:rsidR="000107EF">
              <w:rPr>
                <w:noProof/>
                <w:webHidden/>
              </w:rPr>
            </w:r>
            <w:r w:rsidR="000107EF">
              <w:rPr>
                <w:noProof/>
                <w:webHidden/>
              </w:rPr>
              <w:fldChar w:fldCharType="separate"/>
            </w:r>
            <w:r w:rsidR="000107EF">
              <w:rPr>
                <w:noProof/>
                <w:webHidden/>
              </w:rPr>
              <w:t>53</w:t>
            </w:r>
            <w:r w:rsidR="000107EF">
              <w:rPr>
                <w:noProof/>
                <w:webHidden/>
              </w:rPr>
              <w:fldChar w:fldCharType="end"/>
            </w:r>
          </w:hyperlink>
        </w:p>
        <w:p w14:paraId="0506D4C7" w14:textId="5EF8019A" w:rsidR="000107EF" w:rsidRDefault="00A44DE9">
          <w:pPr>
            <w:pStyle w:val="TOC5"/>
            <w:rPr>
              <w:rFonts w:asciiTheme="minorHAnsi" w:eastAsiaTheme="minorEastAsia" w:hAnsiTheme="minorHAnsi" w:cstheme="minorBidi"/>
              <w:noProof/>
              <w:sz w:val="22"/>
              <w:szCs w:val="22"/>
            </w:rPr>
          </w:pPr>
          <w:hyperlink w:anchor="_Toc131503834" w:history="1">
            <w:r w:rsidR="000107EF" w:rsidRPr="00F20EBD">
              <w:rPr>
                <w:rStyle w:val="Hyperlink"/>
                <w:noProof/>
              </w:rPr>
              <w:t>Changes in spawn timing and availability of walleye pollock to assessment surveys in the Gulf of Alaska</w:t>
            </w:r>
            <w:r w:rsidR="000107EF">
              <w:rPr>
                <w:noProof/>
                <w:webHidden/>
              </w:rPr>
              <w:tab/>
            </w:r>
            <w:r w:rsidR="000107EF">
              <w:rPr>
                <w:noProof/>
                <w:webHidden/>
              </w:rPr>
              <w:fldChar w:fldCharType="begin"/>
            </w:r>
            <w:r w:rsidR="000107EF">
              <w:rPr>
                <w:noProof/>
                <w:webHidden/>
              </w:rPr>
              <w:instrText xml:space="preserve"> PAGEREF _Toc131503834 \h </w:instrText>
            </w:r>
            <w:r w:rsidR="000107EF">
              <w:rPr>
                <w:noProof/>
                <w:webHidden/>
              </w:rPr>
            </w:r>
            <w:r w:rsidR="000107EF">
              <w:rPr>
                <w:noProof/>
                <w:webHidden/>
              </w:rPr>
              <w:fldChar w:fldCharType="separate"/>
            </w:r>
            <w:r w:rsidR="000107EF">
              <w:rPr>
                <w:noProof/>
                <w:webHidden/>
              </w:rPr>
              <w:t>53</w:t>
            </w:r>
            <w:r w:rsidR="000107EF">
              <w:rPr>
                <w:noProof/>
                <w:webHidden/>
              </w:rPr>
              <w:fldChar w:fldCharType="end"/>
            </w:r>
          </w:hyperlink>
        </w:p>
        <w:p w14:paraId="721D7FF3" w14:textId="3BBED30C" w:rsidR="000107EF" w:rsidRDefault="00A44DE9">
          <w:pPr>
            <w:pStyle w:val="TOC5"/>
            <w:rPr>
              <w:rFonts w:asciiTheme="minorHAnsi" w:eastAsiaTheme="minorEastAsia" w:hAnsiTheme="minorHAnsi" w:cstheme="minorBidi"/>
              <w:noProof/>
              <w:sz w:val="22"/>
              <w:szCs w:val="22"/>
            </w:rPr>
          </w:pPr>
          <w:hyperlink w:anchor="_Toc131503835" w:history="1">
            <w:r w:rsidR="000107EF" w:rsidRPr="00F20EBD">
              <w:rPr>
                <w:rStyle w:val="Hyperlink"/>
                <w:noProof/>
              </w:rPr>
              <w:t>Management strategies for the eastern Bering Sea pollock fishery with climate change – ESSR</w:t>
            </w:r>
            <w:r w:rsidR="000107EF">
              <w:rPr>
                <w:noProof/>
                <w:webHidden/>
              </w:rPr>
              <w:tab/>
            </w:r>
            <w:r w:rsidR="000107EF">
              <w:rPr>
                <w:noProof/>
                <w:webHidden/>
              </w:rPr>
              <w:fldChar w:fldCharType="begin"/>
            </w:r>
            <w:r w:rsidR="000107EF">
              <w:rPr>
                <w:noProof/>
                <w:webHidden/>
              </w:rPr>
              <w:instrText xml:space="preserve"> PAGEREF _Toc131503835 \h </w:instrText>
            </w:r>
            <w:r w:rsidR="000107EF">
              <w:rPr>
                <w:noProof/>
                <w:webHidden/>
              </w:rPr>
            </w:r>
            <w:r w:rsidR="000107EF">
              <w:rPr>
                <w:noProof/>
                <w:webHidden/>
              </w:rPr>
              <w:fldChar w:fldCharType="separate"/>
            </w:r>
            <w:r w:rsidR="000107EF">
              <w:rPr>
                <w:noProof/>
                <w:webHidden/>
              </w:rPr>
              <w:t>54</w:t>
            </w:r>
            <w:r w:rsidR="000107EF">
              <w:rPr>
                <w:noProof/>
                <w:webHidden/>
              </w:rPr>
              <w:fldChar w:fldCharType="end"/>
            </w:r>
          </w:hyperlink>
        </w:p>
        <w:p w14:paraId="70C28D2D" w14:textId="05B1B176" w:rsidR="000107EF" w:rsidRDefault="00A44DE9">
          <w:pPr>
            <w:pStyle w:val="TOC5"/>
            <w:rPr>
              <w:rFonts w:asciiTheme="minorHAnsi" w:eastAsiaTheme="minorEastAsia" w:hAnsiTheme="minorHAnsi" w:cstheme="minorBidi"/>
              <w:noProof/>
              <w:sz w:val="22"/>
              <w:szCs w:val="22"/>
            </w:rPr>
          </w:pPr>
          <w:hyperlink w:anchor="_Toc131503836" w:history="1">
            <w:r w:rsidR="000107EF" w:rsidRPr="00F20EBD">
              <w:rPr>
                <w:rStyle w:val="Hyperlink"/>
                <w:noProof/>
              </w:rPr>
              <w:t>An examination of size-targeting in the Bering Sea pollock catcher processor fishery – ESSR</w:t>
            </w:r>
            <w:r w:rsidR="000107EF">
              <w:rPr>
                <w:noProof/>
                <w:webHidden/>
              </w:rPr>
              <w:tab/>
            </w:r>
            <w:r w:rsidR="000107EF">
              <w:rPr>
                <w:noProof/>
                <w:webHidden/>
              </w:rPr>
              <w:fldChar w:fldCharType="begin"/>
            </w:r>
            <w:r w:rsidR="000107EF">
              <w:rPr>
                <w:noProof/>
                <w:webHidden/>
              </w:rPr>
              <w:instrText xml:space="preserve"> PAGEREF _Toc131503836 \h </w:instrText>
            </w:r>
            <w:r w:rsidR="000107EF">
              <w:rPr>
                <w:noProof/>
                <w:webHidden/>
              </w:rPr>
            </w:r>
            <w:r w:rsidR="000107EF">
              <w:rPr>
                <w:noProof/>
                <w:webHidden/>
              </w:rPr>
              <w:fldChar w:fldCharType="separate"/>
            </w:r>
            <w:r w:rsidR="000107EF">
              <w:rPr>
                <w:noProof/>
                <w:webHidden/>
              </w:rPr>
              <w:t>54</w:t>
            </w:r>
            <w:r w:rsidR="000107EF">
              <w:rPr>
                <w:noProof/>
                <w:webHidden/>
              </w:rPr>
              <w:fldChar w:fldCharType="end"/>
            </w:r>
          </w:hyperlink>
        </w:p>
        <w:p w14:paraId="72AEF9F2" w14:textId="78B6C919" w:rsidR="000107EF" w:rsidRDefault="00A44DE9">
          <w:pPr>
            <w:pStyle w:val="TOC4"/>
            <w:tabs>
              <w:tab w:val="left" w:pos="1320"/>
              <w:tab w:val="right" w:pos="9350"/>
            </w:tabs>
            <w:rPr>
              <w:rFonts w:asciiTheme="minorHAnsi" w:eastAsiaTheme="minorEastAsia" w:hAnsiTheme="minorHAnsi" w:cstheme="minorBidi"/>
              <w:noProof/>
              <w:sz w:val="22"/>
              <w:szCs w:val="22"/>
            </w:rPr>
          </w:pPr>
          <w:hyperlink w:anchor="_Toc131503837" w:history="1">
            <w:r w:rsidR="000107EF" w:rsidRPr="00F20EBD">
              <w:rPr>
                <w:rStyle w:val="Hyperlink"/>
                <w:noProof/>
              </w:rPr>
              <w:t>2.</w:t>
            </w:r>
            <w:r w:rsidR="000107EF">
              <w:rPr>
                <w:rFonts w:asciiTheme="minorHAnsi" w:eastAsiaTheme="minorEastAsia" w:hAnsiTheme="minorHAnsi" w:cstheme="minorBidi"/>
                <w:noProof/>
                <w:sz w:val="22"/>
                <w:szCs w:val="22"/>
              </w:rPr>
              <w:tab/>
            </w:r>
            <w:r w:rsidR="000107EF" w:rsidRPr="00F20EBD">
              <w:rPr>
                <w:rStyle w:val="Hyperlink"/>
                <w:noProof/>
              </w:rPr>
              <w:t>Stock Assessment</w:t>
            </w:r>
            <w:r w:rsidR="000107EF">
              <w:rPr>
                <w:noProof/>
                <w:webHidden/>
              </w:rPr>
              <w:tab/>
            </w:r>
            <w:r w:rsidR="000107EF">
              <w:rPr>
                <w:noProof/>
                <w:webHidden/>
              </w:rPr>
              <w:fldChar w:fldCharType="begin"/>
            </w:r>
            <w:r w:rsidR="000107EF">
              <w:rPr>
                <w:noProof/>
                <w:webHidden/>
              </w:rPr>
              <w:instrText xml:space="preserve"> PAGEREF _Toc131503837 \h </w:instrText>
            </w:r>
            <w:r w:rsidR="000107EF">
              <w:rPr>
                <w:noProof/>
                <w:webHidden/>
              </w:rPr>
            </w:r>
            <w:r w:rsidR="000107EF">
              <w:rPr>
                <w:noProof/>
                <w:webHidden/>
              </w:rPr>
              <w:fldChar w:fldCharType="separate"/>
            </w:r>
            <w:r w:rsidR="000107EF">
              <w:rPr>
                <w:noProof/>
                <w:webHidden/>
              </w:rPr>
              <w:t>54</w:t>
            </w:r>
            <w:r w:rsidR="000107EF">
              <w:rPr>
                <w:noProof/>
                <w:webHidden/>
              </w:rPr>
              <w:fldChar w:fldCharType="end"/>
            </w:r>
          </w:hyperlink>
        </w:p>
        <w:p w14:paraId="3DB7A9D5" w14:textId="4EB3C01C" w:rsidR="000107EF" w:rsidRDefault="00A44DE9">
          <w:pPr>
            <w:pStyle w:val="TOC5"/>
            <w:rPr>
              <w:rFonts w:asciiTheme="minorHAnsi" w:eastAsiaTheme="minorEastAsia" w:hAnsiTheme="minorHAnsi" w:cstheme="minorBidi"/>
              <w:noProof/>
              <w:sz w:val="22"/>
              <w:szCs w:val="22"/>
            </w:rPr>
          </w:pPr>
          <w:hyperlink w:anchor="_Toc131503838" w:history="1">
            <w:r w:rsidR="000107EF" w:rsidRPr="00F20EBD">
              <w:rPr>
                <w:rStyle w:val="Hyperlink"/>
                <w:noProof/>
              </w:rPr>
              <w:t>Eastern Bering Sea – REFM</w:t>
            </w:r>
            <w:r w:rsidR="000107EF">
              <w:rPr>
                <w:noProof/>
                <w:webHidden/>
              </w:rPr>
              <w:tab/>
            </w:r>
            <w:r w:rsidR="000107EF">
              <w:rPr>
                <w:noProof/>
                <w:webHidden/>
              </w:rPr>
              <w:fldChar w:fldCharType="begin"/>
            </w:r>
            <w:r w:rsidR="000107EF">
              <w:rPr>
                <w:noProof/>
                <w:webHidden/>
              </w:rPr>
              <w:instrText xml:space="preserve"> PAGEREF _Toc131503838 \h </w:instrText>
            </w:r>
            <w:r w:rsidR="000107EF">
              <w:rPr>
                <w:noProof/>
                <w:webHidden/>
              </w:rPr>
            </w:r>
            <w:r w:rsidR="000107EF">
              <w:rPr>
                <w:noProof/>
                <w:webHidden/>
              </w:rPr>
              <w:fldChar w:fldCharType="separate"/>
            </w:r>
            <w:r w:rsidR="000107EF">
              <w:rPr>
                <w:noProof/>
                <w:webHidden/>
              </w:rPr>
              <w:t>54</w:t>
            </w:r>
            <w:r w:rsidR="000107EF">
              <w:rPr>
                <w:noProof/>
                <w:webHidden/>
              </w:rPr>
              <w:fldChar w:fldCharType="end"/>
            </w:r>
          </w:hyperlink>
        </w:p>
        <w:p w14:paraId="49FB2007" w14:textId="75F4A07A" w:rsidR="000107EF" w:rsidRDefault="00A44DE9">
          <w:pPr>
            <w:pStyle w:val="TOC5"/>
            <w:rPr>
              <w:rFonts w:asciiTheme="minorHAnsi" w:eastAsiaTheme="minorEastAsia" w:hAnsiTheme="minorHAnsi" w:cstheme="minorBidi"/>
              <w:noProof/>
              <w:sz w:val="22"/>
              <w:szCs w:val="22"/>
            </w:rPr>
          </w:pPr>
          <w:hyperlink w:anchor="_Toc131503839" w:history="1">
            <w:r w:rsidR="000107EF" w:rsidRPr="00F20EBD">
              <w:rPr>
                <w:rStyle w:val="Hyperlink"/>
                <w:noProof/>
              </w:rPr>
              <w:t>Aleutian Islands – REFM</w:t>
            </w:r>
            <w:r w:rsidR="000107EF">
              <w:rPr>
                <w:noProof/>
                <w:webHidden/>
              </w:rPr>
              <w:tab/>
            </w:r>
            <w:r w:rsidR="000107EF">
              <w:rPr>
                <w:noProof/>
                <w:webHidden/>
              </w:rPr>
              <w:fldChar w:fldCharType="begin"/>
            </w:r>
            <w:r w:rsidR="000107EF">
              <w:rPr>
                <w:noProof/>
                <w:webHidden/>
              </w:rPr>
              <w:instrText xml:space="preserve"> PAGEREF _Toc131503839 \h </w:instrText>
            </w:r>
            <w:r w:rsidR="000107EF">
              <w:rPr>
                <w:noProof/>
                <w:webHidden/>
              </w:rPr>
            </w:r>
            <w:r w:rsidR="000107EF">
              <w:rPr>
                <w:noProof/>
                <w:webHidden/>
              </w:rPr>
              <w:fldChar w:fldCharType="separate"/>
            </w:r>
            <w:r w:rsidR="000107EF">
              <w:rPr>
                <w:noProof/>
                <w:webHidden/>
              </w:rPr>
              <w:t>56</w:t>
            </w:r>
            <w:r w:rsidR="000107EF">
              <w:rPr>
                <w:noProof/>
                <w:webHidden/>
              </w:rPr>
              <w:fldChar w:fldCharType="end"/>
            </w:r>
          </w:hyperlink>
        </w:p>
        <w:p w14:paraId="4208899B" w14:textId="0F90B7F0" w:rsidR="000107EF" w:rsidRDefault="00A44DE9">
          <w:pPr>
            <w:pStyle w:val="TOC5"/>
            <w:rPr>
              <w:rFonts w:asciiTheme="minorHAnsi" w:eastAsiaTheme="minorEastAsia" w:hAnsiTheme="minorHAnsi" w:cstheme="minorBidi"/>
              <w:noProof/>
              <w:sz w:val="22"/>
              <w:szCs w:val="22"/>
            </w:rPr>
          </w:pPr>
          <w:hyperlink w:anchor="_Toc131503840" w:history="1">
            <w:r w:rsidR="000107EF" w:rsidRPr="00F20EBD">
              <w:rPr>
                <w:rStyle w:val="Hyperlink"/>
                <w:noProof/>
              </w:rPr>
              <w:t>Bogoslof Pollock – REFM</w:t>
            </w:r>
            <w:r w:rsidR="000107EF">
              <w:rPr>
                <w:noProof/>
                <w:webHidden/>
              </w:rPr>
              <w:tab/>
            </w:r>
            <w:r w:rsidR="000107EF">
              <w:rPr>
                <w:noProof/>
                <w:webHidden/>
              </w:rPr>
              <w:fldChar w:fldCharType="begin"/>
            </w:r>
            <w:r w:rsidR="000107EF">
              <w:rPr>
                <w:noProof/>
                <w:webHidden/>
              </w:rPr>
              <w:instrText xml:space="preserve"> PAGEREF _Toc131503840 \h </w:instrText>
            </w:r>
            <w:r w:rsidR="000107EF">
              <w:rPr>
                <w:noProof/>
                <w:webHidden/>
              </w:rPr>
            </w:r>
            <w:r w:rsidR="000107EF">
              <w:rPr>
                <w:noProof/>
                <w:webHidden/>
              </w:rPr>
              <w:fldChar w:fldCharType="separate"/>
            </w:r>
            <w:r w:rsidR="000107EF">
              <w:rPr>
                <w:noProof/>
                <w:webHidden/>
              </w:rPr>
              <w:t>56</w:t>
            </w:r>
            <w:r w:rsidR="000107EF">
              <w:rPr>
                <w:noProof/>
                <w:webHidden/>
              </w:rPr>
              <w:fldChar w:fldCharType="end"/>
            </w:r>
          </w:hyperlink>
        </w:p>
        <w:p w14:paraId="5C93C9B6" w14:textId="2F093F26" w:rsidR="000107EF" w:rsidRDefault="00A44DE9">
          <w:pPr>
            <w:pStyle w:val="TOC5"/>
            <w:rPr>
              <w:rFonts w:asciiTheme="minorHAnsi" w:eastAsiaTheme="minorEastAsia" w:hAnsiTheme="minorHAnsi" w:cstheme="minorBidi"/>
              <w:noProof/>
              <w:sz w:val="22"/>
              <w:szCs w:val="22"/>
            </w:rPr>
          </w:pPr>
          <w:hyperlink w:anchor="_Toc131503841" w:history="1">
            <w:r w:rsidR="000107EF" w:rsidRPr="00F20EBD">
              <w:rPr>
                <w:rStyle w:val="Hyperlink"/>
                <w:noProof/>
              </w:rPr>
              <w:t>Gulf of Alaska – REFM</w:t>
            </w:r>
            <w:r w:rsidR="000107EF">
              <w:rPr>
                <w:noProof/>
                <w:webHidden/>
              </w:rPr>
              <w:tab/>
            </w:r>
            <w:r w:rsidR="000107EF">
              <w:rPr>
                <w:noProof/>
                <w:webHidden/>
              </w:rPr>
              <w:fldChar w:fldCharType="begin"/>
            </w:r>
            <w:r w:rsidR="000107EF">
              <w:rPr>
                <w:noProof/>
                <w:webHidden/>
              </w:rPr>
              <w:instrText xml:space="preserve"> PAGEREF _Toc131503841 \h </w:instrText>
            </w:r>
            <w:r w:rsidR="000107EF">
              <w:rPr>
                <w:noProof/>
                <w:webHidden/>
              </w:rPr>
            </w:r>
            <w:r w:rsidR="000107EF">
              <w:rPr>
                <w:noProof/>
                <w:webHidden/>
              </w:rPr>
              <w:fldChar w:fldCharType="separate"/>
            </w:r>
            <w:r w:rsidR="000107EF">
              <w:rPr>
                <w:noProof/>
                <w:webHidden/>
              </w:rPr>
              <w:t>57</w:t>
            </w:r>
            <w:r w:rsidR="000107EF">
              <w:rPr>
                <w:noProof/>
                <w:webHidden/>
              </w:rPr>
              <w:fldChar w:fldCharType="end"/>
            </w:r>
          </w:hyperlink>
        </w:p>
        <w:p w14:paraId="2CAE331F" w14:textId="179DE647" w:rsidR="000107EF" w:rsidRDefault="00A44DE9">
          <w:pPr>
            <w:pStyle w:val="TOC3"/>
            <w:tabs>
              <w:tab w:val="left" w:pos="960"/>
              <w:tab w:val="right" w:pos="9350"/>
            </w:tabs>
            <w:rPr>
              <w:rFonts w:asciiTheme="minorHAnsi" w:eastAsiaTheme="minorEastAsia" w:hAnsiTheme="minorHAnsi" w:cstheme="minorBidi"/>
              <w:noProof/>
              <w:sz w:val="22"/>
              <w:szCs w:val="22"/>
            </w:rPr>
          </w:pPr>
          <w:hyperlink w:anchor="_Toc131503842" w:history="1">
            <w:r w:rsidR="000107EF" w:rsidRPr="00F20EBD">
              <w:rPr>
                <w:rStyle w:val="Hyperlink"/>
                <w:noProof/>
              </w:rPr>
              <w:t>G.</w:t>
            </w:r>
            <w:r w:rsidR="000107EF">
              <w:rPr>
                <w:rFonts w:asciiTheme="minorHAnsi" w:eastAsiaTheme="minorEastAsia" w:hAnsiTheme="minorHAnsi" w:cstheme="minorBidi"/>
                <w:noProof/>
                <w:sz w:val="22"/>
                <w:szCs w:val="22"/>
              </w:rPr>
              <w:tab/>
            </w:r>
            <w:r w:rsidR="000107EF" w:rsidRPr="00F20EBD">
              <w:rPr>
                <w:rStyle w:val="Hyperlink"/>
                <w:noProof/>
              </w:rPr>
              <w:t>Pacific Whiting (hake)</w:t>
            </w:r>
            <w:r w:rsidR="000107EF">
              <w:rPr>
                <w:noProof/>
                <w:webHidden/>
              </w:rPr>
              <w:tab/>
            </w:r>
            <w:r w:rsidR="000107EF">
              <w:rPr>
                <w:noProof/>
                <w:webHidden/>
              </w:rPr>
              <w:fldChar w:fldCharType="begin"/>
            </w:r>
            <w:r w:rsidR="000107EF">
              <w:rPr>
                <w:noProof/>
                <w:webHidden/>
              </w:rPr>
              <w:instrText xml:space="preserve"> PAGEREF _Toc131503842 \h </w:instrText>
            </w:r>
            <w:r w:rsidR="000107EF">
              <w:rPr>
                <w:noProof/>
                <w:webHidden/>
              </w:rPr>
            </w:r>
            <w:r w:rsidR="000107EF">
              <w:rPr>
                <w:noProof/>
                <w:webHidden/>
              </w:rPr>
              <w:fldChar w:fldCharType="separate"/>
            </w:r>
            <w:r w:rsidR="000107EF">
              <w:rPr>
                <w:noProof/>
                <w:webHidden/>
              </w:rPr>
              <w:t>59</w:t>
            </w:r>
            <w:r w:rsidR="000107EF">
              <w:rPr>
                <w:noProof/>
                <w:webHidden/>
              </w:rPr>
              <w:fldChar w:fldCharType="end"/>
            </w:r>
          </w:hyperlink>
        </w:p>
        <w:p w14:paraId="31EBE43C" w14:textId="569A1365" w:rsidR="000107EF" w:rsidRDefault="00A44DE9">
          <w:pPr>
            <w:pStyle w:val="TOC3"/>
            <w:tabs>
              <w:tab w:val="left" w:pos="960"/>
              <w:tab w:val="right" w:pos="9350"/>
            </w:tabs>
            <w:rPr>
              <w:rFonts w:asciiTheme="minorHAnsi" w:eastAsiaTheme="minorEastAsia" w:hAnsiTheme="minorHAnsi" w:cstheme="minorBidi"/>
              <w:noProof/>
              <w:sz w:val="22"/>
              <w:szCs w:val="22"/>
            </w:rPr>
          </w:pPr>
          <w:hyperlink w:anchor="_Toc131503843" w:history="1">
            <w:r w:rsidR="000107EF" w:rsidRPr="00F20EBD">
              <w:rPr>
                <w:rStyle w:val="Hyperlink"/>
                <w:noProof/>
              </w:rPr>
              <w:t>H.</w:t>
            </w:r>
            <w:r w:rsidR="000107EF">
              <w:rPr>
                <w:rFonts w:asciiTheme="minorHAnsi" w:eastAsiaTheme="minorEastAsia" w:hAnsiTheme="minorHAnsi" w:cstheme="minorBidi"/>
                <w:noProof/>
                <w:sz w:val="22"/>
                <w:szCs w:val="22"/>
              </w:rPr>
              <w:tab/>
            </w:r>
            <w:r w:rsidR="000107EF" w:rsidRPr="00F20EBD">
              <w:rPr>
                <w:rStyle w:val="Hyperlink"/>
                <w:noProof/>
              </w:rPr>
              <w:t>Rockfish</w:t>
            </w:r>
            <w:r w:rsidR="000107EF">
              <w:rPr>
                <w:noProof/>
                <w:webHidden/>
              </w:rPr>
              <w:tab/>
            </w:r>
            <w:r w:rsidR="000107EF">
              <w:rPr>
                <w:noProof/>
                <w:webHidden/>
              </w:rPr>
              <w:fldChar w:fldCharType="begin"/>
            </w:r>
            <w:r w:rsidR="000107EF">
              <w:rPr>
                <w:noProof/>
                <w:webHidden/>
              </w:rPr>
              <w:instrText xml:space="preserve"> PAGEREF _Toc131503843 \h </w:instrText>
            </w:r>
            <w:r w:rsidR="000107EF">
              <w:rPr>
                <w:noProof/>
                <w:webHidden/>
              </w:rPr>
            </w:r>
            <w:r w:rsidR="000107EF">
              <w:rPr>
                <w:noProof/>
                <w:webHidden/>
              </w:rPr>
              <w:fldChar w:fldCharType="separate"/>
            </w:r>
            <w:r w:rsidR="000107EF">
              <w:rPr>
                <w:noProof/>
                <w:webHidden/>
              </w:rPr>
              <w:t>59</w:t>
            </w:r>
            <w:r w:rsidR="000107EF">
              <w:rPr>
                <w:noProof/>
                <w:webHidden/>
              </w:rPr>
              <w:fldChar w:fldCharType="end"/>
            </w:r>
          </w:hyperlink>
        </w:p>
        <w:p w14:paraId="419F9F93" w14:textId="7DF0EA91" w:rsidR="000107EF" w:rsidRDefault="00A44DE9">
          <w:pPr>
            <w:pStyle w:val="TOC4"/>
            <w:tabs>
              <w:tab w:val="left" w:pos="1320"/>
              <w:tab w:val="right" w:pos="9350"/>
            </w:tabs>
            <w:rPr>
              <w:rFonts w:asciiTheme="minorHAnsi" w:eastAsiaTheme="minorEastAsia" w:hAnsiTheme="minorHAnsi" w:cstheme="minorBidi"/>
              <w:noProof/>
              <w:sz w:val="22"/>
              <w:szCs w:val="22"/>
            </w:rPr>
          </w:pPr>
          <w:hyperlink w:anchor="_Toc131503844" w:history="1">
            <w:r w:rsidR="000107EF" w:rsidRPr="00F20EBD">
              <w:rPr>
                <w:rStyle w:val="Hyperlink"/>
                <w:noProof/>
              </w:rPr>
              <w:t>1.</w:t>
            </w:r>
            <w:r w:rsidR="000107EF">
              <w:rPr>
                <w:rFonts w:asciiTheme="minorHAnsi" w:eastAsiaTheme="minorEastAsia" w:hAnsiTheme="minorHAnsi" w:cstheme="minorBidi"/>
                <w:noProof/>
                <w:sz w:val="22"/>
                <w:szCs w:val="22"/>
              </w:rPr>
              <w:tab/>
            </w:r>
            <w:r w:rsidR="000107EF" w:rsidRPr="00F20EBD">
              <w:rPr>
                <w:rStyle w:val="Hyperlink"/>
                <w:noProof/>
              </w:rPr>
              <w:t>Research</w:t>
            </w:r>
            <w:r w:rsidR="000107EF">
              <w:rPr>
                <w:noProof/>
                <w:webHidden/>
              </w:rPr>
              <w:tab/>
            </w:r>
            <w:r w:rsidR="000107EF">
              <w:rPr>
                <w:noProof/>
                <w:webHidden/>
              </w:rPr>
              <w:fldChar w:fldCharType="begin"/>
            </w:r>
            <w:r w:rsidR="000107EF">
              <w:rPr>
                <w:noProof/>
                <w:webHidden/>
              </w:rPr>
              <w:instrText xml:space="preserve"> PAGEREF _Toc131503844 \h </w:instrText>
            </w:r>
            <w:r w:rsidR="000107EF">
              <w:rPr>
                <w:noProof/>
                <w:webHidden/>
              </w:rPr>
            </w:r>
            <w:r w:rsidR="000107EF">
              <w:rPr>
                <w:noProof/>
                <w:webHidden/>
              </w:rPr>
              <w:fldChar w:fldCharType="separate"/>
            </w:r>
            <w:r w:rsidR="000107EF">
              <w:rPr>
                <w:noProof/>
                <w:webHidden/>
              </w:rPr>
              <w:t>59</w:t>
            </w:r>
            <w:r w:rsidR="000107EF">
              <w:rPr>
                <w:noProof/>
                <w:webHidden/>
              </w:rPr>
              <w:fldChar w:fldCharType="end"/>
            </w:r>
          </w:hyperlink>
        </w:p>
        <w:p w14:paraId="23B992B6" w14:textId="040613CC" w:rsidR="000107EF" w:rsidRDefault="00A44DE9">
          <w:pPr>
            <w:pStyle w:val="TOC5"/>
            <w:rPr>
              <w:rFonts w:asciiTheme="minorHAnsi" w:eastAsiaTheme="minorEastAsia" w:hAnsiTheme="minorHAnsi" w:cstheme="minorBidi"/>
              <w:noProof/>
              <w:sz w:val="22"/>
              <w:szCs w:val="22"/>
            </w:rPr>
          </w:pPr>
          <w:hyperlink w:anchor="_Toc131503845" w:history="1">
            <w:r w:rsidR="000107EF" w:rsidRPr="00F20EBD">
              <w:rPr>
                <w:rStyle w:val="Hyperlink"/>
                <w:noProof/>
              </w:rPr>
              <w:t>Rockfish Condition and Reproductive Studies – RACE-GAP Kodiak</w:t>
            </w:r>
            <w:r w:rsidR="000107EF">
              <w:rPr>
                <w:noProof/>
                <w:webHidden/>
              </w:rPr>
              <w:tab/>
            </w:r>
            <w:r w:rsidR="000107EF">
              <w:rPr>
                <w:noProof/>
                <w:webHidden/>
              </w:rPr>
              <w:fldChar w:fldCharType="begin"/>
            </w:r>
            <w:r w:rsidR="000107EF">
              <w:rPr>
                <w:noProof/>
                <w:webHidden/>
              </w:rPr>
              <w:instrText xml:space="preserve"> PAGEREF _Toc131503845 \h </w:instrText>
            </w:r>
            <w:r w:rsidR="000107EF">
              <w:rPr>
                <w:noProof/>
                <w:webHidden/>
              </w:rPr>
            </w:r>
            <w:r w:rsidR="000107EF">
              <w:rPr>
                <w:noProof/>
                <w:webHidden/>
              </w:rPr>
              <w:fldChar w:fldCharType="separate"/>
            </w:r>
            <w:r w:rsidR="000107EF">
              <w:rPr>
                <w:noProof/>
                <w:webHidden/>
              </w:rPr>
              <w:t>59</w:t>
            </w:r>
            <w:r w:rsidR="000107EF">
              <w:rPr>
                <w:noProof/>
                <w:webHidden/>
              </w:rPr>
              <w:fldChar w:fldCharType="end"/>
            </w:r>
          </w:hyperlink>
        </w:p>
        <w:p w14:paraId="213E0E76" w14:textId="0E1E9487" w:rsidR="000107EF" w:rsidRDefault="00A44DE9">
          <w:pPr>
            <w:pStyle w:val="TOC5"/>
            <w:rPr>
              <w:rFonts w:asciiTheme="minorHAnsi" w:eastAsiaTheme="minorEastAsia" w:hAnsiTheme="minorHAnsi" w:cstheme="minorBidi"/>
              <w:noProof/>
              <w:sz w:val="22"/>
              <w:szCs w:val="22"/>
            </w:rPr>
          </w:pPr>
          <w:hyperlink w:anchor="_Toc131503846" w:history="1">
            <w:r w:rsidR="000107EF" w:rsidRPr="00F20EBD">
              <w:rPr>
                <w:rStyle w:val="Hyperlink"/>
                <w:noProof/>
              </w:rPr>
              <w:t>Northern Rockfishes and Pacific ocean perch – RACE-GAP</w:t>
            </w:r>
            <w:r w:rsidR="000107EF">
              <w:rPr>
                <w:noProof/>
                <w:webHidden/>
              </w:rPr>
              <w:tab/>
            </w:r>
            <w:r w:rsidR="000107EF">
              <w:rPr>
                <w:noProof/>
                <w:webHidden/>
              </w:rPr>
              <w:fldChar w:fldCharType="begin"/>
            </w:r>
            <w:r w:rsidR="000107EF">
              <w:rPr>
                <w:noProof/>
                <w:webHidden/>
              </w:rPr>
              <w:instrText xml:space="preserve"> PAGEREF _Toc131503846 \h </w:instrText>
            </w:r>
            <w:r w:rsidR="000107EF">
              <w:rPr>
                <w:noProof/>
                <w:webHidden/>
              </w:rPr>
            </w:r>
            <w:r w:rsidR="000107EF">
              <w:rPr>
                <w:noProof/>
                <w:webHidden/>
              </w:rPr>
              <w:fldChar w:fldCharType="separate"/>
            </w:r>
            <w:r w:rsidR="000107EF">
              <w:rPr>
                <w:noProof/>
                <w:webHidden/>
              </w:rPr>
              <w:t>60</w:t>
            </w:r>
            <w:r w:rsidR="000107EF">
              <w:rPr>
                <w:noProof/>
                <w:webHidden/>
              </w:rPr>
              <w:fldChar w:fldCharType="end"/>
            </w:r>
          </w:hyperlink>
        </w:p>
        <w:p w14:paraId="64BD7D23" w14:textId="5C5C594E" w:rsidR="000107EF" w:rsidRDefault="00A44DE9">
          <w:pPr>
            <w:pStyle w:val="TOC5"/>
            <w:rPr>
              <w:rFonts w:asciiTheme="minorHAnsi" w:eastAsiaTheme="minorEastAsia" w:hAnsiTheme="minorHAnsi" w:cstheme="minorBidi"/>
              <w:noProof/>
              <w:sz w:val="22"/>
              <w:szCs w:val="22"/>
            </w:rPr>
          </w:pPr>
          <w:hyperlink w:anchor="_Toc131503847" w:history="1">
            <w:r w:rsidR="000107EF" w:rsidRPr="00F20EBD">
              <w:rPr>
                <w:rStyle w:val="Hyperlink"/>
                <w:noProof/>
              </w:rPr>
              <w:t>Whole genome resequencing of rockfish – ABL</w:t>
            </w:r>
            <w:r w:rsidR="000107EF">
              <w:rPr>
                <w:noProof/>
                <w:webHidden/>
              </w:rPr>
              <w:tab/>
            </w:r>
            <w:r w:rsidR="000107EF">
              <w:rPr>
                <w:noProof/>
                <w:webHidden/>
              </w:rPr>
              <w:fldChar w:fldCharType="begin"/>
            </w:r>
            <w:r w:rsidR="000107EF">
              <w:rPr>
                <w:noProof/>
                <w:webHidden/>
              </w:rPr>
              <w:instrText xml:space="preserve"> PAGEREF _Toc131503847 \h </w:instrText>
            </w:r>
            <w:r w:rsidR="000107EF">
              <w:rPr>
                <w:noProof/>
                <w:webHidden/>
              </w:rPr>
            </w:r>
            <w:r w:rsidR="000107EF">
              <w:rPr>
                <w:noProof/>
                <w:webHidden/>
              </w:rPr>
              <w:fldChar w:fldCharType="separate"/>
            </w:r>
            <w:r w:rsidR="000107EF">
              <w:rPr>
                <w:noProof/>
                <w:webHidden/>
              </w:rPr>
              <w:t>60</w:t>
            </w:r>
            <w:r w:rsidR="000107EF">
              <w:rPr>
                <w:noProof/>
                <w:webHidden/>
              </w:rPr>
              <w:fldChar w:fldCharType="end"/>
            </w:r>
          </w:hyperlink>
        </w:p>
        <w:p w14:paraId="5476915D" w14:textId="77B37A85" w:rsidR="000107EF" w:rsidRDefault="00A44DE9">
          <w:pPr>
            <w:pStyle w:val="TOC4"/>
            <w:tabs>
              <w:tab w:val="left" w:pos="1320"/>
              <w:tab w:val="right" w:pos="9350"/>
            </w:tabs>
            <w:rPr>
              <w:rFonts w:asciiTheme="minorHAnsi" w:eastAsiaTheme="minorEastAsia" w:hAnsiTheme="minorHAnsi" w:cstheme="minorBidi"/>
              <w:noProof/>
              <w:sz w:val="22"/>
              <w:szCs w:val="22"/>
            </w:rPr>
          </w:pPr>
          <w:hyperlink w:anchor="_Toc131503848" w:history="1">
            <w:r w:rsidR="000107EF" w:rsidRPr="00F20EBD">
              <w:rPr>
                <w:rStyle w:val="Hyperlink"/>
                <w:noProof/>
              </w:rPr>
              <w:t>2.</w:t>
            </w:r>
            <w:r w:rsidR="000107EF">
              <w:rPr>
                <w:rFonts w:asciiTheme="minorHAnsi" w:eastAsiaTheme="minorEastAsia" w:hAnsiTheme="minorHAnsi" w:cstheme="minorBidi"/>
                <w:noProof/>
                <w:sz w:val="22"/>
                <w:szCs w:val="22"/>
              </w:rPr>
              <w:tab/>
            </w:r>
            <w:r w:rsidR="000107EF" w:rsidRPr="00F20EBD">
              <w:rPr>
                <w:rStyle w:val="Hyperlink"/>
                <w:noProof/>
              </w:rPr>
              <w:t>Assessment</w:t>
            </w:r>
            <w:r w:rsidR="000107EF">
              <w:rPr>
                <w:noProof/>
                <w:webHidden/>
              </w:rPr>
              <w:tab/>
            </w:r>
            <w:r w:rsidR="000107EF">
              <w:rPr>
                <w:noProof/>
                <w:webHidden/>
              </w:rPr>
              <w:fldChar w:fldCharType="begin"/>
            </w:r>
            <w:r w:rsidR="000107EF">
              <w:rPr>
                <w:noProof/>
                <w:webHidden/>
              </w:rPr>
              <w:instrText xml:space="preserve"> PAGEREF _Toc131503848 \h </w:instrText>
            </w:r>
            <w:r w:rsidR="000107EF">
              <w:rPr>
                <w:noProof/>
                <w:webHidden/>
              </w:rPr>
            </w:r>
            <w:r w:rsidR="000107EF">
              <w:rPr>
                <w:noProof/>
                <w:webHidden/>
              </w:rPr>
              <w:fldChar w:fldCharType="separate"/>
            </w:r>
            <w:r w:rsidR="000107EF">
              <w:rPr>
                <w:noProof/>
                <w:webHidden/>
              </w:rPr>
              <w:t>60</w:t>
            </w:r>
            <w:r w:rsidR="000107EF">
              <w:rPr>
                <w:noProof/>
                <w:webHidden/>
              </w:rPr>
              <w:fldChar w:fldCharType="end"/>
            </w:r>
          </w:hyperlink>
        </w:p>
        <w:p w14:paraId="63B37AF8" w14:textId="37AA32F3" w:rsidR="000107EF" w:rsidRDefault="00A44DE9">
          <w:pPr>
            <w:pStyle w:val="TOC5"/>
            <w:rPr>
              <w:rFonts w:asciiTheme="minorHAnsi" w:eastAsiaTheme="minorEastAsia" w:hAnsiTheme="minorHAnsi" w:cstheme="minorBidi"/>
              <w:noProof/>
              <w:sz w:val="22"/>
              <w:szCs w:val="22"/>
            </w:rPr>
          </w:pPr>
          <w:hyperlink w:anchor="_Toc131503849" w:history="1">
            <w:r w:rsidR="000107EF" w:rsidRPr="00F20EBD">
              <w:rPr>
                <w:rStyle w:val="Hyperlink"/>
                <w:noProof/>
              </w:rPr>
              <w:t>Pacific ocean perch (POP) – Bering Sea and Aleutian Islands – REFM</w:t>
            </w:r>
            <w:r w:rsidR="000107EF">
              <w:rPr>
                <w:noProof/>
                <w:webHidden/>
              </w:rPr>
              <w:tab/>
            </w:r>
            <w:r w:rsidR="000107EF">
              <w:rPr>
                <w:noProof/>
                <w:webHidden/>
              </w:rPr>
              <w:fldChar w:fldCharType="begin"/>
            </w:r>
            <w:r w:rsidR="000107EF">
              <w:rPr>
                <w:noProof/>
                <w:webHidden/>
              </w:rPr>
              <w:instrText xml:space="preserve"> PAGEREF _Toc131503849 \h </w:instrText>
            </w:r>
            <w:r w:rsidR="000107EF">
              <w:rPr>
                <w:noProof/>
                <w:webHidden/>
              </w:rPr>
            </w:r>
            <w:r w:rsidR="000107EF">
              <w:rPr>
                <w:noProof/>
                <w:webHidden/>
              </w:rPr>
              <w:fldChar w:fldCharType="separate"/>
            </w:r>
            <w:r w:rsidR="000107EF">
              <w:rPr>
                <w:noProof/>
                <w:webHidden/>
              </w:rPr>
              <w:t>61</w:t>
            </w:r>
            <w:r w:rsidR="000107EF">
              <w:rPr>
                <w:noProof/>
                <w:webHidden/>
              </w:rPr>
              <w:fldChar w:fldCharType="end"/>
            </w:r>
          </w:hyperlink>
        </w:p>
        <w:p w14:paraId="7781624B" w14:textId="29852352" w:rsidR="000107EF" w:rsidRDefault="00A44DE9">
          <w:pPr>
            <w:pStyle w:val="TOC5"/>
            <w:rPr>
              <w:rFonts w:asciiTheme="minorHAnsi" w:eastAsiaTheme="minorEastAsia" w:hAnsiTheme="minorHAnsi" w:cstheme="minorBidi"/>
              <w:noProof/>
              <w:sz w:val="22"/>
              <w:szCs w:val="22"/>
            </w:rPr>
          </w:pPr>
          <w:hyperlink w:anchor="_Toc131503850" w:history="1">
            <w:r w:rsidR="000107EF" w:rsidRPr="00F20EBD">
              <w:rPr>
                <w:rStyle w:val="Hyperlink"/>
                <w:noProof/>
              </w:rPr>
              <w:t>Pacific ocean perch – Gulf of Alaska – ABL</w:t>
            </w:r>
            <w:r w:rsidR="000107EF">
              <w:rPr>
                <w:noProof/>
                <w:webHidden/>
              </w:rPr>
              <w:tab/>
            </w:r>
            <w:r w:rsidR="000107EF">
              <w:rPr>
                <w:noProof/>
                <w:webHidden/>
              </w:rPr>
              <w:fldChar w:fldCharType="begin"/>
            </w:r>
            <w:r w:rsidR="000107EF">
              <w:rPr>
                <w:noProof/>
                <w:webHidden/>
              </w:rPr>
              <w:instrText xml:space="preserve"> PAGEREF _Toc131503850 \h </w:instrText>
            </w:r>
            <w:r w:rsidR="000107EF">
              <w:rPr>
                <w:noProof/>
                <w:webHidden/>
              </w:rPr>
            </w:r>
            <w:r w:rsidR="000107EF">
              <w:rPr>
                <w:noProof/>
                <w:webHidden/>
              </w:rPr>
              <w:fldChar w:fldCharType="separate"/>
            </w:r>
            <w:r w:rsidR="000107EF">
              <w:rPr>
                <w:noProof/>
                <w:webHidden/>
              </w:rPr>
              <w:t>62</w:t>
            </w:r>
            <w:r w:rsidR="000107EF">
              <w:rPr>
                <w:noProof/>
                <w:webHidden/>
              </w:rPr>
              <w:fldChar w:fldCharType="end"/>
            </w:r>
          </w:hyperlink>
        </w:p>
        <w:p w14:paraId="39A4CE28" w14:textId="71292876" w:rsidR="000107EF" w:rsidRDefault="00A44DE9">
          <w:pPr>
            <w:pStyle w:val="TOC5"/>
            <w:rPr>
              <w:rFonts w:asciiTheme="minorHAnsi" w:eastAsiaTheme="minorEastAsia" w:hAnsiTheme="minorHAnsi" w:cstheme="minorBidi"/>
              <w:noProof/>
              <w:sz w:val="22"/>
              <w:szCs w:val="22"/>
            </w:rPr>
          </w:pPr>
          <w:hyperlink w:anchor="_Toc131503851" w:history="1">
            <w:r w:rsidR="000107EF" w:rsidRPr="00F20EBD">
              <w:rPr>
                <w:rStyle w:val="Hyperlink"/>
                <w:noProof/>
              </w:rPr>
              <w:t>Dusky Rockfish-- Gulf of Alaska – ABL</w:t>
            </w:r>
            <w:r w:rsidR="000107EF">
              <w:rPr>
                <w:noProof/>
                <w:webHidden/>
              </w:rPr>
              <w:tab/>
            </w:r>
            <w:r w:rsidR="000107EF">
              <w:rPr>
                <w:noProof/>
                <w:webHidden/>
              </w:rPr>
              <w:fldChar w:fldCharType="begin"/>
            </w:r>
            <w:r w:rsidR="000107EF">
              <w:rPr>
                <w:noProof/>
                <w:webHidden/>
              </w:rPr>
              <w:instrText xml:space="preserve"> PAGEREF _Toc131503851 \h </w:instrText>
            </w:r>
            <w:r w:rsidR="000107EF">
              <w:rPr>
                <w:noProof/>
                <w:webHidden/>
              </w:rPr>
            </w:r>
            <w:r w:rsidR="000107EF">
              <w:rPr>
                <w:noProof/>
                <w:webHidden/>
              </w:rPr>
              <w:fldChar w:fldCharType="separate"/>
            </w:r>
            <w:r w:rsidR="000107EF">
              <w:rPr>
                <w:noProof/>
                <w:webHidden/>
              </w:rPr>
              <w:t>63</w:t>
            </w:r>
            <w:r w:rsidR="000107EF">
              <w:rPr>
                <w:noProof/>
                <w:webHidden/>
              </w:rPr>
              <w:fldChar w:fldCharType="end"/>
            </w:r>
          </w:hyperlink>
        </w:p>
        <w:p w14:paraId="0285B891" w14:textId="6D1868BB" w:rsidR="000107EF" w:rsidRDefault="00A44DE9">
          <w:pPr>
            <w:pStyle w:val="TOC5"/>
            <w:rPr>
              <w:rFonts w:asciiTheme="minorHAnsi" w:eastAsiaTheme="minorEastAsia" w:hAnsiTheme="minorHAnsi" w:cstheme="minorBidi"/>
              <w:noProof/>
              <w:sz w:val="22"/>
              <w:szCs w:val="22"/>
            </w:rPr>
          </w:pPr>
          <w:hyperlink w:anchor="_Toc131503852" w:history="1">
            <w:r w:rsidR="000107EF" w:rsidRPr="00F20EBD">
              <w:rPr>
                <w:rStyle w:val="Hyperlink"/>
                <w:noProof/>
              </w:rPr>
              <w:t>Northern Rockfish – Bering Sea and Aleutian Islands – REFM</w:t>
            </w:r>
            <w:r w:rsidR="000107EF">
              <w:rPr>
                <w:noProof/>
                <w:webHidden/>
              </w:rPr>
              <w:tab/>
            </w:r>
            <w:r w:rsidR="000107EF">
              <w:rPr>
                <w:noProof/>
                <w:webHidden/>
              </w:rPr>
              <w:fldChar w:fldCharType="begin"/>
            </w:r>
            <w:r w:rsidR="000107EF">
              <w:rPr>
                <w:noProof/>
                <w:webHidden/>
              </w:rPr>
              <w:instrText xml:space="preserve"> PAGEREF _Toc131503852 \h </w:instrText>
            </w:r>
            <w:r w:rsidR="000107EF">
              <w:rPr>
                <w:noProof/>
                <w:webHidden/>
              </w:rPr>
            </w:r>
            <w:r w:rsidR="000107EF">
              <w:rPr>
                <w:noProof/>
                <w:webHidden/>
              </w:rPr>
              <w:fldChar w:fldCharType="separate"/>
            </w:r>
            <w:r w:rsidR="000107EF">
              <w:rPr>
                <w:noProof/>
                <w:webHidden/>
              </w:rPr>
              <w:t>63</w:t>
            </w:r>
            <w:r w:rsidR="000107EF">
              <w:rPr>
                <w:noProof/>
                <w:webHidden/>
              </w:rPr>
              <w:fldChar w:fldCharType="end"/>
            </w:r>
          </w:hyperlink>
        </w:p>
        <w:p w14:paraId="5F063298" w14:textId="69B60935" w:rsidR="000107EF" w:rsidRDefault="00A44DE9">
          <w:pPr>
            <w:pStyle w:val="TOC5"/>
            <w:rPr>
              <w:rFonts w:asciiTheme="minorHAnsi" w:eastAsiaTheme="minorEastAsia" w:hAnsiTheme="minorHAnsi" w:cstheme="minorBidi"/>
              <w:noProof/>
              <w:sz w:val="22"/>
              <w:szCs w:val="22"/>
            </w:rPr>
          </w:pPr>
          <w:hyperlink w:anchor="_Toc131503853" w:history="1">
            <w:r w:rsidR="000107EF" w:rsidRPr="00F20EBD">
              <w:rPr>
                <w:rStyle w:val="Hyperlink"/>
                <w:noProof/>
              </w:rPr>
              <w:t>Northern Rockfish – Gulf of Alaska – ABL</w:t>
            </w:r>
            <w:r w:rsidR="000107EF">
              <w:rPr>
                <w:noProof/>
                <w:webHidden/>
              </w:rPr>
              <w:tab/>
            </w:r>
            <w:r w:rsidR="000107EF">
              <w:rPr>
                <w:noProof/>
                <w:webHidden/>
              </w:rPr>
              <w:fldChar w:fldCharType="begin"/>
            </w:r>
            <w:r w:rsidR="000107EF">
              <w:rPr>
                <w:noProof/>
                <w:webHidden/>
              </w:rPr>
              <w:instrText xml:space="preserve"> PAGEREF _Toc131503853 \h </w:instrText>
            </w:r>
            <w:r w:rsidR="000107EF">
              <w:rPr>
                <w:noProof/>
                <w:webHidden/>
              </w:rPr>
            </w:r>
            <w:r w:rsidR="000107EF">
              <w:rPr>
                <w:noProof/>
                <w:webHidden/>
              </w:rPr>
              <w:fldChar w:fldCharType="separate"/>
            </w:r>
            <w:r w:rsidR="000107EF">
              <w:rPr>
                <w:noProof/>
                <w:webHidden/>
              </w:rPr>
              <w:t>64</w:t>
            </w:r>
            <w:r w:rsidR="000107EF">
              <w:rPr>
                <w:noProof/>
                <w:webHidden/>
              </w:rPr>
              <w:fldChar w:fldCharType="end"/>
            </w:r>
          </w:hyperlink>
        </w:p>
        <w:p w14:paraId="0BCFD99A" w14:textId="1C3E88B7" w:rsidR="000107EF" w:rsidRDefault="00A44DE9">
          <w:pPr>
            <w:pStyle w:val="TOC5"/>
            <w:rPr>
              <w:rFonts w:asciiTheme="minorHAnsi" w:eastAsiaTheme="minorEastAsia" w:hAnsiTheme="minorHAnsi" w:cstheme="minorBidi"/>
              <w:noProof/>
              <w:sz w:val="22"/>
              <w:szCs w:val="22"/>
            </w:rPr>
          </w:pPr>
          <w:hyperlink w:anchor="_Toc131503854" w:history="1">
            <w:r w:rsidR="000107EF" w:rsidRPr="00F20EBD">
              <w:rPr>
                <w:rStyle w:val="Hyperlink"/>
                <w:noProof/>
              </w:rPr>
              <w:t>Shortraker Rockfish – Bering Sea and Aleutian Islands – REFM</w:t>
            </w:r>
            <w:r w:rsidR="000107EF">
              <w:rPr>
                <w:noProof/>
                <w:webHidden/>
              </w:rPr>
              <w:tab/>
            </w:r>
            <w:r w:rsidR="000107EF">
              <w:rPr>
                <w:noProof/>
                <w:webHidden/>
              </w:rPr>
              <w:fldChar w:fldCharType="begin"/>
            </w:r>
            <w:r w:rsidR="000107EF">
              <w:rPr>
                <w:noProof/>
                <w:webHidden/>
              </w:rPr>
              <w:instrText xml:space="preserve"> PAGEREF _Toc131503854 \h </w:instrText>
            </w:r>
            <w:r w:rsidR="000107EF">
              <w:rPr>
                <w:noProof/>
                <w:webHidden/>
              </w:rPr>
            </w:r>
            <w:r w:rsidR="000107EF">
              <w:rPr>
                <w:noProof/>
                <w:webHidden/>
              </w:rPr>
              <w:fldChar w:fldCharType="separate"/>
            </w:r>
            <w:r w:rsidR="000107EF">
              <w:rPr>
                <w:noProof/>
                <w:webHidden/>
              </w:rPr>
              <w:t>64</w:t>
            </w:r>
            <w:r w:rsidR="000107EF">
              <w:rPr>
                <w:noProof/>
                <w:webHidden/>
              </w:rPr>
              <w:fldChar w:fldCharType="end"/>
            </w:r>
          </w:hyperlink>
        </w:p>
        <w:p w14:paraId="3FDB8E09" w14:textId="58A435F8" w:rsidR="000107EF" w:rsidRDefault="00A44DE9">
          <w:pPr>
            <w:pStyle w:val="TOC5"/>
            <w:rPr>
              <w:rFonts w:asciiTheme="minorHAnsi" w:eastAsiaTheme="minorEastAsia" w:hAnsiTheme="minorHAnsi" w:cstheme="minorBidi"/>
              <w:noProof/>
              <w:sz w:val="22"/>
              <w:szCs w:val="22"/>
            </w:rPr>
          </w:pPr>
          <w:hyperlink w:anchor="_Toc131503855" w:history="1">
            <w:r w:rsidR="000107EF" w:rsidRPr="00F20EBD">
              <w:rPr>
                <w:rStyle w:val="Hyperlink"/>
                <w:noProof/>
              </w:rPr>
              <w:t>Shortraker Rockfish – Gulf of Alaska – ABL</w:t>
            </w:r>
            <w:r w:rsidR="000107EF">
              <w:rPr>
                <w:noProof/>
                <w:webHidden/>
              </w:rPr>
              <w:tab/>
            </w:r>
            <w:r w:rsidR="000107EF">
              <w:rPr>
                <w:noProof/>
                <w:webHidden/>
              </w:rPr>
              <w:fldChar w:fldCharType="begin"/>
            </w:r>
            <w:r w:rsidR="000107EF">
              <w:rPr>
                <w:noProof/>
                <w:webHidden/>
              </w:rPr>
              <w:instrText xml:space="preserve"> PAGEREF _Toc131503855 \h </w:instrText>
            </w:r>
            <w:r w:rsidR="000107EF">
              <w:rPr>
                <w:noProof/>
                <w:webHidden/>
              </w:rPr>
            </w:r>
            <w:r w:rsidR="000107EF">
              <w:rPr>
                <w:noProof/>
                <w:webHidden/>
              </w:rPr>
              <w:fldChar w:fldCharType="separate"/>
            </w:r>
            <w:r w:rsidR="000107EF">
              <w:rPr>
                <w:noProof/>
                <w:webHidden/>
              </w:rPr>
              <w:t>65</w:t>
            </w:r>
            <w:r w:rsidR="000107EF">
              <w:rPr>
                <w:noProof/>
                <w:webHidden/>
              </w:rPr>
              <w:fldChar w:fldCharType="end"/>
            </w:r>
          </w:hyperlink>
        </w:p>
        <w:p w14:paraId="64E4C5BC" w14:textId="74EE180E" w:rsidR="000107EF" w:rsidRDefault="00A44DE9">
          <w:pPr>
            <w:pStyle w:val="TOC5"/>
            <w:rPr>
              <w:rFonts w:asciiTheme="minorHAnsi" w:eastAsiaTheme="minorEastAsia" w:hAnsiTheme="minorHAnsi" w:cstheme="minorBidi"/>
              <w:noProof/>
              <w:sz w:val="22"/>
              <w:szCs w:val="22"/>
            </w:rPr>
          </w:pPr>
          <w:hyperlink w:anchor="_Toc131503856" w:history="1">
            <w:r w:rsidR="000107EF" w:rsidRPr="00F20EBD">
              <w:rPr>
                <w:rStyle w:val="Hyperlink"/>
                <w:noProof/>
              </w:rPr>
              <w:t>Other Rockfish – Bering Sea and Aleutian Islands – ABL</w:t>
            </w:r>
            <w:r w:rsidR="000107EF">
              <w:rPr>
                <w:noProof/>
                <w:webHidden/>
              </w:rPr>
              <w:tab/>
            </w:r>
            <w:r w:rsidR="000107EF">
              <w:rPr>
                <w:noProof/>
                <w:webHidden/>
              </w:rPr>
              <w:fldChar w:fldCharType="begin"/>
            </w:r>
            <w:r w:rsidR="000107EF">
              <w:rPr>
                <w:noProof/>
                <w:webHidden/>
              </w:rPr>
              <w:instrText xml:space="preserve"> PAGEREF _Toc131503856 \h </w:instrText>
            </w:r>
            <w:r w:rsidR="000107EF">
              <w:rPr>
                <w:noProof/>
                <w:webHidden/>
              </w:rPr>
            </w:r>
            <w:r w:rsidR="000107EF">
              <w:rPr>
                <w:noProof/>
                <w:webHidden/>
              </w:rPr>
              <w:fldChar w:fldCharType="separate"/>
            </w:r>
            <w:r w:rsidR="000107EF">
              <w:rPr>
                <w:noProof/>
                <w:webHidden/>
              </w:rPr>
              <w:t>65</w:t>
            </w:r>
            <w:r w:rsidR="000107EF">
              <w:rPr>
                <w:noProof/>
                <w:webHidden/>
              </w:rPr>
              <w:fldChar w:fldCharType="end"/>
            </w:r>
          </w:hyperlink>
        </w:p>
        <w:p w14:paraId="3782AEAA" w14:textId="0CE983D3" w:rsidR="000107EF" w:rsidRDefault="00A44DE9">
          <w:pPr>
            <w:pStyle w:val="TOC5"/>
            <w:rPr>
              <w:rFonts w:asciiTheme="minorHAnsi" w:eastAsiaTheme="minorEastAsia" w:hAnsiTheme="minorHAnsi" w:cstheme="minorBidi"/>
              <w:noProof/>
              <w:sz w:val="22"/>
              <w:szCs w:val="22"/>
            </w:rPr>
          </w:pPr>
          <w:hyperlink w:anchor="_Toc131503857" w:history="1">
            <w:r w:rsidR="000107EF" w:rsidRPr="00F20EBD">
              <w:rPr>
                <w:rStyle w:val="Hyperlink"/>
                <w:noProof/>
              </w:rPr>
              <w:t>Other Rockfish – Gulf of Alaska – ABL</w:t>
            </w:r>
            <w:r w:rsidR="000107EF">
              <w:rPr>
                <w:noProof/>
                <w:webHidden/>
              </w:rPr>
              <w:tab/>
            </w:r>
            <w:r w:rsidR="000107EF">
              <w:rPr>
                <w:noProof/>
                <w:webHidden/>
              </w:rPr>
              <w:fldChar w:fldCharType="begin"/>
            </w:r>
            <w:r w:rsidR="000107EF">
              <w:rPr>
                <w:noProof/>
                <w:webHidden/>
              </w:rPr>
              <w:instrText xml:space="preserve"> PAGEREF _Toc131503857 \h </w:instrText>
            </w:r>
            <w:r w:rsidR="000107EF">
              <w:rPr>
                <w:noProof/>
                <w:webHidden/>
              </w:rPr>
            </w:r>
            <w:r w:rsidR="000107EF">
              <w:rPr>
                <w:noProof/>
                <w:webHidden/>
              </w:rPr>
              <w:fldChar w:fldCharType="separate"/>
            </w:r>
            <w:r w:rsidR="000107EF">
              <w:rPr>
                <w:noProof/>
                <w:webHidden/>
              </w:rPr>
              <w:t>66</w:t>
            </w:r>
            <w:r w:rsidR="000107EF">
              <w:rPr>
                <w:noProof/>
                <w:webHidden/>
              </w:rPr>
              <w:fldChar w:fldCharType="end"/>
            </w:r>
          </w:hyperlink>
        </w:p>
        <w:p w14:paraId="2B7382C8" w14:textId="7A9FFE79" w:rsidR="000107EF" w:rsidRDefault="00A44DE9">
          <w:pPr>
            <w:pStyle w:val="TOC5"/>
            <w:rPr>
              <w:rFonts w:asciiTheme="minorHAnsi" w:eastAsiaTheme="minorEastAsia" w:hAnsiTheme="minorHAnsi" w:cstheme="minorBidi"/>
              <w:noProof/>
              <w:sz w:val="22"/>
              <w:szCs w:val="22"/>
            </w:rPr>
          </w:pPr>
          <w:hyperlink w:anchor="_Toc131503858" w:history="1">
            <w:r w:rsidR="000107EF" w:rsidRPr="00F20EBD">
              <w:rPr>
                <w:rStyle w:val="Hyperlink"/>
                <w:noProof/>
              </w:rPr>
              <w:t>Blackspotted/rougheye Rockfish Complex – BSAI – REFM</w:t>
            </w:r>
            <w:r w:rsidR="000107EF">
              <w:rPr>
                <w:noProof/>
                <w:webHidden/>
              </w:rPr>
              <w:tab/>
            </w:r>
            <w:r w:rsidR="000107EF">
              <w:rPr>
                <w:noProof/>
                <w:webHidden/>
              </w:rPr>
              <w:fldChar w:fldCharType="begin"/>
            </w:r>
            <w:r w:rsidR="000107EF">
              <w:rPr>
                <w:noProof/>
                <w:webHidden/>
              </w:rPr>
              <w:instrText xml:space="preserve"> PAGEREF _Toc131503858 \h </w:instrText>
            </w:r>
            <w:r w:rsidR="000107EF">
              <w:rPr>
                <w:noProof/>
                <w:webHidden/>
              </w:rPr>
            </w:r>
            <w:r w:rsidR="000107EF">
              <w:rPr>
                <w:noProof/>
                <w:webHidden/>
              </w:rPr>
              <w:fldChar w:fldCharType="separate"/>
            </w:r>
            <w:r w:rsidR="000107EF">
              <w:rPr>
                <w:noProof/>
                <w:webHidden/>
              </w:rPr>
              <w:t>66</w:t>
            </w:r>
            <w:r w:rsidR="000107EF">
              <w:rPr>
                <w:noProof/>
                <w:webHidden/>
              </w:rPr>
              <w:fldChar w:fldCharType="end"/>
            </w:r>
          </w:hyperlink>
        </w:p>
        <w:p w14:paraId="096CF007" w14:textId="39F0BC70" w:rsidR="000107EF" w:rsidRDefault="00A44DE9">
          <w:pPr>
            <w:pStyle w:val="TOC5"/>
            <w:rPr>
              <w:rFonts w:asciiTheme="minorHAnsi" w:eastAsiaTheme="minorEastAsia" w:hAnsiTheme="minorHAnsi" w:cstheme="minorBidi"/>
              <w:noProof/>
              <w:sz w:val="22"/>
              <w:szCs w:val="22"/>
            </w:rPr>
          </w:pPr>
          <w:hyperlink w:anchor="_Toc131503859" w:history="1">
            <w:r w:rsidR="000107EF" w:rsidRPr="00F20EBD">
              <w:rPr>
                <w:rStyle w:val="Hyperlink"/>
                <w:noProof/>
              </w:rPr>
              <w:t>Blackspotted/rougheye Rockfish Complex – Gulf of Alaska – ABL</w:t>
            </w:r>
            <w:r w:rsidR="000107EF">
              <w:rPr>
                <w:noProof/>
                <w:webHidden/>
              </w:rPr>
              <w:tab/>
            </w:r>
            <w:r w:rsidR="000107EF">
              <w:rPr>
                <w:noProof/>
                <w:webHidden/>
              </w:rPr>
              <w:fldChar w:fldCharType="begin"/>
            </w:r>
            <w:r w:rsidR="000107EF">
              <w:rPr>
                <w:noProof/>
                <w:webHidden/>
              </w:rPr>
              <w:instrText xml:space="preserve"> PAGEREF _Toc131503859 \h </w:instrText>
            </w:r>
            <w:r w:rsidR="000107EF">
              <w:rPr>
                <w:noProof/>
                <w:webHidden/>
              </w:rPr>
            </w:r>
            <w:r w:rsidR="000107EF">
              <w:rPr>
                <w:noProof/>
                <w:webHidden/>
              </w:rPr>
              <w:fldChar w:fldCharType="separate"/>
            </w:r>
            <w:r w:rsidR="000107EF">
              <w:rPr>
                <w:noProof/>
                <w:webHidden/>
              </w:rPr>
              <w:t>67</w:t>
            </w:r>
            <w:r w:rsidR="000107EF">
              <w:rPr>
                <w:noProof/>
                <w:webHidden/>
              </w:rPr>
              <w:fldChar w:fldCharType="end"/>
            </w:r>
          </w:hyperlink>
        </w:p>
        <w:p w14:paraId="3340E6F4" w14:textId="5FEFF239" w:rsidR="000107EF" w:rsidRDefault="00A44DE9">
          <w:pPr>
            <w:pStyle w:val="TOC3"/>
            <w:tabs>
              <w:tab w:val="left" w:pos="960"/>
              <w:tab w:val="right" w:pos="9350"/>
            </w:tabs>
            <w:rPr>
              <w:rFonts w:asciiTheme="minorHAnsi" w:eastAsiaTheme="minorEastAsia" w:hAnsiTheme="minorHAnsi" w:cstheme="minorBidi"/>
              <w:noProof/>
              <w:sz w:val="22"/>
              <w:szCs w:val="22"/>
            </w:rPr>
          </w:pPr>
          <w:hyperlink w:anchor="_Toc131503860" w:history="1">
            <w:r w:rsidR="000107EF" w:rsidRPr="00F20EBD">
              <w:rPr>
                <w:rStyle w:val="Hyperlink"/>
                <w:noProof/>
              </w:rPr>
              <w:t>I.</w:t>
            </w:r>
            <w:r w:rsidR="000107EF">
              <w:rPr>
                <w:rFonts w:asciiTheme="minorHAnsi" w:eastAsiaTheme="minorEastAsia" w:hAnsiTheme="minorHAnsi" w:cstheme="minorBidi"/>
                <w:noProof/>
                <w:sz w:val="22"/>
                <w:szCs w:val="22"/>
              </w:rPr>
              <w:tab/>
            </w:r>
            <w:r w:rsidR="000107EF" w:rsidRPr="00F20EBD">
              <w:rPr>
                <w:rStyle w:val="Hyperlink"/>
                <w:noProof/>
              </w:rPr>
              <w:t>Thornyheads</w:t>
            </w:r>
            <w:r w:rsidR="000107EF">
              <w:rPr>
                <w:noProof/>
                <w:webHidden/>
              </w:rPr>
              <w:tab/>
            </w:r>
            <w:r w:rsidR="000107EF">
              <w:rPr>
                <w:noProof/>
                <w:webHidden/>
              </w:rPr>
              <w:fldChar w:fldCharType="begin"/>
            </w:r>
            <w:r w:rsidR="000107EF">
              <w:rPr>
                <w:noProof/>
                <w:webHidden/>
              </w:rPr>
              <w:instrText xml:space="preserve"> PAGEREF _Toc131503860 \h </w:instrText>
            </w:r>
            <w:r w:rsidR="000107EF">
              <w:rPr>
                <w:noProof/>
                <w:webHidden/>
              </w:rPr>
            </w:r>
            <w:r w:rsidR="000107EF">
              <w:rPr>
                <w:noProof/>
                <w:webHidden/>
              </w:rPr>
              <w:fldChar w:fldCharType="separate"/>
            </w:r>
            <w:r w:rsidR="000107EF">
              <w:rPr>
                <w:noProof/>
                <w:webHidden/>
              </w:rPr>
              <w:t>68</w:t>
            </w:r>
            <w:r w:rsidR="000107EF">
              <w:rPr>
                <w:noProof/>
                <w:webHidden/>
              </w:rPr>
              <w:fldChar w:fldCharType="end"/>
            </w:r>
          </w:hyperlink>
        </w:p>
        <w:p w14:paraId="5BE8F123" w14:textId="73BEF7D6" w:rsidR="000107EF" w:rsidRDefault="00A44DE9">
          <w:pPr>
            <w:pStyle w:val="TOC4"/>
            <w:tabs>
              <w:tab w:val="left" w:pos="1320"/>
              <w:tab w:val="right" w:pos="9350"/>
            </w:tabs>
            <w:rPr>
              <w:rFonts w:asciiTheme="minorHAnsi" w:eastAsiaTheme="minorEastAsia" w:hAnsiTheme="minorHAnsi" w:cstheme="minorBidi"/>
              <w:noProof/>
              <w:sz w:val="22"/>
              <w:szCs w:val="22"/>
            </w:rPr>
          </w:pPr>
          <w:hyperlink w:anchor="_Toc131503861" w:history="1">
            <w:r w:rsidR="000107EF" w:rsidRPr="00F20EBD">
              <w:rPr>
                <w:rStyle w:val="Hyperlink"/>
                <w:noProof/>
              </w:rPr>
              <w:t>1.</w:t>
            </w:r>
            <w:r w:rsidR="000107EF">
              <w:rPr>
                <w:rFonts w:asciiTheme="minorHAnsi" w:eastAsiaTheme="minorEastAsia" w:hAnsiTheme="minorHAnsi" w:cstheme="minorBidi"/>
                <w:noProof/>
                <w:sz w:val="22"/>
                <w:szCs w:val="22"/>
              </w:rPr>
              <w:tab/>
            </w:r>
            <w:r w:rsidR="000107EF" w:rsidRPr="00F20EBD">
              <w:rPr>
                <w:rStyle w:val="Hyperlink"/>
                <w:noProof/>
              </w:rPr>
              <w:t>Research</w:t>
            </w:r>
            <w:r w:rsidR="000107EF">
              <w:rPr>
                <w:noProof/>
                <w:webHidden/>
              </w:rPr>
              <w:tab/>
            </w:r>
            <w:r w:rsidR="000107EF">
              <w:rPr>
                <w:noProof/>
                <w:webHidden/>
              </w:rPr>
              <w:fldChar w:fldCharType="begin"/>
            </w:r>
            <w:r w:rsidR="000107EF">
              <w:rPr>
                <w:noProof/>
                <w:webHidden/>
              </w:rPr>
              <w:instrText xml:space="preserve"> PAGEREF _Toc131503861 \h </w:instrText>
            </w:r>
            <w:r w:rsidR="000107EF">
              <w:rPr>
                <w:noProof/>
                <w:webHidden/>
              </w:rPr>
            </w:r>
            <w:r w:rsidR="000107EF">
              <w:rPr>
                <w:noProof/>
                <w:webHidden/>
              </w:rPr>
              <w:fldChar w:fldCharType="separate"/>
            </w:r>
            <w:r w:rsidR="000107EF">
              <w:rPr>
                <w:noProof/>
                <w:webHidden/>
              </w:rPr>
              <w:t>68</w:t>
            </w:r>
            <w:r w:rsidR="000107EF">
              <w:rPr>
                <w:noProof/>
                <w:webHidden/>
              </w:rPr>
              <w:fldChar w:fldCharType="end"/>
            </w:r>
          </w:hyperlink>
        </w:p>
        <w:p w14:paraId="1277A508" w14:textId="072704CA" w:rsidR="000107EF" w:rsidRDefault="00A44DE9">
          <w:pPr>
            <w:pStyle w:val="TOC4"/>
            <w:tabs>
              <w:tab w:val="left" w:pos="1320"/>
              <w:tab w:val="right" w:pos="9350"/>
            </w:tabs>
            <w:rPr>
              <w:rFonts w:asciiTheme="minorHAnsi" w:eastAsiaTheme="minorEastAsia" w:hAnsiTheme="minorHAnsi" w:cstheme="minorBidi"/>
              <w:noProof/>
              <w:sz w:val="22"/>
              <w:szCs w:val="22"/>
            </w:rPr>
          </w:pPr>
          <w:hyperlink w:anchor="_Toc131503862" w:history="1">
            <w:r w:rsidR="000107EF" w:rsidRPr="00F20EBD">
              <w:rPr>
                <w:rStyle w:val="Hyperlink"/>
                <w:noProof/>
              </w:rPr>
              <w:t>2.</w:t>
            </w:r>
            <w:r w:rsidR="000107EF">
              <w:rPr>
                <w:rFonts w:asciiTheme="minorHAnsi" w:eastAsiaTheme="minorEastAsia" w:hAnsiTheme="minorHAnsi" w:cstheme="minorBidi"/>
                <w:noProof/>
                <w:sz w:val="22"/>
                <w:szCs w:val="22"/>
              </w:rPr>
              <w:tab/>
            </w:r>
            <w:r w:rsidR="000107EF" w:rsidRPr="00F20EBD">
              <w:rPr>
                <w:rStyle w:val="Hyperlink"/>
                <w:noProof/>
              </w:rPr>
              <w:t>Stock Assessment</w:t>
            </w:r>
            <w:r w:rsidR="000107EF">
              <w:rPr>
                <w:noProof/>
                <w:webHidden/>
              </w:rPr>
              <w:tab/>
            </w:r>
            <w:r w:rsidR="000107EF">
              <w:rPr>
                <w:noProof/>
                <w:webHidden/>
              </w:rPr>
              <w:fldChar w:fldCharType="begin"/>
            </w:r>
            <w:r w:rsidR="000107EF">
              <w:rPr>
                <w:noProof/>
                <w:webHidden/>
              </w:rPr>
              <w:instrText xml:space="preserve"> PAGEREF _Toc131503862 \h </w:instrText>
            </w:r>
            <w:r w:rsidR="000107EF">
              <w:rPr>
                <w:noProof/>
                <w:webHidden/>
              </w:rPr>
            </w:r>
            <w:r w:rsidR="000107EF">
              <w:rPr>
                <w:noProof/>
                <w:webHidden/>
              </w:rPr>
              <w:fldChar w:fldCharType="separate"/>
            </w:r>
            <w:r w:rsidR="000107EF">
              <w:rPr>
                <w:noProof/>
                <w:webHidden/>
              </w:rPr>
              <w:t>68</w:t>
            </w:r>
            <w:r w:rsidR="000107EF">
              <w:rPr>
                <w:noProof/>
                <w:webHidden/>
              </w:rPr>
              <w:fldChar w:fldCharType="end"/>
            </w:r>
          </w:hyperlink>
        </w:p>
        <w:p w14:paraId="1302EB2B" w14:textId="2054C2D1" w:rsidR="000107EF" w:rsidRDefault="00A44DE9">
          <w:pPr>
            <w:pStyle w:val="TOC5"/>
            <w:rPr>
              <w:rFonts w:asciiTheme="minorHAnsi" w:eastAsiaTheme="minorEastAsia" w:hAnsiTheme="minorHAnsi" w:cstheme="minorBidi"/>
              <w:noProof/>
              <w:sz w:val="22"/>
              <w:szCs w:val="22"/>
            </w:rPr>
          </w:pPr>
          <w:hyperlink w:anchor="_Toc131503863" w:history="1">
            <w:r w:rsidR="000107EF" w:rsidRPr="00F20EBD">
              <w:rPr>
                <w:rStyle w:val="Hyperlink"/>
                <w:noProof/>
              </w:rPr>
              <w:t>Gulf of Alaska – ABL</w:t>
            </w:r>
            <w:r w:rsidR="000107EF">
              <w:rPr>
                <w:noProof/>
                <w:webHidden/>
              </w:rPr>
              <w:tab/>
            </w:r>
            <w:r w:rsidR="000107EF">
              <w:rPr>
                <w:noProof/>
                <w:webHidden/>
              </w:rPr>
              <w:fldChar w:fldCharType="begin"/>
            </w:r>
            <w:r w:rsidR="000107EF">
              <w:rPr>
                <w:noProof/>
                <w:webHidden/>
              </w:rPr>
              <w:instrText xml:space="preserve"> PAGEREF _Toc131503863 \h </w:instrText>
            </w:r>
            <w:r w:rsidR="000107EF">
              <w:rPr>
                <w:noProof/>
                <w:webHidden/>
              </w:rPr>
            </w:r>
            <w:r w:rsidR="000107EF">
              <w:rPr>
                <w:noProof/>
                <w:webHidden/>
              </w:rPr>
              <w:fldChar w:fldCharType="separate"/>
            </w:r>
            <w:r w:rsidR="000107EF">
              <w:rPr>
                <w:noProof/>
                <w:webHidden/>
              </w:rPr>
              <w:t>68</w:t>
            </w:r>
            <w:r w:rsidR="000107EF">
              <w:rPr>
                <w:noProof/>
                <w:webHidden/>
              </w:rPr>
              <w:fldChar w:fldCharType="end"/>
            </w:r>
          </w:hyperlink>
        </w:p>
        <w:p w14:paraId="72047A21" w14:textId="42E2B802" w:rsidR="000107EF" w:rsidRDefault="00A44DE9">
          <w:pPr>
            <w:pStyle w:val="TOC3"/>
            <w:tabs>
              <w:tab w:val="left" w:pos="960"/>
              <w:tab w:val="right" w:pos="9350"/>
            </w:tabs>
            <w:rPr>
              <w:rFonts w:asciiTheme="minorHAnsi" w:eastAsiaTheme="minorEastAsia" w:hAnsiTheme="minorHAnsi" w:cstheme="minorBidi"/>
              <w:noProof/>
              <w:sz w:val="22"/>
              <w:szCs w:val="22"/>
            </w:rPr>
          </w:pPr>
          <w:hyperlink w:anchor="_Toc131503864" w:history="1">
            <w:r w:rsidR="000107EF" w:rsidRPr="00F20EBD">
              <w:rPr>
                <w:rStyle w:val="Hyperlink"/>
                <w:noProof/>
              </w:rPr>
              <w:t>J.</w:t>
            </w:r>
            <w:r w:rsidR="000107EF">
              <w:rPr>
                <w:rFonts w:asciiTheme="minorHAnsi" w:eastAsiaTheme="minorEastAsia" w:hAnsiTheme="minorHAnsi" w:cstheme="minorBidi"/>
                <w:noProof/>
                <w:sz w:val="22"/>
                <w:szCs w:val="22"/>
              </w:rPr>
              <w:tab/>
            </w:r>
            <w:r w:rsidR="000107EF" w:rsidRPr="00F20EBD">
              <w:rPr>
                <w:rStyle w:val="Hyperlink"/>
                <w:noProof/>
              </w:rPr>
              <w:t>Sablefish</w:t>
            </w:r>
            <w:r w:rsidR="000107EF">
              <w:rPr>
                <w:noProof/>
                <w:webHidden/>
              </w:rPr>
              <w:tab/>
            </w:r>
            <w:r w:rsidR="000107EF">
              <w:rPr>
                <w:noProof/>
                <w:webHidden/>
              </w:rPr>
              <w:fldChar w:fldCharType="begin"/>
            </w:r>
            <w:r w:rsidR="000107EF">
              <w:rPr>
                <w:noProof/>
                <w:webHidden/>
              </w:rPr>
              <w:instrText xml:space="preserve"> PAGEREF _Toc131503864 \h </w:instrText>
            </w:r>
            <w:r w:rsidR="000107EF">
              <w:rPr>
                <w:noProof/>
                <w:webHidden/>
              </w:rPr>
            </w:r>
            <w:r w:rsidR="000107EF">
              <w:rPr>
                <w:noProof/>
                <w:webHidden/>
              </w:rPr>
              <w:fldChar w:fldCharType="separate"/>
            </w:r>
            <w:r w:rsidR="000107EF">
              <w:rPr>
                <w:noProof/>
                <w:webHidden/>
              </w:rPr>
              <w:t>68</w:t>
            </w:r>
            <w:r w:rsidR="000107EF">
              <w:rPr>
                <w:noProof/>
                <w:webHidden/>
              </w:rPr>
              <w:fldChar w:fldCharType="end"/>
            </w:r>
          </w:hyperlink>
        </w:p>
        <w:p w14:paraId="30CE35F5" w14:textId="6130310A" w:rsidR="000107EF" w:rsidRDefault="00A44DE9">
          <w:pPr>
            <w:pStyle w:val="TOC4"/>
            <w:tabs>
              <w:tab w:val="left" w:pos="1320"/>
              <w:tab w:val="right" w:pos="9350"/>
            </w:tabs>
            <w:rPr>
              <w:rFonts w:asciiTheme="minorHAnsi" w:eastAsiaTheme="minorEastAsia" w:hAnsiTheme="minorHAnsi" w:cstheme="minorBidi"/>
              <w:noProof/>
              <w:sz w:val="22"/>
              <w:szCs w:val="22"/>
            </w:rPr>
          </w:pPr>
          <w:hyperlink w:anchor="_Toc131503865" w:history="1">
            <w:r w:rsidR="000107EF" w:rsidRPr="00F20EBD">
              <w:rPr>
                <w:rStyle w:val="Hyperlink"/>
                <w:noProof/>
              </w:rPr>
              <w:t>1.</w:t>
            </w:r>
            <w:r w:rsidR="000107EF">
              <w:rPr>
                <w:rFonts w:asciiTheme="minorHAnsi" w:eastAsiaTheme="minorEastAsia" w:hAnsiTheme="minorHAnsi" w:cstheme="minorBidi"/>
                <w:noProof/>
                <w:sz w:val="22"/>
                <w:szCs w:val="22"/>
              </w:rPr>
              <w:tab/>
            </w:r>
            <w:r w:rsidR="000107EF" w:rsidRPr="00F20EBD">
              <w:rPr>
                <w:rStyle w:val="Hyperlink"/>
                <w:noProof/>
              </w:rPr>
              <w:t>Research</w:t>
            </w:r>
            <w:r w:rsidR="000107EF">
              <w:rPr>
                <w:noProof/>
                <w:webHidden/>
              </w:rPr>
              <w:tab/>
            </w:r>
            <w:r w:rsidR="000107EF">
              <w:rPr>
                <w:noProof/>
                <w:webHidden/>
              </w:rPr>
              <w:fldChar w:fldCharType="begin"/>
            </w:r>
            <w:r w:rsidR="000107EF">
              <w:rPr>
                <w:noProof/>
                <w:webHidden/>
              </w:rPr>
              <w:instrText xml:space="preserve"> PAGEREF _Toc131503865 \h </w:instrText>
            </w:r>
            <w:r w:rsidR="000107EF">
              <w:rPr>
                <w:noProof/>
                <w:webHidden/>
              </w:rPr>
            </w:r>
            <w:r w:rsidR="000107EF">
              <w:rPr>
                <w:noProof/>
                <w:webHidden/>
              </w:rPr>
              <w:fldChar w:fldCharType="separate"/>
            </w:r>
            <w:r w:rsidR="000107EF">
              <w:rPr>
                <w:noProof/>
                <w:webHidden/>
              </w:rPr>
              <w:t>68</w:t>
            </w:r>
            <w:r w:rsidR="000107EF">
              <w:rPr>
                <w:noProof/>
                <w:webHidden/>
              </w:rPr>
              <w:fldChar w:fldCharType="end"/>
            </w:r>
          </w:hyperlink>
        </w:p>
        <w:p w14:paraId="71F8B61E" w14:textId="3C3F4A50" w:rsidR="000107EF" w:rsidRDefault="00A44DE9">
          <w:pPr>
            <w:pStyle w:val="TOC5"/>
            <w:rPr>
              <w:rFonts w:asciiTheme="minorHAnsi" w:eastAsiaTheme="minorEastAsia" w:hAnsiTheme="minorHAnsi" w:cstheme="minorBidi"/>
              <w:noProof/>
              <w:sz w:val="22"/>
              <w:szCs w:val="22"/>
            </w:rPr>
          </w:pPr>
          <w:hyperlink w:anchor="_Toc131503866" w:history="1">
            <w:r w:rsidR="000107EF" w:rsidRPr="00F20EBD">
              <w:rPr>
                <w:rStyle w:val="Hyperlink"/>
                <w:noProof/>
              </w:rPr>
              <w:t>Coastwide Research for Sablefish – REFM and ABL</w:t>
            </w:r>
            <w:r w:rsidR="000107EF">
              <w:rPr>
                <w:noProof/>
                <w:webHidden/>
              </w:rPr>
              <w:tab/>
            </w:r>
            <w:r w:rsidR="000107EF">
              <w:rPr>
                <w:noProof/>
                <w:webHidden/>
              </w:rPr>
              <w:fldChar w:fldCharType="begin"/>
            </w:r>
            <w:r w:rsidR="000107EF">
              <w:rPr>
                <w:noProof/>
                <w:webHidden/>
              </w:rPr>
              <w:instrText xml:space="preserve"> PAGEREF _Toc131503866 \h </w:instrText>
            </w:r>
            <w:r w:rsidR="000107EF">
              <w:rPr>
                <w:noProof/>
                <w:webHidden/>
              </w:rPr>
            </w:r>
            <w:r w:rsidR="000107EF">
              <w:rPr>
                <w:noProof/>
                <w:webHidden/>
              </w:rPr>
              <w:fldChar w:fldCharType="separate"/>
            </w:r>
            <w:r w:rsidR="000107EF">
              <w:rPr>
                <w:noProof/>
                <w:webHidden/>
              </w:rPr>
              <w:t>69</w:t>
            </w:r>
            <w:r w:rsidR="000107EF">
              <w:rPr>
                <w:noProof/>
                <w:webHidden/>
              </w:rPr>
              <w:fldChar w:fldCharType="end"/>
            </w:r>
          </w:hyperlink>
        </w:p>
        <w:p w14:paraId="6D6F8CFD" w14:textId="4E93DF1C" w:rsidR="000107EF" w:rsidRDefault="00A44DE9">
          <w:pPr>
            <w:pStyle w:val="TOC5"/>
            <w:rPr>
              <w:rFonts w:asciiTheme="minorHAnsi" w:eastAsiaTheme="minorEastAsia" w:hAnsiTheme="minorHAnsi" w:cstheme="minorBidi"/>
              <w:noProof/>
              <w:sz w:val="22"/>
              <w:szCs w:val="22"/>
            </w:rPr>
          </w:pPr>
          <w:hyperlink w:anchor="_Toc131503867" w:history="1">
            <w:r w:rsidR="000107EF" w:rsidRPr="00F20EBD">
              <w:rPr>
                <w:rStyle w:val="Hyperlink"/>
                <w:noProof/>
              </w:rPr>
              <w:t>2022 slinky pot and hook-and-line experiment on the NMFS sablefish longline survey – ABL</w:t>
            </w:r>
            <w:r w:rsidR="000107EF">
              <w:rPr>
                <w:noProof/>
                <w:webHidden/>
              </w:rPr>
              <w:tab/>
            </w:r>
            <w:r w:rsidR="000107EF">
              <w:rPr>
                <w:noProof/>
                <w:webHidden/>
              </w:rPr>
              <w:fldChar w:fldCharType="begin"/>
            </w:r>
            <w:r w:rsidR="000107EF">
              <w:rPr>
                <w:noProof/>
                <w:webHidden/>
              </w:rPr>
              <w:instrText xml:space="preserve"> PAGEREF _Toc131503867 \h </w:instrText>
            </w:r>
            <w:r w:rsidR="000107EF">
              <w:rPr>
                <w:noProof/>
                <w:webHidden/>
              </w:rPr>
            </w:r>
            <w:r w:rsidR="000107EF">
              <w:rPr>
                <w:noProof/>
                <w:webHidden/>
              </w:rPr>
              <w:fldChar w:fldCharType="separate"/>
            </w:r>
            <w:r w:rsidR="000107EF">
              <w:rPr>
                <w:noProof/>
                <w:webHidden/>
              </w:rPr>
              <w:t>69</w:t>
            </w:r>
            <w:r w:rsidR="000107EF">
              <w:rPr>
                <w:noProof/>
                <w:webHidden/>
              </w:rPr>
              <w:fldChar w:fldCharType="end"/>
            </w:r>
          </w:hyperlink>
        </w:p>
        <w:p w14:paraId="6B80BBEB" w14:textId="73A6CE5B" w:rsidR="000107EF" w:rsidRDefault="00A44DE9">
          <w:pPr>
            <w:pStyle w:val="TOC5"/>
            <w:rPr>
              <w:rFonts w:asciiTheme="minorHAnsi" w:eastAsiaTheme="minorEastAsia" w:hAnsiTheme="minorHAnsi" w:cstheme="minorBidi"/>
              <w:noProof/>
              <w:sz w:val="22"/>
              <w:szCs w:val="22"/>
            </w:rPr>
          </w:pPr>
          <w:hyperlink w:anchor="_Toc131503868" w:history="1">
            <w:r w:rsidR="000107EF" w:rsidRPr="00F20EBD">
              <w:rPr>
                <w:rStyle w:val="Hyperlink"/>
                <w:noProof/>
              </w:rPr>
              <w:t>Groundfish Tag Program – ABL</w:t>
            </w:r>
            <w:r w:rsidR="000107EF">
              <w:rPr>
                <w:noProof/>
                <w:webHidden/>
              </w:rPr>
              <w:tab/>
            </w:r>
            <w:r w:rsidR="000107EF">
              <w:rPr>
                <w:noProof/>
                <w:webHidden/>
              </w:rPr>
              <w:fldChar w:fldCharType="begin"/>
            </w:r>
            <w:r w:rsidR="000107EF">
              <w:rPr>
                <w:noProof/>
                <w:webHidden/>
              </w:rPr>
              <w:instrText xml:space="preserve"> PAGEREF _Toc131503868 \h </w:instrText>
            </w:r>
            <w:r w:rsidR="000107EF">
              <w:rPr>
                <w:noProof/>
                <w:webHidden/>
              </w:rPr>
            </w:r>
            <w:r w:rsidR="000107EF">
              <w:rPr>
                <w:noProof/>
                <w:webHidden/>
              </w:rPr>
              <w:fldChar w:fldCharType="separate"/>
            </w:r>
            <w:r w:rsidR="000107EF">
              <w:rPr>
                <w:noProof/>
                <w:webHidden/>
              </w:rPr>
              <w:t>71</w:t>
            </w:r>
            <w:r w:rsidR="000107EF">
              <w:rPr>
                <w:noProof/>
                <w:webHidden/>
              </w:rPr>
              <w:fldChar w:fldCharType="end"/>
            </w:r>
          </w:hyperlink>
        </w:p>
        <w:p w14:paraId="44B629DF" w14:textId="05680109" w:rsidR="000107EF" w:rsidRDefault="00A44DE9">
          <w:pPr>
            <w:pStyle w:val="TOC5"/>
            <w:rPr>
              <w:rFonts w:asciiTheme="minorHAnsi" w:eastAsiaTheme="minorEastAsia" w:hAnsiTheme="minorHAnsi" w:cstheme="minorBidi"/>
              <w:noProof/>
              <w:sz w:val="22"/>
              <w:szCs w:val="22"/>
            </w:rPr>
          </w:pPr>
          <w:hyperlink w:anchor="_Toc131503869" w:history="1">
            <w:r w:rsidR="000107EF" w:rsidRPr="00F20EBD">
              <w:rPr>
                <w:rStyle w:val="Hyperlink"/>
                <w:noProof/>
              </w:rPr>
              <w:t>Juvenile Sablefish Studies – ABL</w:t>
            </w:r>
            <w:r w:rsidR="000107EF">
              <w:rPr>
                <w:noProof/>
                <w:webHidden/>
              </w:rPr>
              <w:tab/>
            </w:r>
            <w:r w:rsidR="000107EF">
              <w:rPr>
                <w:noProof/>
                <w:webHidden/>
              </w:rPr>
              <w:fldChar w:fldCharType="begin"/>
            </w:r>
            <w:r w:rsidR="000107EF">
              <w:rPr>
                <w:noProof/>
                <w:webHidden/>
              </w:rPr>
              <w:instrText xml:space="preserve"> PAGEREF _Toc131503869 \h </w:instrText>
            </w:r>
            <w:r w:rsidR="000107EF">
              <w:rPr>
                <w:noProof/>
                <w:webHidden/>
              </w:rPr>
            </w:r>
            <w:r w:rsidR="000107EF">
              <w:rPr>
                <w:noProof/>
                <w:webHidden/>
              </w:rPr>
              <w:fldChar w:fldCharType="separate"/>
            </w:r>
            <w:r w:rsidR="000107EF">
              <w:rPr>
                <w:noProof/>
                <w:webHidden/>
              </w:rPr>
              <w:t>71</w:t>
            </w:r>
            <w:r w:rsidR="000107EF">
              <w:rPr>
                <w:noProof/>
                <w:webHidden/>
              </w:rPr>
              <w:fldChar w:fldCharType="end"/>
            </w:r>
          </w:hyperlink>
        </w:p>
        <w:p w14:paraId="1B712176" w14:textId="37232E42" w:rsidR="000107EF" w:rsidRDefault="00A44DE9">
          <w:pPr>
            <w:pStyle w:val="TOC5"/>
            <w:rPr>
              <w:rFonts w:asciiTheme="minorHAnsi" w:eastAsiaTheme="minorEastAsia" w:hAnsiTheme="minorHAnsi" w:cstheme="minorBidi"/>
              <w:noProof/>
              <w:sz w:val="22"/>
              <w:szCs w:val="22"/>
            </w:rPr>
          </w:pPr>
          <w:hyperlink w:anchor="_Toc131503870" w:history="1">
            <w:r w:rsidR="000107EF" w:rsidRPr="00F20EBD">
              <w:rPr>
                <w:rStyle w:val="Hyperlink"/>
                <w:noProof/>
              </w:rPr>
              <w:t>Ontogenetic Shifts in Sablefish Diet – ABL</w:t>
            </w:r>
            <w:r w:rsidR="000107EF">
              <w:rPr>
                <w:noProof/>
                <w:webHidden/>
              </w:rPr>
              <w:tab/>
            </w:r>
            <w:r w:rsidR="000107EF">
              <w:rPr>
                <w:noProof/>
                <w:webHidden/>
              </w:rPr>
              <w:fldChar w:fldCharType="begin"/>
            </w:r>
            <w:r w:rsidR="000107EF">
              <w:rPr>
                <w:noProof/>
                <w:webHidden/>
              </w:rPr>
              <w:instrText xml:space="preserve"> PAGEREF _Toc131503870 \h </w:instrText>
            </w:r>
            <w:r w:rsidR="000107EF">
              <w:rPr>
                <w:noProof/>
                <w:webHidden/>
              </w:rPr>
            </w:r>
            <w:r w:rsidR="000107EF">
              <w:rPr>
                <w:noProof/>
                <w:webHidden/>
              </w:rPr>
              <w:fldChar w:fldCharType="separate"/>
            </w:r>
            <w:r w:rsidR="000107EF">
              <w:rPr>
                <w:noProof/>
                <w:webHidden/>
              </w:rPr>
              <w:t>71</w:t>
            </w:r>
            <w:r w:rsidR="000107EF">
              <w:rPr>
                <w:noProof/>
                <w:webHidden/>
              </w:rPr>
              <w:fldChar w:fldCharType="end"/>
            </w:r>
          </w:hyperlink>
        </w:p>
        <w:p w14:paraId="5E1D705A" w14:textId="30A8439A" w:rsidR="000107EF" w:rsidRDefault="00A44DE9">
          <w:pPr>
            <w:pStyle w:val="TOC5"/>
            <w:rPr>
              <w:rFonts w:asciiTheme="minorHAnsi" w:eastAsiaTheme="minorEastAsia" w:hAnsiTheme="minorHAnsi" w:cstheme="minorBidi"/>
              <w:noProof/>
              <w:sz w:val="22"/>
              <w:szCs w:val="22"/>
            </w:rPr>
          </w:pPr>
          <w:hyperlink w:anchor="_Toc131503871" w:history="1">
            <w:r w:rsidR="000107EF" w:rsidRPr="00F20EBD">
              <w:rPr>
                <w:rStyle w:val="Hyperlink"/>
                <w:noProof/>
              </w:rPr>
              <w:t>Young of the Year Sablefish Feeding Ecology and Growth – ABL</w:t>
            </w:r>
            <w:r w:rsidR="000107EF">
              <w:rPr>
                <w:noProof/>
                <w:webHidden/>
              </w:rPr>
              <w:tab/>
            </w:r>
            <w:r w:rsidR="000107EF">
              <w:rPr>
                <w:noProof/>
                <w:webHidden/>
              </w:rPr>
              <w:fldChar w:fldCharType="begin"/>
            </w:r>
            <w:r w:rsidR="000107EF">
              <w:rPr>
                <w:noProof/>
                <w:webHidden/>
              </w:rPr>
              <w:instrText xml:space="preserve"> PAGEREF _Toc131503871 \h </w:instrText>
            </w:r>
            <w:r w:rsidR="000107EF">
              <w:rPr>
                <w:noProof/>
                <w:webHidden/>
              </w:rPr>
            </w:r>
            <w:r w:rsidR="000107EF">
              <w:rPr>
                <w:noProof/>
                <w:webHidden/>
              </w:rPr>
              <w:fldChar w:fldCharType="separate"/>
            </w:r>
            <w:r w:rsidR="000107EF">
              <w:rPr>
                <w:noProof/>
                <w:webHidden/>
              </w:rPr>
              <w:t>72</w:t>
            </w:r>
            <w:r w:rsidR="000107EF">
              <w:rPr>
                <w:noProof/>
                <w:webHidden/>
              </w:rPr>
              <w:fldChar w:fldCharType="end"/>
            </w:r>
          </w:hyperlink>
        </w:p>
        <w:p w14:paraId="2A6C0749" w14:textId="34AB18F9" w:rsidR="000107EF" w:rsidRDefault="00A44DE9">
          <w:pPr>
            <w:pStyle w:val="TOC5"/>
            <w:rPr>
              <w:rFonts w:asciiTheme="minorHAnsi" w:eastAsiaTheme="minorEastAsia" w:hAnsiTheme="minorHAnsi" w:cstheme="minorBidi"/>
              <w:noProof/>
              <w:sz w:val="22"/>
              <w:szCs w:val="22"/>
            </w:rPr>
          </w:pPr>
          <w:hyperlink w:anchor="_Toc131503872" w:history="1">
            <w:r w:rsidR="000107EF" w:rsidRPr="00F20EBD">
              <w:rPr>
                <w:rStyle w:val="Hyperlink"/>
                <w:noProof/>
              </w:rPr>
              <w:t>Sablefish Point of No Return Studies – RPP</w:t>
            </w:r>
            <w:r w:rsidR="000107EF">
              <w:rPr>
                <w:noProof/>
                <w:webHidden/>
              </w:rPr>
              <w:tab/>
            </w:r>
            <w:r w:rsidR="000107EF">
              <w:rPr>
                <w:noProof/>
                <w:webHidden/>
              </w:rPr>
              <w:fldChar w:fldCharType="begin"/>
            </w:r>
            <w:r w:rsidR="000107EF">
              <w:rPr>
                <w:noProof/>
                <w:webHidden/>
              </w:rPr>
              <w:instrText xml:space="preserve"> PAGEREF _Toc131503872 \h </w:instrText>
            </w:r>
            <w:r w:rsidR="000107EF">
              <w:rPr>
                <w:noProof/>
                <w:webHidden/>
              </w:rPr>
            </w:r>
            <w:r w:rsidR="000107EF">
              <w:rPr>
                <w:noProof/>
                <w:webHidden/>
              </w:rPr>
              <w:fldChar w:fldCharType="separate"/>
            </w:r>
            <w:r w:rsidR="000107EF">
              <w:rPr>
                <w:noProof/>
                <w:webHidden/>
              </w:rPr>
              <w:t>72</w:t>
            </w:r>
            <w:r w:rsidR="000107EF">
              <w:rPr>
                <w:noProof/>
                <w:webHidden/>
              </w:rPr>
              <w:fldChar w:fldCharType="end"/>
            </w:r>
          </w:hyperlink>
        </w:p>
        <w:p w14:paraId="0D604627" w14:textId="272DA9FA" w:rsidR="000107EF" w:rsidRDefault="00A44DE9">
          <w:pPr>
            <w:pStyle w:val="TOC4"/>
            <w:tabs>
              <w:tab w:val="left" w:pos="1320"/>
              <w:tab w:val="right" w:pos="9350"/>
            </w:tabs>
            <w:rPr>
              <w:rFonts w:asciiTheme="minorHAnsi" w:eastAsiaTheme="minorEastAsia" w:hAnsiTheme="minorHAnsi" w:cstheme="minorBidi"/>
              <w:noProof/>
              <w:sz w:val="22"/>
              <w:szCs w:val="22"/>
            </w:rPr>
          </w:pPr>
          <w:hyperlink w:anchor="_Toc131503873" w:history="1">
            <w:r w:rsidR="000107EF" w:rsidRPr="00F20EBD">
              <w:rPr>
                <w:rStyle w:val="Hyperlink"/>
                <w:noProof/>
              </w:rPr>
              <w:t>2.</w:t>
            </w:r>
            <w:r w:rsidR="000107EF">
              <w:rPr>
                <w:rFonts w:asciiTheme="minorHAnsi" w:eastAsiaTheme="minorEastAsia" w:hAnsiTheme="minorHAnsi" w:cstheme="minorBidi"/>
                <w:noProof/>
                <w:sz w:val="22"/>
                <w:szCs w:val="22"/>
              </w:rPr>
              <w:tab/>
            </w:r>
            <w:r w:rsidR="000107EF" w:rsidRPr="00F20EBD">
              <w:rPr>
                <w:rStyle w:val="Hyperlink"/>
                <w:noProof/>
              </w:rPr>
              <w:t>Stock Assessment</w:t>
            </w:r>
            <w:r w:rsidR="000107EF">
              <w:rPr>
                <w:noProof/>
                <w:webHidden/>
              </w:rPr>
              <w:tab/>
            </w:r>
            <w:r w:rsidR="000107EF">
              <w:rPr>
                <w:noProof/>
                <w:webHidden/>
              </w:rPr>
              <w:fldChar w:fldCharType="begin"/>
            </w:r>
            <w:r w:rsidR="000107EF">
              <w:rPr>
                <w:noProof/>
                <w:webHidden/>
              </w:rPr>
              <w:instrText xml:space="preserve"> PAGEREF _Toc131503873 \h </w:instrText>
            </w:r>
            <w:r w:rsidR="000107EF">
              <w:rPr>
                <w:noProof/>
                <w:webHidden/>
              </w:rPr>
            </w:r>
            <w:r w:rsidR="000107EF">
              <w:rPr>
                <w:noProof/>
                <w:webHidden/>
              </w:rPr>
              <w:fldChar w:fldCharType="separate"/>
            </w:r>
            <w:r w:rsidR="000107EF">
              <w:rPr>
                <w:noProof/>
                <w:webHidden/>
              </w:rPr>
              <w:t>72</w:t>
            </w:r>
            <w:r w:rsidR="000107EF">
              <w:rPr>
                <w:noProof/>
                <w:webHidden/>
              </w:rPr>
              <w:fldChar w:fldCharType="end"/>
            </w:r>
          </w:hyperlink>
        </w:p>
        <w:p w14:paraId="416FF659" w14:textId="124CAB6D" w:rsidR="000107EF" w:rsidRDefault="00A44DE9">
          <w:pPr>
            <w:pStyle w:val="TOC5"/>
            <w:rPr>
              <w:rFonts w:asciiTheme="minorHAnsi" w:eastAsiaTheme="minorEastAsia" w:hAnsiTheme="minorHAnsi" w:cstheme="minorBidi"/>
              <w:noProof/>
              <w:sz w:val="22"/>
              <w:szCs w:val="22"/>
            </w:rPr>
          </w:pPr>
          <w:hyperlink w:anchor="_Toc131503874" w:history="1">
            <w:r w:rsidR="000107EF" w:rsidRPr="00F20EBD">
              <w:rPr>
                <w:rStyle w:val="Hyperlink"/>
                <w:noProof/>
              </w:rPr>
              <w:t>Sablefish in the Bering Sea, Aleutian Islands, and Gulf of Alaska – ABL</w:t>
            </w:r>
            <w:r w:rsidR="000107EF">
              <w:rPr>
                <w:noProof/>
                <w:webHidden/>
              </w:rPr>
              <w:tab/>
            </w:r>
            <w:r w:rsidR="000107EF">
              <w:rPr>
                <w:noProof/>
                <w:webHidden/>
              </w:rPr>
              <w:fldChar w:fldCharType="begin"/>
            </w:r>
            <w:r w:rsidR="000107EF">
              <w:rPr>
                <w:noProof/>
                <w:webHidden/>
              </w:rPr>
              <w:instrText xml:space="preserve"> PAGEREF _Toc131503874 \h </w:instrText>
            </w:r>
            <w:r w:rsidR="000107EF">
              <w:rPr>
                <w:noProof/>
                <w:webHidden/>
              </w:rPr>
            </w:r>
            <w:r w:rsidR="000107EF">
              <w:rPr>
                <w:noProof/>
                <w:webHidden/>
              </w:rPr>
              <w:fldChar w:fldCharType="separate"/>
            </w:r>
            <w:r w:rsidR="000107EF">
              <w:rPr>
                <w:noProof/>
                <w:webHidden/>
              </w:rPr>
              <w:t>72</w:t>
            </w:r>
            <w:r w:rsidR="000107EF">
              <w:rPr>
                <w:noProof/>
                <w:webHidden/>
              </w:rPr>
              <w:fldChar w:fldCharType="end"/>
            </w:r>
          </w:hyperlink>
        </w:p>
        <w:p w14:paraId="7F4A864D" w14:textId="6CB1BC26" w:rsidR="000107EF" w:rsidRDefault="00A44DE9">
          <w:pPr>
            <w:pStyle w:val="TOC5"/>
            <w:rPr>
              <w:rFonts w:asciiTheme="minorHAnsi" w:eastAsiaTheme="minorEastAsia" w:hAnsiTheme="minorHAnsi" w:cstheme="minorBidi"/>
              <w:noProof/>
              <w:sz w:val="22"/>
              <w:szCs w:val="22"/>
            </w:rPr>
          </w:pPr>
          <w:hyperlink w:anchor="_Toc131503875" w:history="1">
            <w:r w:rsidR="000107EF" w:rsidRPr="00F20EBD">
              <w:rPr>
                <w:rStyle w:val="Hyperlink"/>
                <w:noProof/>
              </w:rPr>
              <w:t>Sablefish Spatial Dynamics and Harvest Strategies – ABL</w:t>
            </w:r>
            <w:r w:rsidR="000107EF">
              <w:rPr>
                <w:noProof/>
                <w:webHidden/>
              </w:rPr>
              <w:tab/>
            </w:r>
            <w:r w:rsidR="000107EF">
              <w:rPr>
                <w:noProof/>
                <w:webHidden/>
              </w:rPr>
              <w:fldChar w:fldCharType="begin"/>
            </w:r>
            <w:r w:rsidR="000107EF">
              <w:rPr>
                <w:noProof/>
                <w:webHidden/>
              </w:rPr>
              <w:instrText xml:space="preserve"> PAGEREF _Toc131503875 \h </w:instrText>
            </w:r>
            <w:r w:rsidR="000107EF">
              <w:rPr>
                <w:noProof/>
                <w:webHidden/>
              </w:rPr>
            </w:r>
            <w:r w:rsidR="000107EF">
              <w:rPr>
                <w:noProof/>
                <w:webHidden/>
              </w:rPr>
              <w:fldChar w:fldCharType="separate"/>
            </w:r>
            <w:r w:rsidR="000107EF">
              <w:rPr>
                <w:noProof/>
                <w:webHidden/>
              </w:rPr>
              <w:t>73</w:t>
            </w:r>
            <w:r w:rsidR="000107EF">
              <w:rPr>
                <w:noProof/>
                <w:webHidden/>
              </w:rPr>
              <w:fldChar w:fldCharType="end"/>
            </w:r>
          </w:hyperlink>
        </w:p>
        <w:p w14:paraId="690F2D3C" w14:textId="017ECBED" w:rsidR="000107EF" w:rsidRDefault="00A44DE9">
          <w:pPr>
            <w:pStyle w:val="TOC3"/>
            <w:tabs>
              <w:tab w:val="left" w:pos="960"/>
              <w:tab w:val="right" w:pos="9350"/>
            </w:tabs>
            <w:rPr>
              <w:rFonts w:asciiTheme="minorHAnsi" w:eastAsiaTheme="minorEastAsia" w:hAnsiTheme="minorHAnsi" w:cstheme="minorBidi"/>
              <w:noProof/>
              <w:sz w:val="22"/>
              <w:szCs w:val="22"/>
            </w:rPr>
          </w:pPr>
          <w:hyperlink w:anchor="_Toc131503876" w:history="1">
            <w:r w:rsidR="000107EF" w:rsidRPr="00F20EBD">
              <w:rPr>
                <w:rStyle w:val="Hyperlink"/>
                <w:noProof/>
              </w:rPr>
              <w:t>K.</w:t>
            </w:r>
            <w:r w:rsidR="000107EF">
              <w:rPr>
                <w:rFonts w:asciiTheme="minorHAnsi" w:eastAsiaTheme="minorEastAsia" w:hAnsiTheme="minorHAnsi" w:cstheme="minorBidi"/>
                <w:noProof/>
                <w:sz w:val="22"/>
                <w:szCs w:val="22"/>
              </w:rPr>
              <w:tab/>
            </w:r>
            <w:r w:rsidR="000107EF" w:rsidRPr="00F20EBD">
              <w:rPr>
                <w:rStyle w:val="Hyperlink"/>
                <w:noProof/>
              </w:rPr>
              <w:t>Lingcod</w:t>
            </w:r>
            <w:r w:rsidR="000107EF">
              <w:rPr>
                <w:noProof/>
                <w:webHidden/>
              </w:rPr>
              <w:tab/>
            </w:r>
            <w:r w:rsidR="000107EF">
              <w:rPr>
                <w:noProof/>
                <w:webHidden/>
              </w:rPr>
              <w:fldChar w:fldCharType="begin"/>
            </w:r>
            <w:r w:rsidR="000107EF">
              <w:rPr>
                <w:noProof/>
                <w:webHidden/>
              </w:rPr>
              <w:instrText xml:space="preserve"> PAGEREF _Toc131503876 \h </w:instrText>
            </w:r>
            <w:r w:rsidR="000107EF">
              <w:rPr>
                <w:noProof/>
                <w:webHidden/>
              </w:rPr>
            </w:r>
            <w:r w:rsidR="000107EF">
              <w:rPr>
                <w:noProof/>
                <w:webHidden/>
              </w:rPr>
              <w:fldChar w:fldCharType="separate"/>
            </w:r>
            <w:r w:rsidR="000107EF">
              <w:rPr>
                <w:noProof/>
                <w:webHidden/>
              </w:rPr>
              <w:t>74</w:t>
            </w:r>
            <w:r w:rsidR="000107EF">
              <w:rPr>
                <w:noProof/>
                <w:webHidden/>
              </w:rPr>
              <w:fldChar w:fldCharType="end"/>
            </w:r>
          </w:hyperlink>
        </w:p>
        <w:p w14:paraId="06473AFB" w14:textId="78850F5E" w:rsidR="000107EF" w:rsidRDefault="00A44DE9">
          <w:pPr>
            <w:pStyle w:val="TOC3"/>
            <w:tabs>
              <w:tab w:val="left" w:pos="960"/>
              <w:tab w:val="right" w:pos="9350"/>
            </w:tabs>
            <w:rPr>
              <w:rFonts w:asciiTheme="minorHAnsi" w:eastAsiaTheme="minorEastAsia" w:hAnsiTheme="minorHAnsi" w:cstheme="minorBidi"/>
              <w:noProof/>
              <w:sz w:val="22"/>
              <w:szCs w:val="22"/>
            </w:rPr>
          </w:pPr>
          <w:hyperlink w:anchor="_Toc131503877" w:history="1">
            <w:r w:rsidR="000107EF" w:rsidRPr="00F20EBD">
              <w:rPr>
                <w:rStyle w:val="Hyperlink"/>
                <w:noProof/>
              </w:rPr>
              <w:t>L.</w:t>
            </w:r>
            <w:r w:rsidR="000107EF">
              <w:rPr>
                <w:rFonts w:asciiTheme="minorHAnsi" w:eastAsiaTheme="minorEastAsia" w:hAnsiTheme="minorHAnsi" w:cstheme="minorBidi"/>
                <w:noProof/>
                <w:sz w:val="22"/>
                <w:szCs w:val="22"/>
              </w:rPr>
              <w:tab/>
            </w:r>
            <w:r w:rsidR="000107EF" w:rsidRPr="00F20EBD">
              <w:rPr>
                <w:rStyle w:val="Hyperlink"/>
                <w:noProof/>
              </w:rPr>
              <w:t>Atka Mackerel</w:t>
            </w:r>
            <w:r w:rsidR="000107EF">
              <w:rPr>
                <w:noProof/>
                <w:webHidden/>
              </w:rPr>
              <w:tab/>
            </w:r>
            <w:r w:rsidR="000107EF">
              <w:rPr>
                <w:noProof/>
                <w:webHidden/>
              </w:rPr>
              <w:fldChar w:fldCharType="begin"/>
            </w:r>
            <w:r w:rsidR="000107EF">
              <w:rPr>
                <w:noProof/>
                <w:webHidden/>
              </w:rPr>
              <w:instrText xml:space="preserve"> PAGEREF _Toc131503877 \h </w:instrText>
            </w:r>
            <w:r w:rsidR="000107EF">
              <w:rPr>
                <w:noProof/>
                <w:webHidden/>
              </w:rPr>
            </w:r>
            <w:r w:rsidR="000107EF">
              <w:rPr>
                <w:noProof/>
                <w:webHidden/>
              </w:rPr>
              <w:fldChar w:fldCharType="separate"/>
            </w:r>
            <w:r w:rsidR="000107EF">
              <w:rPr>
                <w:noProof/>
                <w:webHidden/>
              </w:rPr>
              <w:t>74</w:t>
            </w:r>
            <w:r w:rsidR="000107EF">
              <w:rPr>
                <w:noProof/>
                <w:webHidden/>
              </w:rPr>
              <w:fldChar w:fldCharType="end"/>
            </w:r>
          </w:hyperlink>
        </w:p>
        <w:p w14:paraId="75AE5D09" w14:textId="64862F66" w:rsidR="000107EF" w:rsidRDefault="00A44DE9">
          <w:pPr>
            <w:pStyle w:val="TOC4"/>
            <w:tabs>
              <w:tab w:val="left" w:pos="1320"/>
              <w:tab w:val="right" w:pos="9350"/>
            </w:tabs>
            <w:rPr>
              <w:rFonts w:asciiTheme="minorHAnsi" w:eastAsiaTheme="minorEastAsia" w:hAnsiTheme="minorHAnsi" w:cstheme="minorBidi"/>
              <w:noProof/>
              <w:sz w:val="22"/>
              <w:szCs w:val="22"/>
            </w:rPr>
          </w:pPr>
          <w:hyperlink w:anchor="_Toc131503878" w:history="1">
            <w:r w:rsidR="000107EF" w:rsidRPr="00F20EBD">
              <w:rPr>
                <w:rStyle w:val="Hyperlink"/>
                <w:noProof/>
              </w:rPr>
              <w:t>1.</w:t>
            </w:r>
            <w:r w:rsidR="000107EF">
              <w:rPr>
                <w:rFonts w:asciiTheme="minorHAnsi" w:eastAsiaTheme="minorEastAsia" w:hAnsiTheme="minorHAnsi" w:cstheme="minorBidi"/>
                <w:noProof/>
                <w:sz w:val="22"/>
                <w:szCs w:val="22"/>
              </w:rPr>
              <w:tab/>
            </w:r>
            <w:r w:rsidR="000107EF" w:rsidRPr="00F20EBD">
              <w:rPr>
                <w:rStyle w:val="Hyperlink"/>
                <w:noProof/>
              </w:rPr>
              <w:t>Research</w:t>
            </w:r>
            <w:r w:rsidR="000107EF">
              <w:rPr>
                <w:noProof/>
                <w:webHidden/>
              </w:rPr>
              <w:tab/>
            </w:r>
            <w:r w:rsidR="000107EF">
              <w:rPr>
                <w:noProof/>
                <w:webHidden/>
              </w:rPr>
              <w:fldChar w:fldCharType="begin"/>
            </w:r>
            <w:r w:rsidR="000107EF">
              <w:rPr>
                <w:noProof/>
                <w:webHidden/>
              </w:rPr>
              <w:instrText xml:space="preserve"> PAGEREF _Toc131503878 \h </w:instrText>
            </w:r>
            <w:r w:rsidR="000107EF">
              <w:rPr>
                <w:noProof/>
                <w:webHidden/>
              </w:rPr>
            </w:r>
            <w:r w:rsidR="000107EF">
              <w:rPr>
                <w:noProof/>
                <w:webHidden/>
              </w:rPr>
              <w:fldChar w:fldCharType="separate"/>
            </w:r>
            <w:r w:rsidR="000107EF">
              <w:rPr>
                <w:noProof/>
                <w:webHidden/>
              </w:rPr>
              <w:t>74</w:t>
            </w:r>
            <w:r w:rsidR="000107EF">
              <w:rPr>
                <w:noProof/>
                <w:webHidden/>
              </w:rPr>
              <w:fldChar w:fldCharType="end"/>
            </w:r>
          </w:hyperlink>
        </w:p>
        <w:p w14:paraId="3D3428C4" w14:textId="3C4F5D77" w:rsidR="000107EF" w:rsidRDefault="00A44DE9">
          <w:pPr>
            <w:pStyle w:val="TOC5"/>
            <w:rPr>
              <w:rFonts w:asciiTheme="minorHAnsi" w:eastAsiaTheme="minorEastAsia" w:hAnsiTheme="minorHAnsi" w:cstheme="minorBidi"/>
              <w:noProof/>
              <w:sz w:val="22"/>
              <w:szCs w:val="22"/>
            </w:rPr>
          </w:pPr>
          <w:hyperlink w:anchor="_Toc131503879" w:history="1">
            <w:r w:rsidR="000107EF" w:rsidRPr="00F20EBD">
              <w:rPr>
                <w:rStyle w:val="Hyperlink"/>
                <w:noProof/>
              </w:rPr>
              <w:t>Condition and Diet – ABL</w:t>
            </w:r>
            <w:r w:rsidR="000107EF">
              <w:rPr>
                <w:noProof/>
                <w:webHidden/>
              </w:rPr>
              <w:tab/>
            </w:r>
            <w:r w:rsidR="000107EF">
              <w:rPr>
                <w:noProof/>
                <w:webHidden/>
              </w:rPr>
              <w:fldChar w:fldCharType="begin"/>
            </w:r>
            <w:r w:rsidR="000107EF">
              <w:rPr>
                <w:noProof/>
                <w:webHidden/>
              </w:rPr>
              <w:instrText xml:space="preserve"> PAGEREF _Toc131503879 \h </w:instrText>
            </w:r>
            <w:r w:rsidR="000107EF">
              <w:rPr>
                <w:noProof/>
                <w:webHidden/>
              </w:rPr>
            </w:r>
            <w:r w:rsidR="000107EF">
              <w:rPr>
                <w:noProof/>
                <w:webHidden/>
              </w:rPr>
              <w:fldChar w:fldCharType="separate"/>
            </w:r>
            <w:r w:rsidR="000107EF">
              <w:rPr>
                <w:noProof/>
                <w:webHidden/>
              </w:rPr>
              <w:t>74</w:t>
            </w:r>
            <w:r w:rsidR="000107EF">
              <w:rPr>
                <w:noProof/>
                <w:webHidden/>
              </w:rPr>
              <w:fldChar w:fldCharType="end"/>
            </w:r>
          </w:hyperlink>
        </w:p>
        <w:p w14:paraId="150CC2D8" w14:textId="454A2CB5" w:rsidR="000107EF" w:rsidRDefault="00A44DE9">
          <w:pPr>
            <w:pStyle w:val="TOC4"/>
            <w:tabs>
              <w:tab w:val="left" w:pos="1320"/>
              <w:tab w:val="right" w:pos="9350"/>
            </w:tabs>
            <w:rPr>
              <w:rFonts w:asciiTheme="minorHAnsi" w:eastAsiaTheme="minorEastAsia" w:hAnsiTheme="minorHAnsi" w:cstheme="minorBidi"/>
              <w:noProof/>
              <w:sz w:val="22"/>
              <w:szCs w:val="22"/>
            </w:rPr>
          </w:pPr>
          <w:hyperlink w:anchor="_Toc131503880" w:history="1">
            <w:r w:rsidR="000107EF" w:rsidRPr="00F20EBD">
              <w:rPr>
                <w:rStyle w:val="Hyperlink"/>
                <w:noProof/>
              </w:rPr>
              <w:t>2.</w:t>
            </w:r>
            <w:r w:rsidR="000107EF">
              <w:rPr>
                <w:rFonts w:asciiTheme="minorHAnsi" w:eastAsiaTheme="minorEastAsia" w:hAnsiTheme="minorHAnsi" w:cstheme="minorBidi"/>
                <w:noProof/>
                <w:sz w:val="22"/>
                <w:szCs w:val="22"/>
              </w:rPr>
              <w:tab/>
            </w:r>
            <w:r w:rsidR="000107EF" w:rsidRPr="00F20EBD">
              <w:rPr>
                <w:rStyle w:val="Hyperlink"/>
                <w:noProof/>
              </w:rPr>
              <w:t>Stock Assessment</w:t>
            </w:r>
            <w:r w:rsidR="000107EF">
              <w:rPr>
                <w:noProof/>
                <w:webHidden/>
              </w:rPr>
              <w:tab/>
            </w:r>
            <w:r w:rsidR="000107EF">
              <w:rPr>
                <w:noProof/>
                <w:webHidden/>
              </w:rPr>
              <w:fldChar w:fldCharType="begin"/>
            </w:r>
            <w:r w:rsidR="000107EF">
              <w:rPr>
                <w:noProof/>
                <w:webHidden/>
              </w:rPr>
              <w:instrText xml:space="preserve"> PAGEREF _Toc131503880 \h </w:instrText>
            </w:r>
            <w:r w:rsidR="000107EF">
              <w:rPr>
                <w:noProof/>
                <w:webHidden/>
              </w:rPr>
            </w:r>
            <w:r w:rsidR="000107EF">
              <w:rPr>
                <w:noProof/>
                <w:webHidden/>
              </w:rPr>
              <w:fldChar w:fldCharType="separate"/>
            </w:r>
            <w:r w:rsidR="000107EF">
              <w:rPr>
                <w:noProof/>
                <w:webHidden/>
              </w:rPr>
              <w:t>74</w:t>
            </w:r>
            <w:r w:rsidR="000107EF">
              <w:rPr>
                <w:noProof/>
                <w:webHidden/>
              </w:rPr>
              <w:fldChar w:fldCharType="end"/>
            </w:r>
          </w:hyperlink>
        </w:p>
        <w:p w14:paraId="259B9191" w14:textId="66E333DF" w:rsidR="000107EF" w:rsidRDefault="00A44DE9">
          <w:pPr>
            <w:pStyle w:val="TOC5"/>
            <w:rPr>
              <w:rFonts w:asciiTheme="minorHAnsi" w:eastAsiaTheme="minorEastAsia" w:hAnsiTheme="minorHAnsi" w:cstheme="minorBidi"/>
              <w:noProof/>
              <w:sz w:val="22"/>
              <w:szCs w:val="22"/>
            </w:rPr>
          </w:pPr>
          <w:hyperlink w:anchor="_Toc131503881" w:history="1">
            <w:r w:rsidR="000107EF" w:rsidRPr="00F20EBD">
              <w:rPr>
                <w:rStyle w:val="Hyperlink"/>
                <w:noProof/>
              </w:rPr>
              <w:t>Bering Sea and Aleutian Islands – REFM</w:t>
            </w:r>
            <w:r w:rsidR="000107EF">
              <w:rPr>
                <w:noProof/>
                <w:webHidden/>
              </w:rPr>
              <w:tab/>
            </w:r>
            <w:r w:rsidR="000107EF">
              <w:rPr>
                <w:noProof/>
                <w:webHidden/>
              </w:rPr>
              <w:fldChar w:fldCharType="begin"/>
            </w:r>
            <w:r w:rsidR="000107EF">
              <w:rPr>
                <w:noProof/>
                <w:webHidden/>
              </w:rPr>
              <w:instrText xml:space="preserve"> PAGEREF _Toc131503881 \h </w:instrText>
            </w:r>
            <w:r w:rsidR="000107EF">
              <w:rPr>
                <w:noProof/>
                <w:webHidden/>
              </w:rPr>
            </w:r>
            <w:r w:rsidR="000107EF">
              <w:rPr>
                <w:noProof/>
                <w:webHidden/>
              </w:rPr>
              <w:fldChar w:fldCharType="separate"/>
            </w:r>
            <w:r w:rsidR="000107EF">
              <w:rPr>
                <w:noProof/>
                <w:webHidden/>
              </w:rPr>
              <w:t>74</w:t>
            </w:r>
            <w:r w:rsidR="000107EF">
              <w:rPr>
                <w:noProof/>
                <w:webHidden/>
              </w:rPr>
              <w:fldChar w:fldCharType="end"/>
            </w:r>
          </w:hyperlink>
        </w:p>
        <w:p w14:paraId="5C2C2AE3" w14:textId="5195E598" w:rsidR="000107EF" w:rsidRDefault="00A44DE9">
          <w:pPr>
            <w:pStyle w:val="TOC5"/>
            <w:rPr>
              <w:rFonts w:asciiTheme="minorHAnsi" w:eastAsiaTheme="minorEastAsia" w:hAnsiTheme="minorHAnsi" w:cstheme="minorBidi"/>
              <w:noProof/>
              <w:sz w:val="22"/>
              <w:szCs w:val="22"/>
            </w:rPr>
          </w:pPr>
          <w:hyperlink w:anchor="_Toc131503882" w:history="1">
            <w:r w:rsidR="000107EF" w:rsidRPr="00F20EBD">
              <w:rPr>
                <w:rStyle w:val="Hyperlink"/>
                <w:noProof/>
              </w:rPr>
              <w:t>Gulf of Alaska – REFM</w:t>
            </w:r>
            <w:r w:rsidR="000107EF">
              <w:rPr>
                <w:noProof/>
                <w:webHidden/>
              </w:rPr>
              <w:tab/>
            </w:r>
            <w:r w:rsidR="000107EF">
              <w:rPr>
                <w:noProof/>
                <w:webHidden/>
              </w:rPr>
              <w:fldChar w:fldCharType="begin"/>
            </w:r>
            <w:r w:rsidR="000107EF">
              <w:rPr>
                <w:noProof/>
                <w:webHidden/>
              </w:rPr>
              <w:instrText xml:space="preserve"> PAGEREF _Toc131503882 \h </w:instrText>
            </w:r>
            <w:r w:rsidR="000107EF">
              <w:rPr>
                <w:noProof/>
                <w:webHidden/>
              </w:rPr>
            </w:r>
            <w:r w:rsidR="000107EF">
              <w:rPr>
                <w:noProof/>
                <w:webHidden/>
              </w:rPr>
              <w:fldChar w:fldCharType="separate"/>
            </w:r>
            <w:r w:rsidR="000107EF">
              <w:rPr>
                <w:noProof/>
                <w:webHidden/>
              </w:rPr>
              <w:t>75</w:t>
            </w:r>
            <w:r w:rsidR="000107EF">
              <w:rPr>
                <w:noProof/>
                <w:webHidden/>
              </w:rPr>
              <w:fldChar w:fldCharType="end"/>
            </w:r>
          </w:hyperlink>
        </w:p>
        <w:p w14:paraId="25761DAF" w14:textId="37807C36" w:rsidR="000107EF" w:rsidRDefault="00A44DE9">
          <w:pPr>
            <w:pStyle w:val="TOC3"/>
            <w:tabs>
              <w:tab w:val="left" w:pos="1100"/>
              <w:tab w:val="right" w:pos="9350"/>
            </w:tabs>
            <w:rPr>
              <w:rFonts w:asciiTheme="minorHAnsi" w:eastAsiaTheme="minorEastAsia" w:hAnsiTheme="minorHAnsi" w:cstheme="minorBidi"/>
              <w:noProof/>
              <w:sz w:val="22"/>
              <w:szCs w:val="22"/>
            </w:rPr>
          </w:pPr>
          <w:hyperlink w:anchor="_Toc131503883" w:history="1">
            <w:r w:rsidR="000107EF" w:rsidRPr="00F20EBD">
              <w:rPr>
                <w:rStyle w:val="Hyperlink"/>
                <w:noProof/>
              </w:rPr>
              <w:t>M.</w:t>
            </w:r>
            <w:r w:rsidR="000107EF">
              <w:rPr>
                <w:rFonts w:asciiTheme="minorHAnsi" w:eastAsiaTheme="minorEastAsia" w:hAnsiTheme="minorHAnsi" w:cstheme="minorBidi"/>
                <w:noProof/>
                <w:sz w:val="22"/>
                <w:szCs w:val="22"/>
              </w:rPr>
              <w:tab/>
            </w:r>
            <w:r w:rsidR="000107EF" w:rsidRPr="00F20EBD">
              <w:rPr>
                <w:rStyle w:val="Hyperlink"/>
                <w:noProof/>
              </w:rPr>
              <w:t>Flatfish</w:t>
            </w:r>
            <w:r w:rsidR="000107EF">
              <w:rPr>
                <w:noProof/>
                <w:webHidden/>
              </w:rPr>
              <w:tab/>
            </w:r>
            <w:r w:rsidR="000107EF">
              <w:rPr>
                <w:noProof/>
                <w:webHidden/>
              </w:rPr>
              <w:fldChar w:fldCharType="begin"/>
            </w:r>
            <w:r w:rsidR="000107EF">
              <w:rPr>
                <w:noProof/>
                <w:webHidden/>
              </w:rPr>
              <w:instrText xml:space="preserve"> PAGEREF _Toc131503883 \h </w:instrText>
            </w:r>
            <w:r w:rsidR="000107EF">
              <w:rPr>
                <w:noProof/>
                <w:webHidden/>
              </w:rPr>
            </w:r>
            <w:r w:rsidR="000107EF">
              <w:rPr>
                <w:noProof/>
                <w:webHidden/>
              </w:rPr>
              <w:fldChar w:fldCharType="separate"/>
            </w:r>
            <w:r w:rsidR="000107EF">
              <w:rPr>
                <w:noProof/>
                <w:webHidden/>
              </w:rPr>
              <w:t>76</w:t>
            </w:r>
            <w:r w:rsidR="000107EF">
              <w:rPr>
                <w:noProof/>
                <w:webHidden/>
              </w:rPr>
              <w:fldChar w:fldCharType="end"/>
            </w:r>
          </w:hyperlink>
        </w:p>
        <w:p w14:paraId="3F5D8689" w14:textId="4F12DCDB" w:rsidR="000107EF" w:rsidRDefault="00A44DE9">
          <w:pPr>
            <w:pStyle w:val="TOC4"/>
            <w:tabs>
              <w:tab w:val="left" w:pos="1320"/>
              <w:tab w:val="right" w:pos="9350"/>
            </w:tabs>
            <w:rPr>
              <w:rFonts w:asciiTheme="minorHAnsi" w:eastAsiaTheme="minorEastAsia" w:hAnsiTheme="minorHAnsi" w:cstheme="minorBidi"/>
              <w:noProof/>
              <w:sz w:val="22"/>
              <w:szCs w:val="22"/>
            </w:rPr>
          </w:pPr>
          <w:hyperlink w:anchor="_Toc131503884" w:history="1">
            <w:r w:rsidR="000107EF" w:rsidRPr="00F20EBD">
              <w:rPr>
                <w:rStyle w:val="Hyperlink"/>
                <w:noProof/>
              </w:rPr>
              <w:t>1.</w:t>
            </w:r>
            <w:r w:rsidR="000107EF">
              <w:rPr>
                <w:rFonts w:asciiTheme="minorHAnsi" w:eastAsiaTheme="minorEastAsia" w:hAnsiTheme="minorHAnsi" w:cstheme="minorBidi"/>
                <w:noProof/>
                <w:sz w:val="22"/>
                <w:szCs w:val="22"/>
              </w:rPr>
              <w:tab/>
            </w:r>
            <w:r w:rsidR="000107EF" w:rsidRPr="00F20EBD">
              <w:rPr>
                <w:rStyle w:val="Hyperlink"/>
                <w:noProof/>
              </w:rPr>
              <w:t>Research</w:t>
            </w:r>
            <w:r w:rsidR="000107EF">
              <w:rPr>
                <w:noProof/>
                <w:webHidden/>
              </w:rPr>
              <w:tab/>
            </w:r>
            <w:r w:rsidR="000107EF">
              <w:rPr>
                <w:noProof/>
                <w:webHidden/>
              </w:rPr>
              <w:fldChar w:fldCharType="begin"/>
            </w:r>
            <w:r w:rsidR="000107EF">
              <w:rPr>
                <w:noProof/>
                <w:webHidden/>
              </w:rPr>
              <w:instrText xml:space="preserve"> PAGEREF _Toc131503884 \h </w:instrText>
            </w:r>
            <w:r w:rsidR="000107EF">
              <w:rPr>
                <w:noProof/>
                <w:webHidden/>
              </w:rPr>
            </w:r>
            <w:r w:rsidR="000107EF">
              <w:rPr>
                <w:noProof/>
                <w:webHidden/>
              </w:rPr>
              <w:fldChar w:fldCharType="separate"/>
            </w:r>
            <w:r w:rsidR="000107EF">
              <w:rPr>
                <w:noProof/>
                <w:webHidden/>
              </w:rPr>
              <w:t>76</w:t>
            </w:r>
            <w:r w:rsidR="000107EF">
              <w:rPr>
                <w:noProof/>
                <w:webHidden/>
              </w:rPr>
              <w:fldChar w:fldCharType="end"/>
            </w:r>
          </w:hyperlink>
        </w:p>
        <w:p w14:paraId="01FF05F2" w14:textId="7B5A91E6" w:rsidR="000107EF" w:rsidRDefault="00A44DE9">
          <w:pPr>
            <w:pStyle w:val="TOC4"/>
            <w:tabs>
              <w:tab w:val="left" w:pos="1320"/>
              <w:tab w:val="right" w:pos="9350"/>
            </w:tabs>
            <w:rPr>
              <w:rFonts w:asciiTheme="minorHAnsi" w:eastAsiaTheme="minorEastAsia" w:hAnsiTheme="minorHAnsi" w:cstheme="minorBidi"/>
              <w:noProof/>
              <w:sz w:val="22"/>
              <w:szCs w:val="22"/>
            </w:rPr>
          </w:pPr>
          <w:hyperlink w:anchor="_Toc131503885" w:history="1">
            <w:r w:rsidR="000107EF" w:rsidRPr="00F20EBD">
              <w:rPr>
                <w:rStyle w:val="Hyperlink"/>
                <w:noProof/>
              </w:rPr>
              <w:t>2.</w:t>
            </w:r>
            <w:r w:rsidR="000107EF">
              <w:rPr>
                <w:rFonts w:asciiTheme="minorHAnsi" w:eastAsiaTheme="minorEastAsia" w:hAnsiTheme="minorHAnsi" w:cstheme="minorBidi"/>
                <w:noProof/>
                <w:sz w:val="22"/>
                <w:szCs w:val="22"/>
              </w:rPr>
              <w:tab/>
            </w:r>
            <w:r w:rsidR="000107EF" w:rsidRPr="00F20EBD">
              <w:rPr>
                <w:rStyle w:val="Hyperlink"/>
                <w:noProof/>
              </w:rPr>
              <w:t>Assessment</w:t>
            </w:r>
            <w:r w:rsidR="000107EF">
              <w:rPr>
                <w:noProof/>
                <w:webHidden/>
              </w:rPr>
              <w:tab/>
            </w:r>
            <w:r w:rsidR="000107EF">
              <w:rPr>
                <w:noProof/>
                <w:webHidden/>
              </w:rPr>
              <w:fldChar w:fldCharType="begin"/>
            </w:r>
            <w:r w:rsidR="000107EF">
              <w:rPr>
                <w:noProof/>
                <w:webHidden/>
              </w:rPr>
              <w:instrText xml:space="preserve"> PAGEREF _Toc131503885 \h </w:instrText>
            </w:r>
            <w:r w:rsidR="000107EF">
              <w:rPr>
                <w:noProof/>
                <w:webHidden/>
              </w:rPr>
            </w:r>
            <w:r w:rsidR="000107EF">
              <w:rPr>
                <w:noProof/>
                <w:webHidden/>
              </w:rPr>
              <w:fldChar w:fldCharType="separate"/>
            </w:r>
            <w:r w:rsidR="000107EF">
              <w:rPr>
                <w:noProof/>
                <w:webHidden/>
              </w:rPr>
              <w:t>76</w:t>
            </w:r>
            <w:r w:rsidR="000107EF">
              <w:rPr>
                <w:noProof/>
                <w:webHidden/>
              </w:rPr>
              <w:fldChar w:fldCharType="end"/>
            </w:r>
          </w:hyperlink>
        </w:p>
        <w:p w14:paraId="2F93D607" w14:textId="2B050486" w:rsidR="000107EF" w:rsidRDefault="00A44DE9">
          <w:pPr>
            <w:pStyle w:val="TOC5"/>
            <w:rPr>
              <w:rFonts w:asciiTheme="minorHAnsi" w:eastAsiaTheme="minorEastAsia" w:hAnsiTheme="minorHAnsi" w:cstheme="minorBidi"/>
              <w:noProof/>
              <w:sz w:val="22"/>
              <w:szCs w:val="22"/>
            </w:rPr>
          </w:pPr>
          <w:hyperlink w:anchor="_Toc131503886" w:history="1">
            <w:r w:rsidR="000107EF" w:rsidRPr="00F20EBD">
              <w:rPr>
                <w:rStyle w:val="Hyperlink"/>
                <w:noProof/>
              </w:rPr>
              <w:t>Yellowfin sole – Bering Sea and Aleutian Islands – REFM</w:t>
            </w:r>
            <w:r w:rsidR="000107EF">
              <w:rPr>
                <w:noProof/>
                <w:webHidden/>
              </w:rPr>
              <w:tab/>
            </w:r>
            <w:r w:rsidR="000107EF">
              <w:rPr>
                <w:noProof/>
                <w:webHidden/>
              </w:rPr>
              <w:fldChar w:fldCharType="begin"/>
            </w:r>
            <w:r w:rsidR="000107EF">
              <w:rPr>
                <w:noProof/>
                <w:webHidden/>
              </w:rPr>
              <w:instrText xml:space="preserve"> PAGEREF _Toc131503886 \h </w:instrText>
            </w:r>
            <w:r w:rsidR="000107EF">
              <w:rPr>
                <w:noProof/>
                <w:webHidden/>
              </w:rPr>
            </w:r>
            <w:r w:rsidR="000107EF">
              <w:rPr>
                <w:noProof/>
                <w:webHidden/>
              </w:rPr>
              <w:fldChar w:fldCharType="separate"/>
            </w:r>
            <w:r w:rsidR="000107EF">
              <w:rPr>
                <w:noProof/>
                <w:webHidden/>
              </w:rPr>
              <w:t>76</w:t>
            </w:r>
            <w:r w:rsidR="000107EF">
              <w:rPr>
                <w:noProof/>
                <w:webHidden/>
              </w:rPr>
              <w:fldChar w:fldCharType="end"/>
            </w:r>
          </w:hyperlink>
        </w:p>
        <w:p w14:paraId="55869E77" w14:textId="4F21B174" w:rsidR="000107EF" w:rsidRDefault="00A44DE9">
          <w:pPr>
            <w:pStyle w:val="TOC5"/>
            <w:rPr>
              <w:rFonts w:asciiTheme="minorHAnsi" w:eastAsiaTheme="minorEastAsia" w:hAnsiTheme="minorHAnsi" w:cstheme="minorBidi"/>
              <w:noProof/>
              <w:sz w:val="22"/>
              <w:szCs w:val="22"/>
            </w:rPr>
          </w:pPr>
          <w:hyperlink w:anchor="_Toc131503887" w:history="1">
            <w:r w:rsidR="000107EF" w:rsidRPr="00F20EBD">
              <w:rPr>
                <w:rStyle w:val="Hyperlink"/>
                <w:noProof/>
              </w:rPr>
              <w:t>Greenland turbot – Bering Sea and Aleutian Islands – REFM</w:t>
            </w:r>
            <w:r w:rsidR="000107EF">
              <w:rPr>
                <w:noProof/>
                <w:webHidden/>
              </w:rPr>
              <w:tab/>
            </w:r>
            <w:r w:rsidR="000107EF">
              <w:rPr>
                <w:noProof/>
                <w:webHidden/>
              </w:rPr>
              <w:fldChar w:fldCharType="begin"/>
            </w:r>
            <w:r w:rsidR="000107EF">
              <w:rPr>
                <w:noProof/>
                <w:webHidden/>
              </w:rPr>
              <w:instrText xml:space="preserve"> PAGEREF _Toc131503887 \h </w:instrText>
            </w:r>
            <w:r w:rsidR="000107EF">
              <w:rPr>
                <w:noProof/>
                <w:webHidden/>
              </w:rPr>
            </w:r>
            <w:r w:rsidR="000107EF">
              <w:rPr>
                <w:noProof/>
                <w:webHidden/>
              </w:rPr>
              <w:fldChar w:fldCharType="separate"/>
            </w:r>
            <w:r w:rsidR="000107EF">
              <w:rPr>
                <w:noProof/>
                <w:webHidden/>
              </w:rPr>
              <w:t>76</w:t>
            </w:r>
            <w:r w:rsidR="000107EF">
              <w:rPr>
                <w:noProof/>
                <w:webHidden/>
              </w:rPr>
              <w:fldChar w:fldCharType="end"/>
            </w:r>
          </w:hyperlink>
        </w:p>
        <w:p w14:paraId="287A167F" w14:textId="70EA6667" w:rsidR="000107EF" w:rsidRDefault="00A44DE9">
          <w:pPr>
            <w:pStyle w:val="TOC5"/>
            <w:rPr>
              <w:rFonts w:asciiTheme="minorHAnsi" w:eastAsiaTheme="minorEastAsia" w:hAnsiTheme="minorHAnsi" w:cstheme="minorBidi"/>
              <w:noProof/>
              <w:sz w:val="22"/>
              <w:szCs w:val="22"/>
            </w:rPr>
          </w:pPr>
          <w:hyperlink w:anchor="_Toc131503888" w:history="1">
            <w:r w:rsidR="000107EF" w:rsidRPr="00F20EBD">
              <w:rPr>
                <w:rStyle w:val="Hyperlink"/>
                <w:noProof/>
              </w:rPr>
              <w:t>Arrowtooth flounder – Bering Sea and Aleutian Islands – REFM</w:t>
            </w:r>
            <w:r w:rsidR="000107EF">
              <w:rPr>
                <w:noProof/>
                <w:webHidden/>
              </w:rPr>
              <w:tab/>
            </w:r>
            <w:r w:rsidR="000107EF">
              <w:rPr>
                <w:noProof/>
                <w:webHidden/>
              </w:rPr>
              <w:fldChar w:fldCharType="begin"/>
            </w:r>
            <w:r w:rsidR="000107EF">
              <w:rPr>
                <w:noProof/>
                <w:webHidden/>
              </w:rPr>
              <w:instrText xml:space="preserve"> PAGEREF _Toc131503888 \h </w:instrText>
            </w:r>
            <w:r w:rsidR="000107EF">
              <w:rPr>
                <w:noProof/>
                <w:webHidden/>
              </w:rPr>
            </w:r>
            <w:r w:rsidR="000107EF">
              <w:rPr>
                <w:noProof/>
                <w:webHidden/>
              </w:rPr>
              <w:fldChar w:fldCharType="separate"/>
            </w:r>
            <w:r w:rsidR="000107EF">
              <w:rPr>
                <w:noProof/>
                <w:webHidden/>
              </w:rPr>
              <w:t>77</w:t>
            </w:r>
            <w:r w:rsidR="000107EF">
              <w:rPr>
                <w:noProof/>
                <w:webHidden/>
              </w:rPr>
              <w:fldChar w:fldCharType="end"/>
            </w:r>
          </w:hyperlink>
        </w:p>
        <w:p w14:paraId="6EBDC2C0" w14:textId="26596B40" w:rsidR="000107EF" w:rsidRDefault="00A44DE9">
          <w:pPr>
            <w:pStyle w:val="TOC5"/>
            <w:rPr>
              <w:rFonts w:asciiTheme="minorHAnsi" w:eastAsiaTheme="minorEastAsia" w:hAnsiTheme="minorHAnsi" w:cstheme="minorBidi"/>
              <w:noProof/>
              <w:sz w:val="22"/>
              <w:szCs w:val="22"/>
            </w:rPr>
          </w:pPr>
          <w:hyperlink w:anchor="_Toc131503889" w:history="1">
            <w:r w:rsidR="000107EF" w:rsidRPr="00F20EBD">
              <w:rPr>
                <w:rStyle w:val="Hyperlink"/>
                <w:noProof/>
              </w:rPr>
              <w:t>Arrowtooth flounder – Gulf of Alaska – REFM</w:t>
            </w:r>
            <w:r w:rsidR="000107EF">
              <w:rPr>
                <w:noProof/>
                <w:webHidden/>
              </w:rPr>
              <w:tab/>
            </w:r>
            <w:r w:rsidR="000107EF">
              <w:rPr>
                <w:noProof/>
                <w:webHidden/>
              </w:rPr>
              <w:fldChar w:fldCharType="begin"/>
            </w:r>
            <w:r w:rsidR="000107EF">
              <w:rPr>
                <w:noProof/>
                <w:webHidden/>
              </w:rPr>
              <w:instrText xml:space="preserve"> PAGEREF _Toc131503889 \h </w:instrText>
            </w:r>
            <w:r w:rsidR="000107EF">
              <w:rPr>
                <w:noProof/>
                <w:webHidden/>
              </w:rPr>
            </w:r>
            <w:r w:rsidR="000107EF">
              <w:rPr>
                <w:noProof/>
                <w:webHidden/>
              </w:rPr>
              <w:fldChar w:fldCharType="separate"/>
            </w:r>
            <w:r w:rsidR="000107EF">
              <w:rPr>
                <w:noProof/>
                <w:webHidden/>
              </w:rPr>
              <w:t>77</w:t>
            </w:r>
            <w:r w:rsidR="000107EF">
              <w:rPr>
                <w:noProof/>
                <w:webHidden/>
              </w:rPr>
              <w:fldChar w:fldCharType="end"/>
            </w:r>
          </w:hyperlink>
        </w:p>
        <w:p w14:paraId="00E53DEF" w14:textId="7EAEF977" w:rsidR="000107EF" w:rsidRDefault="00A44DE9">
          <w:pPr>
            <w:pStyle w:val="TOC5"/>
            <w:rPr>
              <w:rFonts w:asciiTheme="minorHAnsi" w:eastAsiaTheme="minorEastAsia" w:hAnsiTheme="minorHAnsi" w:cstheme="minorBidi"/>
              <w:noProof/>
              <w:sz w:val="22"/>
              <w:szCs w:val="22"/>
            </w:rPr>
          </w:pPr>
          <w:hyperlink w:anchor="_Toc131503890" w:history="1">
            <w:r w:rsidR="000107EF" w:rsidRPr="00F20EBD">
              <w:rPr>
                <w:rStyle w:val="Hyperlink"/>
                <w:noProof/>
              </w:rPr>
              <w:t>Kamchatka flounder – Bering Sea and Aleutian Islands – REFM</w:t>
            </w:r>
            <w:r w:rsidR="000107EF">
              <w:rPr>
                <w:noProof/>
                <w:webHidden/>
              </w:rPr>
              <w:tab/>
            </w:r>
            <w:r w:rsidR="000107EF">
              <w:rPr>
                <w:noProof/>
                <w:webHidden/>
              </w:rPr>
              <w:fldChar w:fldCharType="begin"/>
            </w:r>
            <w:r w:rsidR="000107EF">
              <w:rPr>
                <w:noProof/>
                <w:webHidden/>
              </w:rPr>
              <w:instrText xml:space="preserve"> PAGEREF _Toc131503890 \h </w:instrText>
            </w:r>
            <w:r w:rsidR="000107EF">
              <w:rPr>
                <w:noProof/>
                <w:webHidden/>
              </w:rPr>
            </w:r>
            <w:r w:rsidR="000107EF">
              <w:rPr>
                <w:noProof/>
                <w:webHidden/>
              </w:rPr>
              <w:fldChar w:fldCharType="separate"/>
            </w:r>
            <w:r w:rsidR="000107EF">
              <w:rPr>
                <w:noProof/>
                <w:webHidden/>
              </w:rPr>
              <w:t>78</w:t>
            </w:r>
            <w:r w:rsidR="000107EF">
              <w:rPr>
                <w:noProof/>
                <w:webHidden/>
              </w:rPr>
              <w:fldChar w:fldCharType="end"/>
            </w:r>
          </w:hyperlink>
        </w:p>
        <w:p w14:paraId="7585A8CD" w14:textId="0BBC35DB" w:rsidR="000107EF" w:rsidRDefault="00A44DE9">
          <w:pPr>
            <w:pStyle w:val="TOC5"/>
            <w:rPr>
              <w:rFonts w:asciiTheme="minorHAnsi" w:eastAsiaTheme="minorEastAsia" w:hAnsiTheme="minorHAnsi" w:cstheme="minorBidi"/>
              <w:noProof/>
              <w:sz w:val="22"/>
              <w:szCs w:val="22"/>
            </w:rPr>
          </w:pPr>
          <w:hyperlink w:anchor="_Toc131503891" w:history="1">
            <w:r w:rsidR="000107EF" w:rsidRPr="00F20EBD">
              <w:rPr>
                <w:rStyle w:val="Hyperlink"/>
                <w:noProof/>
              </w:rPr>
              <w:t>Northern rock sole – Bering Sea and Aleutian Islands – REFM</w:t>
            </w:r>
            <w:r w:rsidR="000107EF">
              <w:rPr>
                <w:noProof/>
                <w:webHidden/>
              </w:rPr>
              <w:tab/>
            </w:r>
            <w:r w:rsidR="000107EF">
              <w:rPr>
                <w:noProof/>
                <w:webHidden/>
              </w:rPr>
              <w:fldChar w:fldCharType="begin"/>
            </w:r>
            <w:r w:rsidR="000107EF">
              <w:rPr>
                <w:noProof/>
                <w:webHidden/>
              </w:rPr>
              <w:instrText xml:space="preserve"> PAGEREF _Toc131503891 \h </w:instrText>
            </w:r>
            <w:r w:rsidR="000107EF">
              <w:rPr>
                <w:noProof/>
                <w:webHidden/>
              </w:rPr>
            </w:r>
            <w:r w:rsidR="000107EF">
              <w:rPr>
                <w:noProof/>
                <w:webHidden/>
              </w:rPr>
              <w:fldChar w:fldCharType="separate"/>
            </w:r>
            <w:r w:rsidR="000107EF">
              <w:rPr>
                <w:noProof/>
                <w:webHidden/>
              </w:rPr>
              <w:t>78</w:t>
            </w:r>
            <w:r w:rsidR="000107EF">
              <w:rPr>
                <w:noProof/>
                <w:webHidden/>
              </w:rPr>
              <w:fldChar w:fldCharType="end"/>
            </w:r>
          </w:hyperlink>
        </w:p>
        <w:p w14:paraId="23A9BC68" w14:textId="53042224" w:rsidR="000107EF" w:rsidRDefault="00A44DE9">
          <w:pPr>
            <w:pStyle w:val="TOC5"/>
            <w:rPr>
              <w:rFonts w:asciiTheme="minorHAnsi" w:eastAsiaTheme="minorEastAsia" w:hAnsiTheme="minorHAnsi" w:cstheme="minorBidi"/>
              <w:noProof/>
              <w:sz w:val="22"/>
              <w:szCs w:val="22"/>
            </w:rPr>
          </w:pPr>
          <w:hyperlink w:anchor="_Toc131503892" w:history="1">
            <w:r w:rsidR="000107EF" w:rsidRPr="00F20EBD">
              <w:rPr>
                <w:rStyle w:val="Hyperlink"/>
                <w:noProof/>
              </w:rPr>
              <w:t>Northern and southern rock sole – Gulf of Alaska – REFM</w:t>
            </w:r>
            <w:r w:rsidR="000107EF">
              <w:rPr>
                <w:noProof/>
                <w:webHidden/>
              </w:rPr>
              <w:tab/>
            </w:r>
            <w:r w:rsidR="000107EF">
              <w:rPr>
                <w:noProof/>
                <w:webHidden/>
              </w:rPr>
              <w:fldChar w:fldCharType="begin"/>
            </w:r>
            <w:r w:rsidR="000107EF">
              <w:rPr>
                <w:noProof/>
                <w:webHidden/>
              </w:rPr>
              <w:instrText xml:space="preserve"> PAGEREF _Toc131503892 \h </w:instrText>
            </w:r>
            <w:r w:rsidR="000107EF">
              <w:rPr>
                <w:noProof/>
                <w:webHidden/>
              </w:rPr>
            </w:r>
            <w:r w:rsidR="000107EF">
              <w:rPr>
                <w:noProof/>
                <w:webHidden/>
              </w:rPr>
              <w:fldChar w:fldCharType="separate"/>
            </w:r>
            <w:r w:rsidR="000107EF">
              <w:rPr>
                <w:noProof/>
                <w:webHidden/>
              </w:rPr>
              <w:t>79</w:t>
            </w:r>
            <w:r w:rsidR="000107EF">
              <w:rPr>
                <w:noProof/>
                <w:webHidden/>
              </w:rPr>
              <w:fldChar w:fldCharType="end"/>
            </w:r>
          </w:hyperlink>
        </w:p>
        <w:p w14:paraId="41ADB16E" w14:textId="12CC5296" w:rsidR="000107EF" w:rsidRDefault="00A44DE9">
          <w:pPr>
            <w:pStyle w:val="TOC5"/>
            <w:rPr>
              <w:rFonts w:asciiTheme="minorHAnsi" w:eastAsiaTheme="minorEastAsia" w:hAnsiTheme="minorHAnsi" w:cstheme="minorBidi"/>
              <w:noProof/>
              <w:sz w:val="22"/>
              <w:szCs w:val="22"/>
            </w:rPr>
          </w:pPr>
          <w:hyperlink w:anchor="_Toc131503893" w:history="1">
            <w:r w:rsidR="000107EF" w:rsidRPr="00F20EBD">
              <w:rPr>
                <w:rStyle w:val="Hyperlink"/>
                <w:noProof/>
              </w:rPr>
              <w:t>Flathead sole – Bering Sea and Aleutian Islands – REFM</w:t>
            </w:r>
            <w:r w:rsidR="000107EF">
              <w:rPr>
                <w:noProof/>
                <w:webHidden/>
              </w:rPr>
              <w:tab/>
            </w:r>
            <w:r w:rsidR="000107EF">
              <w:rPr>
                <w:noProof/>
                <w:webHidden/>
              </w:rPr>
              <w:fldChar w:fldCharType="begin"/>
            </w:r>
            <w:r w:rsidR="000107EF">
              <w:rPr>
                <w:noProof/>
                <w:webHidden/>
              </w:rPr>
              <w:instrText xml:space="preserve"> PAGEREF _Toc131503893 \h </w:instrText>
            </w:r>
            <w:r w:rsidR="000107EF">
              <w:rPr>
                <w:noProof/>
                <w:webHidden/>
              </w:rPr>
            </w:r>
            <w:r w:rsidR="000107EF">
              <w:rPr>
                <w:noProof/>
                <w:webHidden/>
              </w:rPr>
              <w:fldChar w:fldCharType="separate"/>
            </w:r>
            <w:r w:rsidR="000107EF">
              <w:rPr>
                <w:noProof/>
                <w:webHidden/>
              </w:rPr>
              <w:t>79</w:t>
            </w:r>
            <w:r w:rsidR="000107EF">
              <w:rPr>
                <w:noProof/>
                <w:webHidden/>
              </w:rPr>
              <w:fldChar w:fldCharType="end"/>
            </w:r>
          </w:hyperlink>
        </w:p>
        <w:p w14:paraId="3F7CA606" w14:textId="5BC60653" w:rsidR="000107EF" w:rsidRDefault="00A44DE9">
          <w:pPr>
            <w:pStyle w:val="TOC5"/>
            <w:rPr>
              <w:rFonts w:asciiTheme="minorHAnsi" w:eastAsiaTheme="minorEastAsia" w:hAnsiTheme="minorHAnsi" w:cstheme="minorBidi"/>
              <w:noProof/>
              <w:sz w:val="22"/>
              <w:szCs w:val="22"/>
            </w:rPr>
          </w:pPr>
          <w:hyperlink w:anchor="_Toc131503894" w:history="1">
            <w:r w:rsidR="000107EF" w:rsidRPr="00F20EBD">
              <w:rPr>
                <w:rStyle w:val="Hyperlink"/>
                <w:noProof/>
              </w:rPr>
              <w:t>Flathead sole – Gulf of Alaska – REFM</w:t>
            </w:r>
            <w:r w:rsidR="000107EF">
              <w:rPr>
                <w:noProof/>
                <w:webHidden/>
              </w:rPr>
              <w:tab/>
            </w:r>
            <w:r w:rsidR="000107EF">
              <w:rPr>
                <w:noProof/>
                <w:webHidden/>
              </w:rPr>
              <w:fldChar w:fldCharType="begin"/>
            </w:r>
            <w:r w:rsidR="000107EF">
              <w:rPr>
                <w:noProof/>
                <w:webHidden/>
              </w:rPr>
              <w:instrText xml:space="preserve"> PAGEREF _Toc131503894 \h </w:instrText>
            </w:r>
            <w:r w:rsidR="000107EF">
              <w:rPr>
                <w:noProof/>
                <w:webHidden/>
              </w:rPr>
            </w:r>
            <w:r w:rsidR="000107EF">
              <w:rPr>
                <w:noProof/>
                <w:webHidden/>
              </w:rPr>
              <w:fldChar w:fldCharType="separate"/>
            </w:r>
            <w:r w:rsidR="000107EF">
              <w:rPr>
                <w:noProof/>
                <w:webHidden/>
              </w:rPr>
              <w:t>79</w:t>
            </w:r>
            <w:r w:rsidR="000107EF">
              <w:rPr>
                <w:noProof/>
                <w:webHidden/>
              </w:rPr>
              <w:fldChar w:fldCharType="end"/>
            </w:r>
          </w:hyperlink>
        </w:p>
        <w:p w14:paraId="2BF9FE96" w14:textId="16C3F1FA" w:rsidR="000107EF" w:rsidRDefault="00A44DE9">
          <w:pPr>
            <w:pStyle w:val="TOC5"/>
            <w:rPr>
              <w:rFonts w:asciiTheme="minorHAnsi" w:eastAsiaTheme="minorEastAsia" w:hAnsiTheme="minorHAnsi" w:cstheme="minorBidi"/>
              <w:noProof/>
              <w:sz w:val="22"/>
              <w:szCs w:val="22"/>
            </w:rPr>
          </w:pPr>
          <w:hyperlink w:anchor="_Toc131503895" w:history="1">
            <w:r w:rsidR="000107EF" w:rsidRPr="00F20EBD">
              <w:rPr>
                <w:rStyle w:val="Hyperlink"/>
                <w:noProof/>
              </w:rPr>
              <w:t>Alaska plaice – Bering Sea and Aleutian Islands – REFM</w:t>
            </w:r>
            <w:r w:rsidR="000107EF">
              <w:rPr>
                <w:noProof/>
                <w:webHidden/>
              </w:rPr>
              <w:tab/>
            </w:r>
            <w:r w:rsidR="000107EF">
              <w:rPr>
                <w:noProof/>
                <w:webHidden/>
              </w:rPr>
              <w:fldChar w:fldCharType="begin"/>
            </w:r>
            <w:r w:rsidR="000107EF">
              <w:rPr>
                <w:noProof/>
                <w:webHidden/>
              </w:rPr>
              <w:instrText xml:space="preserve"> PAGEREF _Toc131503895 \h </w:instrText>
            </w:r>
            <w:r w:rsidR="000107EF">
              <w:rPr>
                <w:noProof/>
                <w:webHidden/>
              </w:rPr>
            </w:r>
            <w:r w:rsidR="000107EF">
              <w:rPr>
                <w:noProof/>
                <w:webHidden/>
              </w:rPr>
              <w:fldChar w:fldCharType="separate"/>
            </w:r>
            <w:r w:rsidR="000107EF">
              <w:rPr>
                <w:noProof/>
                <w:webHidden/>
              </w:rPr>
              <w:t>80</w:t>
            </w:r>
            <w:r w:rsidR="000107EF">
              <w:rPr>
                <w:noProof/>
                <w:webHidden/>
              </w:rPr>
              <w:fldChar w:fldCharType="end"/>
            </w:r>
          </w:hyperlink>
        </w:p>
        <w:p w14:paraId="30A88221" w14:textId="14BC1BB4" w:rsidR="000107EF" w:rsidRDefault="00A44DE9">
          <w:pPr>
            <w:pStyle w:val="TOC5"/>
            <w:rPr>
              <w:rFonts w:asciiTheme="minorHAnsi" w:eastAsiaTheme="minorEastAsia" w:hAnsiTheme="minorHAnsi" w:cstheme="minorBidi"/>
              <w:noProof/>
              <w:sz w:val="22"/>
              <w:szCs w:val="22"/>
            </w:rPr>
          </w:pPr>
          <w:hyperlink w:anchor="_Toc131503896" w:history="1">
            <w:r w:rsidR="000107EF" w:rsidRPr="00F20EBD">
              <w:rPr>
                <w:rStyle w:val="Hyperlink"/>
                <w:noProof/>
              </w:rPr>
              <w:t>Rex sole – Gulf of Alaska – REFM</w:t>
            </w:r>
            <w:r w:rsidR="000107EF">
              <w:rPr>
                <w:noProof/>
                <w:webHidden/>
              </w:rPr>
              <w:tab/>
            </w:r>
            <w:r w:rsidR="000107EF">
              <w:rPr>
                <w:noProof/>
                <w:webHidden/>
              </w:rPr>
              <w:fldChar w:fldCharType="begin"/>
            </w:r>
            <w:r w:rsidR="000107EF">
              <w:rPr>
                <w:noProof/>
                <w:webHidden/>
              </w:rPr>
              <w:instrText xml:space="preserve"> PAGEREF _Toc131503896 \h </w:instrText>
            </w:r>
            <w:r w:rsidR="000107EF">
              <w:rPr>
                <w:noProof/>
                <w:webHidden/>
              </w:rPr>
            </w:r>
            <w:r w:rsidR="000107EF">
              <w:rPr>
                <w:noProof/>
                <w:webHidden/>
              </w:rPr>
              <w:fldChar w:fldCharType="separate"/>
            </w:r>
            <w:r w:rsidR="000107EF">
              <w:rPr>
                <w:noProof/>
                <w:webHidden/>
              </w:rPr>
              <w:t>80</w:t>
            </w:r>
            <w:r w:rsidR="000107EF">
              <w:rPr>
                <w:noProof/>
                <w:webHidden/>
              </w:rPr>
              <w:fldChar w:fldCharType="end"/>
            </w:r>
          </w:hyperlink>
        </w:p>
        <w:p w14:paraId="4B950A53" w14:textId="52E1F6AD" w:rsidR="000107EF" w:rsidRDefault="00A44DE9">
          <w:pPr>
            <w:pStyle w:val="TOC5"/>
            <w:rPr>
              <w:rFonts w:asciiTheme="minorHAnsi" w:eastAsiaTheme="minorEastAsia" w:hAnsiTheme="minorHAnsi" w:cstheme="minorBidi"/>
              <w:noProof/>
              <w:sz w:val="22"/>
              <w:szCs w:val="22"/>
            </w:rPr>
          </w:pPr>
          <w:hyperlink w:anchor="_Toc131503897" w:history="1">
            <w:r w:rsidR="000107EF" w:rsidRPr="00F20EBD">
              <w:rPr>
                <w:rStyle w:val="Hyperlink"/>
                <w:noProof/>
              </w:rPr>
              <w:t>“Other flatfish” complex – Bering Sea and Aleutian Islands – REFM</w:t>
            </w:r>
            <w:r w:rsidR="000107EF">
              <w:rPr>
                <w:noProof/>
                <w:webHidden/>
              </w:rPr>
              <w:tab/>
            </w:r>
            <w:r w:rsidR="000107EF">
              <w:rPr>
                <w:noProof/>
                <w:webHidden/>
              </w:rPr>
              <w:fldChar w:fldCharType="begin"/>
            </w:r>
            <w:r w:rsidR="000107EF">
              <w:rPr>
                <w:noProof/>
                <w:webHidden/>
              </w:rPr>
              <w:instrText xml:space="preserve"> PAGEREF _Toc131503897 \h </w:instrText>
            </w:r>
            <w:r w:rsidR="000107EF">
              <w:rPr>
                <w:noProof/>
                <w:webHidden/>
              </w:rPr>
            </w:r>
            <w:r w:rsidR="000107EF">
              <w:rPr>
                <w:noProof/>
                <w:webHidden/>
              </w:rPr>
              <w:fldChar w:fldCharType="separate"/>
            </w:r>
            <w:r w:rsidR="000107EF">
              <w:rPr>
                <w:noProof/>
                <w:webHidden/>
              </w:rPr>
              <w:t>81</w:t>
            </w:r>
            <w:r w:rsidR="000107EF">
              <w:rPr>
                <w:noProof/>
                <w:webHidden/>
              </w:rPr>
              <w:fldChar w:fldCharType="end"/>
            </w:r>
          </w:hyperlink>
        </w:p>
        <w:p w14:paraId="2FB9DFEE" w14:textId="55511A1E" w:rsidR="000107EF" w:rsidRDefault="00A44DE9">
          <w:pPr>
            <w:pStyle w:val="TOC5"/>
            <w:rPr>
              <w:rFonts w:asciiTheme="minorHAnsi" w:eastAsiaTheme="minorEastAsia" w:hAnsiTheme="minorHAnsi" w:cstheme="minorBidi"/>
              <w:noProof/>
              <w:sz w:val="22"/>
              <w:szCs w:val="22"/>
            </w:rPr>
          </w:pPr>
          <w:hyperlink w:anchor="_Toc131503898" w:history="1">
            <w:r w:rsidR="000107EF" w:rsidRPr="00F20EBD">
              <w:rPr>
                <w:rStyle w:val="Hyperlink"/>
                <w:noProof/>
              </w:rPr>
              <w:t>Shallow-water flatfish complex – Gulf of Alaska – REFM</w:t>
            </w:r>
            <w:r w:rsidR="000107EF">
              <w:rPr>
                <w:noProof/>
                <w:webHidden/>
              </w:rPr>
              <w:tab/>
            </w:r>
            <w:r w:rsidR="000107EF">
              <w:rPr>
                <w:noProof/>
                <w:webHidden/>
              </w:rPr>
              <w:fldChar w:fldCharType="begin"/>
            </w:r>
            <w:r w:rsidR="000107EF">
              <w:rPr>
                <w:noProof/>
                <w:webHidden/>
              </w:rPr>
              <w:instrText xml:space="preserve"> PAGEREF _Toc131503898 \h </w:instrText>
            </w:r>
            <w:r w:rsidR="000107EF">
              <w:rPr>
                <w:noProof/>
                <w:webHidden/>
              </w:rPr>
            </w:r>
            <w:r w:rsidR="000107EF">
              <w:rPr>
                <w:noProof/>
                <w:webHidden/>
              </w:rPr>
              <w:fldChar w:fldCharType="separate"/>
            </w:r>
            <w:r w:rsidR="000107EF">
              <w:rPr>
                <w:noProof/>
                <w:webHidden/>
              </w:rPr>
              <w:t>81</w:t>
            </w:r>
            <w:r w:rsidR="000107EF">
              <w:rPr>
                <w:noProof/>
                <w:webHidden/>
              </w:rPr>
              <w:fldChar w:fldCharType="end"/>
            </w:r>
          </w:hyperlink>
        </w:p>
        <w:p w14:paraId="08D075C5" w14:textId="190E1299" w:rsidR="000107EF" w:rsidRDefault="00A44DE9">
          <w:pPr>
            <w:pStyle w:val="TOC5"/>
            <w:rPr>
              <w:rFonts w:asciiTheme="minorHAnsi" w:eastAsiaTheme="minorEastAsia" w:hAnsiTheme="minorHAnsi" w:cstheme="minorBidi"/>
              <w:noProof/>
              <w:sz w:val="22"/>
              <w:szCs w:val="22"/>
            </w:rPr>
          </w:pPr>
          <w:hyperlink w:anchor="_Toc131503899" w:history="1">
            <w:r w:rsidR="000107EF" w:rsidRPr="00F20EBD">
              <w:rPr>
                <w:rStyle w:val="Hyperlink"/>
                <w:noProof/>
              </w:rPr>
              <w:t>Deep-water flatfish complex – Gulf of Alaska – REFM</w:t>
            </w:r>
            <w:r w:rsidR="000107EF">
              <w:rPr>
                <w:noProof/>
                <w:webHidden/>
              </w:rPr>
              <w:tab/>
            </w:r>
            <w:r w:rsidR="000107EF">
              <w:rPr>
                <w:noProof/>
                <w:webHidden/>
              </w:rPr>
              <w:fldChar w:fldCharType="begin"/>
            </w:r>
            <w:r w:rsidR="000107EF">
              <w:rPr>
                <w:noProof/>
                <w:webHidden/>
              </w:rPr>
              <w:instrText xml:space="preserve"> PAGEREF _Toc131503899 \h </w:instrText>
            </w:r>
            <w:r w:rsidR="000107EF">
              <w:rPr>
                <w:noProof/>
                <w:webHidden/>
              </w:rPr>
            </w:r>
            <w:r w:rsidR="000107EF">
              <w:rPr>
                <w:noProof/>
                <w:webHidden/>
              </w:rPr>
              <w:fldChar w:fldCharType="separate"/>
            </w:r>
            <w:r w:rsidR="000107EF">
              <w:rPr>
                <w:noProof/>
                <w:webHidden/>
              </w:rPr>
              <w:t>82</w:t>
            </w:r>
            <w:r w:rsidR="000107EF">
              <w:rPr>
                <w:noProof/>
                <w:webHidden/>
              </w:rPr>
              <w:fldChar w:fldCharType="end"/>
            </w:r>
          </w:hyperlink>
        </w:p>
        <w:p w14:paraId="4042C4E8" w14:textId="6F4B3762" w:rsidR="000107EF" w:rsidRDefault="00A44DE9">
          <w:pPr>
            <w:pStyle w:val="TOC3"/>
            <w:tabs>
              <w:tab w:val="left" w:pos="960"/>
              <w:tab w:val="right" w:pos="9350"/>
            </w:tabs>
            <w:rPr>
              <w:rFonts w:asciiTheme="minorHAnsi" w:eastAsiaTheme="minorEastAsia" w:hAnsiTheme="minorHAnsi" w:cstheme="minorBidi"/>
              <w:noProof/>
              <w:sz w:val="22"/>
              <w:szCs w:val="22"/>
            </w:rPr>
          </w:pPr>
          <w:hyperlink w:anchor="_Toc131503900" w:history="1">
            <w:r w:rsidR="000107EF" w:rsidRPr="00F20EBD">
              <w:rPr>
                <w:rStyle w:val="Hyperlink"/>
                <w:noProof/>
              </w:rPr>
              <w:t>N.</w:t>
            </w:r>
            <w:r w:rsidR="000107EF">
              <w:rPr>
                <w:rFonts w:asciiTheme="minorHAnsi" w:eastAsiaTheme="minorEastAsia" w:hAnsiTheme="minorHAnsi" w:cstheme="minorBidi"/>
                <w:noProof/>
                <w:sz w:val="22"/>
                <w:szCs w:val="22"/>
              </w:rPr>
              <w:tab/>
            </w:r>
            <w:r w:rsidR="000107EF" w:rsidRPr="00F20EBD">
              <w:rPr>
                <w:rStyle w:val="Hyperlink"/>
                <w:noProof/>
              </w:rPr>
              <w:t>Pacific halibut</w:t>
            </w:r>
            <w:r w:rsidR="000107EF">
              <w:rPr>
                <w:noProof/>
                <w:webHidden/>
              </w:rPr>
              <w:tab/>
            </w:r>
            <w:r w:rsidR="000107EF">
              <w:rPr>
                <w:noProof/>
                <w:webHidden/>
              </w:rPr>
              <w:fldChar w:fldCharType="begin"/>
            </w:r>
            <w:r w:rsidR="000107EF">
              <w:rPr>
                <w:noProof/>
                <w:webHidden/>
              </w:rPr>
              <w:instrText xml:space="preserve"> PAGEREF _Toc131503900 \h </w:instrText>
            </w:r>
            <w:r w:rsidR="000107EF">
              <w:rPr>
                <w:noProof/>
                <w:webHidden/>
              </w:rPr>
            </w:r>
            <w:r w:rsidR="000107EF">
              <w:rPr>
                <w:noProof/>
                <w:webHidden/>
              </w:rPr>
              <w:fldChar w:fldCharType="separate"/>
            </w:r>
            <w:r w:rsidR="000107EF">
              <w:rPr>
                <w:noProof/>
                <w:webHidden/>
              </w:rPr>
              <w:t>82</w:t>
            </w:r>
            <w:r w:rsidR="000107EF">
              <w:rPr>
                <w:noProof/>
                <w:webHidden/>
              </w:rPr>
              <w:fldChar w:fldCharType="end"/>
            </w:r>
          </w:hyperlink>
        </w:p>
        <w:p w14:paraId="5C88D6EA" w14:textId="33EC0FBF" w:rsidR="000107EF" w:rsidRDefault="00A44DE9">
          <w:pPr>
            <w:pStyle w:val="TOC4"/>
            <w:tabs>
              <w:tab w:val="left" w:pos="1320"/>
              <w:tab w:val="right" w:pos="9350"/>
            </w:tabs>
            <w:rPr>
              <w:rFonts w:asciiTheme="minorHAnsi" w:eastAsiaTheme="minorEastAsia" w:hAnsiTheme="minorHAnsi" w:cstheme="minorBidi"/>
              <w:noProof/>
              <w:sz w:val="22"/>
              <w:szCs w:val="22"/>
            </w:rPr>
          </w:pPr>
          <w:hyperlink w:anchor="_Toc131503901" w:history="1">
            <w:r w:rsidR="000107EF" w:rsidRPr="00F20EBD">
              <w:rPr>
                <w:rStyle w:val="Hyperlink"/>
                <w:noProof/>
              </w:rPr>
              <w:t>1.</w:t>
            </w:r>
            <w:r w:rsidR="000107EF">
              <w:rPr>
                <w:rFonts w:asciiTheme="minorHAnsi" w:eastAsiaTheme="minorEastAsia" w:hAnsiTheme="minorHAnsi" w:cstheme="minorBidi"/>
                <w:noProof/>
                <w:sz w:val="22"/>
                <w:szCs w:val="22"/>
              </w:rPr>
              <w:tab/>
            </w:r>
            <w:r w:rsidR="000107EF" w:rsidRPr="00F20EBD">
              <w:rPr>
                <w:rStyle w:val="Hyperlink"/>
                <w:noProof/>
              </w:rPr>
              <w:t>Research</w:t>
            </w:r>
            <w:r w:rsidR="000107EF">
              <w:rPr>
                <w:noProof/>
                <w:webHidden/>
              </w:rPr>
              <w:tab/>
            </w:r>
            <w:r w:rsidR="000107EF">
              <w:rPr>
                <w:noProof/>
                <w:webHidden/>
              </w:rPr>
              <w:fldChar w:fldCharType="begin"/>
            </w:r>
            <w:r w:rsidR="000107EF">
              <w:rPr>
                <w:noProof/>
                <w:webHidden/>
              </w:rPr>
              <w:instrText xml:space="preserve"> PAGEREF _Toc131503901 \h </w:instrText>
            </w:r>
            <w:r w:rsidR="000107EF">
              <w:rPr>
                <w:noProof/>
                <w:webHidden/>
              </w:rPr>
            </w:r>
            <w:r w:rsidR="000107EF">
              <w:rPr>
                <w:noProof/>
                <w:webHidden/>
              </w:rPr>
              <w:fldChar w:fldCharType="separate"/>
            </w:r>
            <w:r w:rsidR="000107EF">
              <w:rPr>
                <w:noProof/>
                <w:webHidden/>
              </w:rPr>
              <w:t>82</w:t>
            </w:r>
            <w:r w:rsidR="000107EF">
              <w:rPr>
                <w:noProof/>
                <w:webHidden/>
              </w:rPr>
              <w:fldChar w:fldCharType="end"/>
            </w:r>
          </w:hyperlink>
        </w:p>
        <w:p w14:paraId="08A9B8A9" w14:textId="4852240E" w:rsidR="000107EF" w:rsidRDefault="00A44DE9">
          <w:pPr>
            <w:pStyle w:val="TOC5"/>
            <w:rPr>
              <w:rFonts w:asciiTheme="minorHAnsi" w:eastAsiaTheme="minorEastAsia" w:hAnsiTheme="minorHAnsi" w:cstheme="minorBidi"/>
              <w:noProof/>
              <w:sz w:val="22"/>
              <w:szCs w:val="22"/>
            </w:rPr>
          </w:pPr>
          <w:hyperlink w:anchor="_Toc131503902" w:history="1">
            <w:r w:rsidR="000107EF" w:rsidRPr="00F20EBD">
              <w:rPr>
                <w:rStyle w:val="Hyperlink"/>
                <w:noProof/>
              </w:rPr>
              <w:t>Abundance-based management of halibut bycatch in Alaska’s federal fisheries</w:t>
            </w:r>
            <w:r w:rsidR="000107EF">
              <w:rPr>
                <w:noProof/>
                <w:webHidden/>
              </w:rPr>
              <w:tab/>
            </w:r>
            <w:r w:rsidR="000107EF">
              <w:rPr>
                <w:noProof/>
                <w:webHidden/>
              </w:rPr>
              <w:fldChar w:fldCharType="begin"/>
            </w:r>
            <w:r w:rsidR="000107EF">
              <w:rPr>
                <w:noProof/>
                <w:webHidden/>
              </w:rPr>
              <w:instrText xml:space="preserve"> PAGEREF _Toc131503902 \h </w:instrText>
            </w:r>
            <w:r w:rsidR="000107EF">
              <w:rPr>
                <w:noProof/>
                <w:webHidden/>
              </w:rPr>
            </w:r>
            <w:r w:rsidR="000107EF">
              <w:rPr>
                <w:noProof/>
                <w:webHidden/>
              </w:rPr>
              <w:fldChar w:fldCharType="separate"/>
            </w:r>
            <w:r w:rsidR="000107EF">
              <w:rPr>
                <w:noProof/>
                <w:webHidden/>
              </w:rPr>
              <w:t>82</w:t>
            </w:r>
            <w:r w:rsidR="000107EF">
              <w:rPr>
                <w:noProof/>
                <w:webHidden/>
              </w:rPr>
              <w:fldChar w:fldCharType="end"/>
            </w:r>
          </w:hyperlink>
        </w:p>
        <w:p w14:paraId="721DE337" w14:textId="2B258E03" w:rsidR="000107EF" w:rsidRDefault="00A44DE9">
          <w:pPr>
            <w:pStyle w:val="TOC3"/>
            <w:tabs>
              <w:tab w:val="left" w:pos="960"/>
              <w:tab w:val="right" w:pos="9350"/>
            </w:tabs>
            <w:rPr>
              <w:rFonts w:asciiTheme="minorHAnsi" w:eastAsiaTheme="minorEastAsia" w:hAnsiTheme="minorHAnsi" w:cstheme="minorBidi"/>
              <w:noProof/>
              <w:sz w:val="22"/>
              <w:szCs w:val="22"/>
            </w:rPr>
          </w:pPr>
          <w:hyperlink w:anchor="_Toc131503903" w:history="1">
            <w:r w:rsidR="000107EF" w:rsidRPr="00F20EBD">
              <w:rPr>
                <w:rStyle w:val="Hyperlink"/>
                <w:noProof/>
              </w:rPr>
              <w:t>O.</w:t>
            </w:r>
            <w:r w:rsidR="000107EF">
              <w:rPr>
                <w:rFonts w:asciiTheme="minorHAnsi" w:eastAsiaTheme="minorEastAsia" w:hAnsiTheme="minorHAnsi" w:cstheme="minorBidi"/>
                <w:noProof/>
                <w:sz w:val="22"/>
                <w:szCs w:val="22"/>
              </w:rPr>
              <w:tab/>
            </w:r>
            <w:r w:rsidR="000107EF" w:rsidRPr="00F20EBD">
              <w:rPr>
                <w:rStyle w:val="Hyperlink"/>
                <w:noProof/>
              </w:rPr>
              <w:t>Other Groundfish Species</w:t>
            </w:r>
            <w:r w:rsidR="000107EF">
              <w:rPr>
                <w:noProof/>
                <w:webHidden/>
              </w:rPr>
              <w:tab/>
            </w:r>
            <w:r w:rsidR="000107EF">
              <w:rPr>
                <w:noProof/>
                <w:webHidden/>
              </w:rPr>
              <w:fldChar w:fldCharType="begin"/>
            </w:r>
            <w:r w:rsidR="000107EF">
              <w:rPr>
                <w:noProof/>
                <w:webHidden/>
              </w:rPr>
              <w:instrText xml:space="preserve"> PAGEREF _Toc131503903 \h </w:instrText>
            </w:r>
            <w:r w:rsidR="000107EF">
              <w:rPr>
                <w:noProof/>
                <w:webHidden/>
              </w:rPr>
            </w:r>
            <w:r w:rsidR="000107EF">
              <w:rPr>
                <w:noProof/>
                <w:webHidden/>
              </w:rPr>
              <w:fldChar w:fldCharType="separate"/>
            </w:r>
            <w:r w:rsidR="000107EF">
              <w:rPr>
                <w:noProof/>
                <w:webHidden/>
              </w:rPr>
              <w:t>83</w:t>
            </w:r>
            <w:r w:rsidR="000107EF">
              <w:rPr>
                <w:noProof/>
                <w:webHidden/>
              </w:rPr>
              <w:fldChar w:fldCharType="end"/>
            </w:r>
          </w:hyperlink>
        </w:p>
        <w:p w14:paraId="7FA29B2E" w14:textId="0E20F295" w:rsidR="000107EF" w:rsidRDefault="00A44DE9">
          <w:pPr>
            <w:pStyle w:val="TOC5"/>
            <w:rPr>
              <w:rFonts w:asciiTheme="minorHAnsi" w:eastAsiaTheme="minorEastAsia" w:hAnsiTheme="minorHAnsi" w:cstheme="minorBidi"/>
              <w:noProof/>
              <w:sz w:val="22"/>
              <w:szCs w:val="22"/>
            </w:rPr>
          </w:pPr>
          <w:hyperlink w:anchor="_Toc131503904" w:history="1">
            <w:r w:rsidR="000107EF" w:rsidRPr="00F20EBD">
              <w:rPr>
                <w:rStyle w:val="Hyperlink"/>
                <w:noProof/>
              </w:rPr>
              <w:t>Other groundfish stocks assessed by the AFSC – REFM</w:t>
            </w:r>
            <w:r w:rsidR="000107EF">
              <w:rPr>
                <w:noProof/>
                <w:webHidden/>
              </w:rPr>
              <w:tab/>
            </w:r>
            <w:r w:rsidR="000107EF">
              <w:rPr>
                <w:noProof/>
                <w:webHidden/>
              </w:rPr>
              <w:fldChar w:fldCharType="begin"/>
            </w:r>
            <w:r w:rsidR="000107EF">
              <w:rPr>
                <w:noProof/>
                <w:webHidden/>
              </w:rPr>
              <w:instrText xml:space="preserve"> PAGEREF _Toc131503904 \h </w:instrText>
            </w:r>
            <w:r w:rsidR="000107EF">
              <w:rPr>
                <w:noProof/>
                <w:webHidden/>
              </w:rPr>
            </w:r>
            <w:r w:rsidR="000107EF">
              <w:rPr>
                <w:noProof/>
                <w:webHidden/>
              </w:rPr>
              <w:fldChar w:fldCharType="separate"/>
            </w:r>
            <w:r w:rsidR="000107EF">
              <w:rPr>
                <w:noProof/>
                <w:webHidden/>
              </w:rPr>
              <w:t>83</w:t>
            </w:r>
            <w:r w:rsidR="000107EF">
              <w:rPr>
                <w:noProof/>
                <w:webHidden/>
              </w:rPr>
              <w:fldChar w:fldCharType="end"/>
            </w:r>
          </w:hyperlink>
        </w:p>
        <w:p w14:paraId="1C282AA0" w14:textId="4163D00F" w:rsidR="000107EF" w:rsidRDefault="00A44DE9">
          <w:pPr>
            <w:pStyle w:val="TOC5"/>
            <w:rPr>
              <w:rFonts w:asciiTheme="minorHAnsi" w:eastAsiaTheme="minorEastAsia" w:hAnsiTheme="minorHAnsi" w:cstheme="minorBidi"/>
              <w:noProof/>
              <w:sz w:val="22"/>
              <w:szCs w:val="22"/>
            </w:rPr>
          </w:pPr>
          <w:hyperlink w:anchor="_Toc131503905" w:history="1">
            <w:r w:rsidR="000107EF" w:rsidRPr="00F20EBD">
              <w:rPr>
                <w:rStyle w:val="Hyperlink"/>
                <w:noProof/>
              </w:rPr>
              <w:t>Understanding transboundary stocks availability by combining multiple fisheries-independent surveys and oceanographic conditions in spatiotemporal models – RACE-GAP/HEPR/REFM</w:t>
            </w:r>
            <w:r w:rsidR="000107EF">
              <w:rPr>
                <w:noProof/>
                <w:webHidden/>
              </w:rPr>
              <w:tab/>
            </w:r>
            <w:r w:rsidR="000107EF">
              <w:rPr>
                <w:noProof/>
                <w:webHidden/>
              </w:rPr>
              <w:fldChar w:fldCharType="begin"/>
            </w:r>
            <w:r w:rsidR="000107EF">
              <w:rPr>
                <w:noProof/>
                <w:webHidden/>
              </w:rPr>
              <w:instrText xml:space="preserve"> PAGEREF _Toc131503905 \h </w:instrText>
            </w:r>
            <w:r w:rsidR="000107EF">
              <w:rPr>
                <w:noProof/>
                <w:webHidden/>
              </w:rPr>
            </w:r>
            <w:r w:rsidR="000107EF">
              <w:rPr>
                <w:noProof/>
                <w:webHidden/>
              </w:rPr>
              <w:fldChar w:fldCharType="separate"/>
            </w:r>
            <w:r w:rsidR="000107EF">
              <w:rPr>
                <w:noProof/>
                <w:webHidden/>
              </w:rPr>
              <w:t>83</w:t>
            </w:r>
            <w:r w:rsidR="000107EF">
              <w:rPr>
                <w:noProof/>
                <w:webHidden/>
              </w:rPr>
              <w:fldChar w:fldCharType="end"/>
            </w:r>
          </w:hyperlink>
        </w:p>
        <w:p w14:paraId="4BF7F9CA" w14:textId="27F75DD0" w:rsidR="000107EF" w:rsidRDefault="00A44DE9">
          <w:pPr>
            <w:pStyle w:val="TOC5"/>
            <w:rPr>
              <w:rFonts w:asciiTheme="minorHAnsi" w:eastAsiaTheme="minorEastAsia" w:hAnsiTheme="minorHAnsi" w:cstheme="minorBidi"/>
              <w:noProof/>
              <w:sz w:val="22"/>
              <w:szCs w:val="22"/>
            </w:rPr>
          </w:pPr>
          <w:hyperlink w:anchor="_Toc131503906" w:history="1">
            <w:r w:rsidR="000107EF" w:rsidRPr="00F20EBD">
              <w:rPr>
                <w:rStyle w:val="Hyperlink"/>
                <w:noProof/>
              </w:rPr>
              <w:t>Nearshore bathymetric changes along the Alaska Beaufort Sea coast and possible physical drivers – RACE-GAP</w:t>
            </w:r>
            <w:r w:rsidR="000107EF">
              <w:rPr>
                <w:noProof/>
                <w:webHidden/>
              </w:rPr>
              <w:tab/>
            </w:r>
            <w:r w:rsidR="000107EF">
              <w:rPr>
                <w:noProof/>
                <w:webHidden/>
              </w:rPr>
              <w:fldChar w:fldCharType="begin"/>
            </w:r>
            <w:r w:rsidR="000107EF">
              <w:rPr>
                <w:noProof/>
                <w:webHidden/>
              </w:rPr>
              <w:instrText xml:space="preserve"> PAGEREF _Toc131503906 \h </w:instrText>
            </w:r>
            <w:r w:rsidR="000107EF">
              <w:rPr>
                <w:noProof/>
                <w:webHidden/>
              </w:rPr>
            </w:r>
            <w:r w:rsidR="000107EF">
              <w:rPr>
                <w:noProof/>
                <w:webHidden/>
              </w:rPr>
              <w:fldChar w:fldCharType="separate"/>
            </w:r>
            <w:r w:rsidR="000107EF">
              <w:rPr>
                <w:noProof/>
                <w:webHidden/>
              </w:rPr>
              <w:t>84</w:t>
            </w:r>
            <w:r w:rsidR="000107EF">
              <w:rPr>
                <w:noProof/>
                <w:webHidden/>
              </w:rPr>
              <w:fldChar w:fldCharType="end"/>
            </w:r>
          </w:hyperlink>
        </w:p>
        <w:p w14:paraId="0336A708" w14:textId="58889236" w:rsidR="000107EF" w:rsidRDefault="00A44DE9">
          <w:pPr>
            <w:pStyle w:val="TOC5"/>
            <w:rPr>
              <w:rFonts w:asciiTheme="minorHAnsi" w:eastAsiaTheme="minorEastAsia" w:hAnsiTheme="minorHAnsi" w:cstheme="minorBidi"/>
              <w:noProof/>
              <w:sz w:val="22"/>
              <w:szCs w:val="22"/>
            </w:rPr>
          </w:pPr>
          <w:hyperlink w:anchor="_Toc131503907" w:history="1">
            <w:r w:rsidR="000107EF" w:rsidRPr="00F20EBD">
              <w:rPr>
                <w:rStyle w:val="Hyperlink"/>
                <w:noProof/>
              </w:rPr>
              <w:t>Accounting for trophic relationships in Essential Fish Habitat designations – RACE/CICOES/ABL/EMA/EcoFOCI/AKRO</w:t>
            </w:r>
            <w:r w:rsidR="000107EF">
              <w:rPr>
                <w:noProof/>
                <w:webHidden/>
              </w:rPr>
              <w:tab/>
            </w:r>
            <w:r w:rsidR="000107EF">
              <w:rPr>
                <w:noProof/>
                <w:webHidden/>
              </w:rPr>
              <w:fldChar w:fldCharType="begin"/>
            </w:r>
            <w:r w:rsidR="000107EF">
              <w:rPr>
                <w:noProof/>
                <w:webHidden/>
              </w:rPr>
              <w:instrText xml:space="preserve"> PAGEREF _Toc131503907 \h </w:instrText>
            </w:r>
            <w:r w:rsidR="000107EF">
              <w:rPr>
                <w:noProof/>
                <w:webHidden/>
              </w:rPr>
            </w:r>
            <w:r w:rsidR="000107EF">
              <w:rPr>
                <w:noProof/>
                <w:webHidden/>
              </w:rPr>
              <w:fldChar w:fldCharType="separate"/>
            </w:r>
            <w:r w:rsidR="000107EF">
              <w:rPr>
                <w:noProof/>
                <w:webHidden/>
              </w:rPr>
              <w:t>85</w:t>
            </w:r>
            <w:r w:rsidR="000107EF">
              <w:rPr>
                <w:noProof/>
                <w:webHidden/>
              </w:rPr>
              <w:fldChar w:fldCharType="end"/>
            </w:r>
          </w:hyperlink>
        </w:p>
        <w:p w14:paraId="62B29FEB" w14:textId="33F2EA07" w:rsidR="000107EF" w:rsidRDefault="00A44DE9">
          <w:pPr>
            <w:pStyle w:val="TOC5"/>
            <w:rPr>
              <w:rFonts w:asciiTheme="minorHAnsi" w:eastAsiaTheme="minorEastAsia" w:hAnsiTheme="minorHAnsi" w:cstheme="minorBidi"/>
              <w:noProof/>
              <w:sz w:val="22"/>
              <w:szCs w:val="22"/>
            </w:rPr>
          </w:pPr>
          <w:hyperlink w:anchor="_Toc131503908" w:history="1">
            <w:r w:rsidR="000107EF" w:rsidRPr="00F20EBD">
              <w:rPr>
                <w:rStyle w:val="Hyperlink"/>
                <w:noProof/>
              </w:rPr>
              <w:t>Groundfish Assessment Program Systematics Lab – RACE-GAP</w:t>
            </w:r>
            <w:r w:rsidR="000107EF">
              <w:rPr>
                <w:noProof/>
                <w:webHidden/>
              </w:rPr>
              <w:tab/>
            </w:r>
            <w:r w:rsidR="000107EF">
              <w:rPr>
                <w:noProof/>
                <w:webHidden/>
              </w:rPr>
              <w:fldChar w:fldCharType="begin"/>
            </w:r>
            <w:r w:rsidR="000107EF">
              <w:rPr>
                <w:noProof/>
                <w:webHidden/>
              </w:rPr>
              <w:instrText xml:space="preserve"> PAGEREF _Toc131503908 \h </w:instrText>
            </w:r>
            <w:r w:rsidR="000107EF">
              <w:rPr>
                <w:noProof/>
                <w:webHidden/>
              </w:rPr>
            </w:r>
            <w:r w:rsidR="000107EF">
              <w:rPr>
                <w:noProof/>
                <w:webHidden/>
              </w:rPr>
              <w:fldChar w:fldCharType="separate"/>
            </w:r>
            <w:r w:rsidR="000107EF">
              <w:rPr>
                <w:noProof/>
                <w:webHidden/>
              </w:rPr>
              <w:t>86</w:t>
            </w:r>
            <w:r w:rsidR="000107EF">
              <w:rPr>
                <w:noProof/>
                <w:webHidden/>
              </w:rPr>
              <w:fldChar w:fldCharType="end"/>
            </w:r>
          </w:hyperlink>
        </w:p>
        <w:p w14:paraId="79ADD52F" w14:textId="2B1E80EC" w:rsidR="000107EF" w:rsidRDefault="00A44DE9">
          <w:pPr>
            <w:pStyle w:val="TOC5"/>
            <w:rPr>
              <w:rFonts w:asciiTheme="minorHAnsi" w:eastAsiaTheme="minorEastAsia" w:hAnsiTheme="minorHAnsi" w:cstheme="minorBidi"/>
              <w:noProof/>
              <w:sz w:val="22"/>
              <w:szCs w:val="22"/>
            </w:rPr>
          </w:pPr>
          <w:hyperlink w:anchor="_Toc131503909" w:history="1">
            <w:r w:rsidR="000107EF" w:rsidRPr="00F20EBD">
              <w:rPr>
                <w:rStyle w:val="Hyperlink"/>
                <w:noProof/>
              </w:rPr>
              <w:t>Sponge Identification and Genetics in the Gulf of Alaska and Aleutian Islands – RACE-GAP/NWFSC</w:t>
            </w:r>
            <w:r w:rsidR="000107EF">
              <w:rPr>
                <w:noProof/>
                <w:webHidden/>
              </w:rPr>
              <w:tab/>
            </w:r>
            <w:r w:rsidR="000107EF">
              <w:rPr>
                <w:noProof/>
                <w:webHidden/>
              </w:rPr>
              <w:fldChar w:fldCharType="begin"/>
            </w:r>
            <w:r w:rsidR="000107EF">
              <w:rPr>
                <w:noProof/>
                <w:webHidden/>
              </w:rPr>
              <w:instrText xml:space="preserve"> PAGEREF _Toc131503909 \h </w:instrText>
            </w:r>
            <w:r w:rsidR="000107EF">
              <w:rPr>
                <w:noProof/>
                <w:webHidden/>
              </w:rPr>
            </w:r>
            <w:r w:rsidR="000107EF">
              <w:rPr>
                <w:noProof/>
                <w:webHidden/>
              </w:rPr>
              <w:fldChar w:fldCharType="separate"/>
            </w:r>
            <w:r w:rsidR="000107EF">
              <w:rPr>
                <w:noProof/>
                <w:webHidden/>
              </w:rPr>
              <w:t>87</w:t>
            </w:r>
            <w:r w:rsidR="000107EF">
              <w:rPr>
                <w:noProof/>
                <w:webHidden/>
              </w:rPr>
              <w:fldChar w:fldCharType="end"/>
            </w:r>
          </w:hyperlink>
        </w:p>
        <w:p w14:paraId="1CD8629D" w14:textId="50548732" w:rsidR="000107EF" w:rsidRDefault="00A44DE9">
          <w:pPr>
            <w:pStyle w:val="TOC5"/>
            <w:rPr>
              <w:rFonts w:asciiTheme="minorHAnsi" w:eastAsiaTheme="minorEastAsia" w:hAnsiTheme="minorHAnsi" w:cstheme="minorBidi"/>
              <w:noProof/>
              <w:sz w:val="22"/>
              <w:szCs w:val="22"/>
            </w:rPr>
          </w:pPr>
          <w:hyperlink w:anchor="_Toc131503910" w:history="1">
            <w:r w:rsidR="000107EF" w:rsidRPr="00F20EBD">
              <w:rPr>
                <w:rStyle w:val="Hyperlink"/>
                <w:noProof/>
              </w:rPr>
              <w:t>Science-Industry Rockfish Research Collaboration in Alaska (SIRRCA) – RACE-GAP/APU FAST</w:t>
            </w:r>
            <w:r w:rsidR="000107EF">
              <w:rPr>
                <w:noProof/>
                <w:webHidden/>
              </w:rPr>
              <w:tab/>
            </w:r>
            <w:r w:rsidR="000107EF">
              <w:rPr>
                <w:noProof/>
                <w:webHidden/>
              </w:rPr>
              <w:fldChar w:fldCharType="begin"/>
            </w:r>
            <w:r w:rsidR="000107EF">
              <w:rPr>
                <w:noProof/>
                <w:webHidden/>
              </w:rPr>
              <w:instrText xml:space="preserve"> PAGEREF _Toc131503910 \h </w:instrText>
            </w:r>
            <w:r w:rsidR="000107EF">
              <w:rPr>
                <w:noProof/>
                <w:webHidden/>
              </w:rPr>
            </w:r>
            <w:r w:rsidR="000107EF">
              <w:rPr>
                <w:noProof/>
                <w:webHidden/>
              </w:rPr>
              <w:fldChar w:fldCharType="separate"/>
            </w:r>
            <w:r w:rsidR="000107EF">
              <w:rPr>
                <w:noProof/>
                <w:webHidden/>
              </w:rPr>
              <w:t>91</w:t>
            </w:r>
            <w:r w:rsidR="000107EF">
              <w:rPr>
                <w:noProof/>
                <w:webHidden/>
              </w:rPr>
              <w:fldChar w:fldCharType="end"/>
            </w:r>
          </w:hyperlink>
        </w:p>
        <w:p w14:paraId="344BE24C" w14:textId="62143085" w:rsidR="000107EF" w:rsidRDefault="00A44DE9">
          <w:pPr>
            <w:pStyle w:val="TOC2"/>
            <w:tabs>
              <w:tab w:val="left" w:pos="720"/>
              <w:tab w:val="right" w:pos="9350"/>
            </w:tabs>
            <w:rPr>
              <w:rFonts w:asciiTheme="minorHAnsi" w:eastAsiaTheme="minorEastAsia" w:hAnsiTheme="minorHAnsi" w:cstheme="minorBidi"/>
              <w:noProof/>
              <w:sz w:val="22"/>
              <w:szCs w:val="22"/>
            </w:rPr>
          </w:pPr>
          <w:hyperlink w:anchor="_Toc131503911" w:history="1">
            <w:r w:rsidR="000107EF" w:rsidRPr="00F20EBD">
              <w:rPr>
                <w:rStyle w:val="Hyperlink"/>
                <w:noProof/>
              </w:rPr>
              <w:t>V.</w:t>
            </w:r>
            <w:r w:rsidR="000107EF">
              <w:rPr>
                <w:rFonts w:asciiTheme="minorHAnsi" w:eastAsiaTheme="minorEastAsia" w:hAnsiTheme="minorHAnsi" w:cstheme="minorBidi"/>
                <w:noProof/>
                <w:sz w:val="22"/>
                <w:szCs w:val="22"/>
              </w:rPr>
              <w:tab/>
            </w:r>
            <w:r w:rsidR="000107EF" w:rsidRPr="00F20EBD">
              <w:rPr>
                <w:rStyle w:val="Hyperlink"/>
                <w:noProof/>
              </w:rPr>
              <w:t>Ecosystem Studies</w:t>
            </w:r>
            <w:r w:rsidR="000107EF">
              <w:rPr>
                <w:noProof/>
                <w:webHidden/>
              </w:rPr>
              <w:tab/>
            </w:r>
            <w:r w:rsidR="000107EF">
              <w:rPr>
                <w:noProof/>
                <w:webHidden/>
              </w:rPr>
              <w:fldChar w:fldCharType="begin"/>
            </w:r>
            <w:r w:rsidR="000107EF">
              <w:rPr>
                <w:noProof/>
                <w:webHidden/>
              </w:rPr>
              <w:instrText xml:space="preserve"> PAGEREF _Toc131503911 \h </w:instrText>
            </w:r>
            <w:r w:rsidR="000107EF">
              <w:rPr>
                <w:noProof/>
                <w:webHidden/>
              </w:rPr>
            </w:r>
            <w:r w:rsidR="000107EF">
              <w:rPr>
                <w:noProof/>
                <w:webHidden/>
              </w:rPr>
              <w:fldChar w:fldCharType="separate"/>
            </w:r>
            <w:r w:rsidR="000107EF">
              <w:rPr>
                <w:noProof/>
                <w:webHidden/>
              </w:rPr>
              <w:t>97</w:t>
            </w:r>
            <w:r w:rsidR="000107EF">
              <w:rPr>
                <w:noProof/>
                <w:webHidden/>
              </w:rPr>
              <w:fldChar w:fldCharType="end"/>
            </w:r>
          </w:hyperlink>
        </w:p>
        <w:p w14:paraId="5E355F77" w14:textId="41588948" w:rsidR="000107EF" w:rsidRDefault="00A44DE9">
          <w:pPr>
            <w:pStyle w:val="TOC5"/>
            <w:rPr>
              <w:rFonts w:asciiTheme="minorHAnsi" w:eastAsiaTheme="minorEastAsia" w:hAnsiTheme="minorHAnsi" w:cstheme="minorBidi"/>
              <w:noProof/>
              <w:sz w:val="22"/>
              <w:szCs w:val="22"/>
            </w:rPr>
          </w:pPr>
          <w:hyperlink w:anchor="_Toc131503912" w:history="1">
            <w:r w:rsidR="000107EF" w:rsidRPr="00F20EBD">
              <w:rPr>
                <w:rStyle w:val="Hyperlink"/>
                <w:noProof/>
              </w:rPr>
              <w:t>Ecosystem and Socioeconomic Profiles (ESP) – REFM</w:t>
            </w:r>
            <w:r w:rsidR="000107EF">
              <w:rPr>
                <w:noProof/>
                <w:webHidden/>
              </w:rPr>
              <w:tab/>
            </w:r>
            <w:r w:rsidR="000107EF">
              <w:rPr>
                <w:noProof/>
                <w:webHidden/>
              </w:rPr>
              <w:fldChar w:fldCharType="begin"/>
            </w:r>
            <w:r w:rsidR="000107EF">
              <w:rPr>
                <w:noProof/>
                <w:webHidden/>
              </w:rPr>
              <w:instrText xml:space="preserve"> PAGEREF _Toc131503912 \h </w:instrText>
            </w:r>
            <w:r w:rsidR="000107EF">
              <w:rPr>
                <w:noProof/>
                <w:webHidden/>
              </w:rPr>
            </w:r>
            <w:r w:rsidR="000107EF">
              <w:rPr>
                <w:noProof/>
                <w:webHidden/>
              </w:rPr>
              <w:fldChar w:fldCharType="separate"/>
            </w:r>
            <w:r w:rsidR="000107EF">
              <w:rPr>
                <w:noProof/>
                <w:webHidden/>
              </w:rPr>
              <w:t>97</w:t>
            </w:r>
            <w:r w:rsidR="000107EF">
              <w:rPr>
                <w:noProof/>
                <w:webHidden/>
              </w:rPr>
              <w:fldChar w:fldCharType="end"/>
            </w:r>
          </w:hyperlink>
        </w:p>
        <w:p w14:paraId="409C3A9D" w14:textId="17B1D4EE" w:rsidR="000107EF" w:rsidRDefault="00A44DE9">
          <w:pPr>
            <w:pStyle w:val="TOC5"/>
            <w:rPr>
              <w:rFonts w:asciiTheme="minorHAnsi" w:eastAsiaTheme="minorEastAsia" w:hAnsiTheme="minorHAnsi" w:cstheme="minorBidi"/>
              <w:noProof/>
              <w:sz w:val="22"/>
              <w:szCs w:val="22"/>
            </w:rPr>
          </w:pPr>
          <w:hyperlink w:anchor="_Toc131503913" w:history="1">
            <w:r w:rsidR="000107EF" w:rsidRPr="00F20EBD">
              <w:rPr>
                <w:rStyle w:val="Hyperlink"/>
                <w:noProof/>
              </w:rPr>
              <w:t>Gulf of Alaska Climate Integrated Modeling Project – REFM and other divisions</w:t>
            </w:r>
            <w:r w:rsidR="000107EF">
              <w:rPr>
                <w:noProof/>
                <w:webHidden/>
              </w:rPr>
              <w:tab/>
            </w:r>
            <w:r w:rsidR="000107EF">
              <w:rPr>
                <w:noProof/>
                <w:webHidden/>
              </w:rPr>
              <w:fldChar w:fldCharType="begin"/>
            </w:r>
            <w:r w:rsidR="000107EF">
              <w:rPr>
                <w:noProof/>
                <w:webHidden/>
              </w:rPr>
              <w:instrText xml:space="preserve"> PAGEREF _Toc131503913 \h </w:instrText>
            </w:r>
            <w:r w:rsidR="000107EF">
              <w:rPr>
                <w:noProof/>
                <w:webHidden/>
              </w:rPr>
            </w:r>
            <w:r w:rsidR="000107EF">
              <w:rPr>
                <w:noProof/>
                <w:webHidden/>
              </w:rPr>
              <w:fldChar w:fldCharType="separate"/>
            </w:r>
            <w:r w:rsidR="000107EF">
              <w:rPr>
                <w:noProof/>
                <w:webHidden/>
              </w:rPr>
              <w:t>100</w:t>
            </w:r>
            <w:r w:rsidR="000107EF">
              <w:rPr>
                <w:noProof/>
                <w:webHidden/>
              </w:rPr>
              <w:fldChar w:fldCharType="end"/>
            </w:r>
          </w:hyperlink>
        </w:p>
        <w:p w14:paraId="44815F78" w14:textId="11FE871B" w:rsidR="000107EF" w:rsidRDefault="00A44DE9">
          <w:pPr>
            <w:pStyle w:val="TOC4"/>
            <w:tabs>
              <w:tab w:val="right" w:pos="9350"/>
            </w:tabs>
            <w:rPr>
              <w:rFonts w:asciiTheme="minorHAnsi" w:eastAsiaTheme="minorEastAsia" w:hAnsiTheme="minorHAnsi" w:cstheme="minorBidi"/>
              <w:noProof/>
              <w:sz w:val="22"/>
              <w:szCs w:val="22"/>
            </w:rPr>
          </w:pPr>
          <w:hyperlink w:anchor="_Toc131503914" w:history="1">
            <w:r w:rsidR="000107EF" w:rsidRPr="00F20EBD">
              <w:rPr>
                <w:rStyle w:val="Hyperlink"/>
                <w:noProof/>
              </w:rPr>
              <w:t>Resource Ecology and Ecosystem Modeling Program</w:t>
            </w:r>
            <w:r w:rsidR="000107EF" w:rsidRPr="00F20EBD">
              <w:rPr>
                <w:rStyle w:val="Hyperlink"/>
                <w:i/>
                <w:noProof/>
              </w:rPr>
              <w:t xml:space="preserve"> – </w:t>
            </w:r>
            <w:r w:rsidR="000107EF" w:rsidRPr="00F20EBD">
              <w:rPr>
                <w:rStyle w:val="Hyperlink"/>
                <w:noProof/>
              </w:rPr>
              <w:t>REFM/REEM</w:t>
            </w:r>
            <w:r w:rsidR="000107EF">
              <w:rPr>
                <w:noProof/>
                <w:webHidden/>
              </w:rPr>
              <w:tab/>
            </w:r>
            <w:r w:rsidR="000107EF">
              <w:rPr>
                <w:noProof/>
                <w:webHidden/>
              </w:rPr>
              <w:fldChar w:fldCharType="begin"/>
            </w:r>
            <w:r w:rsidR="000107EF">
              <w:rPr>
                <w:noProof/>
                <w:webHidden/>
              </w:rPr>
              <w:instrText xml:space="preserve"> PAGEREF _Toc131503914 \h </w:instrText>
            </w:r>
            <w:r w:rsidR="000107EF">
              <w:rPr>
                <w:noProof/>
                <w:webHidden/>
              </w:rPr>
            </w:r>
            <w:r w:rsidR="000107EF">
              <w:rPr>
                <w:noProof/>
                <w:webHidden/>
              </w:rPr>
              <w:fldChar w:fldCharType="separate"/>
            </w:r>
            <w:r w:rsidR="000107EF">
              <w:rPr>
                <w:noProof/>
                <w:webHidden/>
              </w:rPr>
              <w:t>101</w:t>
            </w:r>
            <w:r w:rsidR="000107EF">
              <w:rPr>
                <w:noProof/>
                <w:webHidden/>
              </w:rPr>
              <w:fldChar w:fldCharType="end"/>
            </w:r>
          </w:hyperlink>
        </w:p>
        <w:p w14:paraId="32384E8B" w14:textId="78D9B3EE" w:rsidR="000107EF" w:rsidRDefault="00A44DE9">
          <w:pPr>
            <w:pStyle w:val="TOC5"/>
            <w:rPr>
              <w:rFonts w:asciiTheme="minorHAnsi" w:eastAsiaTheme="minorEastAsia" w:hAnsiTheme="minorHAnsi" w:cstheme="minorBidi"/>
              <w:noProof/>
              <w:sz w:val="22"/>
              <w:szCs w:val="22"/>
            </w:rPr>
          </w:pPr>
          <w:hyperlink w:anchor="_Toc131503915" w:history="1">
            <w:r w:rsidR="000107EF" w:rsidRPr="00F20EBD">
              <w:rPr>
                <w:rStyle w:val="Hyperlink"/>
                <w:noProof/>
              </w:rPr>
              <w:t>Ecosystem Status Reports 2022: the Status of Alaska’s Marine Ecosystems completed and posted online</w:t>
            </w:r>
            <w:r w:rsidR="000107EF">
              <w:rPr>
                <w:noProof/>
                <w:webHidden/>
              </w:rPr>
              <w:tab/>
            </w:r>
            <w:r w:rsidR="000107EF">
              <w:rPr>
                <w:noProof/>
                <w:webHidden/>
              </w:rPr>
              <w:fldChar w:fldCharType="begin"/>
            </w:r>
            <w:r w:rsidR="000107EF">
              <w:rPr>
                <w:noProof/>
                <w:webHidden/>
              </w:rPr>
              <w:instrText xml:space="preserve"> PAGEREF _Toc131503915 \h </w:instrText>
            </w:r>
            <w:r w:rsidR="000107EF">
              <w:rPr>
                <w:noProof/>
                <w:webHidden/>
              </w:rPr>
            </w:r>
            <w:r w:rsidR="000107EF">
              <w:rPr>
                <w:noProof/>
                <w:webHidden/>
              </w:rPr>
              <w:fldChar w:fldCharType="separate"/>
            </w:r>
            <w:r w:rsidR="000107EF">
              <w:rPr>
                <w:noProof/>
                <w:webHidden/>
              </w:rPr>
              <w:t>101</w:t>
            </w:r>
            <w:r w:rsidR="000107EF">
              <w:rPr>
                <w:noProof/>
                <w:webHidden/>
              </w:rPr>
              <w:fldChar w:fldCharType="end"/>
            </w:r>
          </w:hyperlink>
        </w:p>
        <w:p w14:paraId="3529FD11" w14:textId="15266124" w:rsidR="000107EF" w:rsidRDefault="00A44DE9">
          <w:pPr>
            <w:pStyle w:val="TOC5"/>
            <w:rPr>
              <w:rFonts w:asciiTheme="minorHAnsi" w:eastAsiaTheme="minorEastAsia" w:hAnsiTheme="minorHAnsi" w:cstheme="minorBidi"/>
              <w:noProof/>
              <w:sz w:val="22"/>
              <w:szCs w:val="22"/>
            </w:rPr>
          </w:pPr>
          <w:hyperlink w:anchor="_Toc131503916" w:history="1">
            <w:r w:rsidR="000107EF" w:rsidRPr="00F20EBD">
              <w:rPr>
                <w:rStyle w:val="Hyperlink"/>
                <w:noProof/>
              </w:rPr>
              <w:t>Groundfish Stomach Sample Collection and Analysis – REFM/REEM</w:t>
            </w:r>
            <w:r w:rsidR="000107EF">
              <w:rPr>
                <w:noProof/>
                <w:webHidden/>
              </w:rPr>
              <w:tab/>
            </w:r>
            <w:r w:rsidR="000107EF">
              <w:rPr>
                <w:noProof/>
                <w:webHidden/>
              </w:rPr>
              <w:fldChar w:fldCharType="begin"/>
            </w:r>
            <w:r w:rsidR="000107EF">
              <w:rPr>
                <w:noProof/>
                <w:webHidden/>
              </w:rPr>
              <w:instrText xml:space="preserve"> PAGEREF _Toc131503916 \h </w:instrText>
            </w:r>
            <w:r w:rsidR="000107EF">
              <w:rPr>
                <w:noProof/>
                <w:webHidden/>
              </w:rPr>
            </w:r>
            <w:r w:rsidR="000107EF">
              <w:rPr>
                <w:noProof/>
                <w:webHidden/>
              </w:rPr>
              <w:fldChar w:fldCharType="separate"/>
            </w:r>
            <w:r w:rsidR="000107EF">
              <w:rPr>
                <w:noProof/>
                <w:webHidden/>
              </w:rPr>
              <w:t>101</w:t>
            </w:r>
            <w:r w:rsidR="000107EF">
              <w:rPr>
                <w:noProof/>
                <w:webHidden/>
              </w:rPr>
              <w:fldChar w:fldCharType="end"/>
            </w:r>
          </w:hyperlink>
        </w:p>
        <w:p w14:paraId="26DE5576" w14:textId="6798D5E2" w:rsidR="000107EF" w:rsidRDefault="00A44DE9">
          <w:pPr>
            <w:pStyle w:val="TOC4"/>
            <w:tabs>
              <w:tab w:val="right" w:pos="9350"/>
            </w:tabs>
            <w:rPr>
              <w:rFonts w:asciiTheme="minorHAnsi" w:eastAsiaTheme="minorEastAsia" w:hAnsiTheme="minorHAnsi" w:cstheme="minorBidi"/>
              <w:noProof/>
              <w:sz w:val="22"/>
              <w:szCs w:val="22"/>
            </w:rPr>
          </w:pPr>
          <w:hyperlink w:anchor="_Toc131503917" w:history="1">
            <w:r w:rsidR="000107EF" w:rsidRPr="00F20EBD">
              <w:rPr>
                <w:rStyle w:val="Hyperlink"/>
                <w:noProof/>
              </w:rPr>
              <w:t>Economics and Social Sciences Research</w:t>
            </w:r>
            <w:r w:rsidR="000107EF" w:rsidRPr="00F20EBD">
              <w:rPr>
                <w:rStyle w:val="Hyperlink"/>
                <w:i/>
                <w:noProof/>
              </w:rPr>
              <w:t xml:space="preserve"> – </w:t>
            </w:r>
            <w:r w:rsidR="000107EF" w:rsidRPr="00F20EBD">
              <w:rPr>
                <w:rStyle w:val="Hyperlink"/>
                <w:noProof/>
              </w:rPr>
              <w:t>REFM/ESSR</w:t>
            </w:r>
            <w:r w:rsidR="000107EF">
              <w:rPr>
                <w:noProof/>
                <w:webHidden/>
              </w:rPr>
              <w:tab/>
            </w:r>
            <w:r w:rsidR="000107EF">
              <w:rPr>
                <w:noProof/>
                <w:webHidden/>
              </w:rPr>
              <w:fldChar w:fldCharType="begin"/>
            </w:r>
            <w:r w:rsidR="000107EF">
              <w:rPr>
                <w:noProof/>
                <w:webHidden/>
              </w:rPr>
              <w:instrText xml:space="preserve"> PAGEREF _Toc131503917 \h </w:instrText>
            </w:r>
            <w:r w:rsidR="000107EF">
              <w:rPr>
                <w:noProof/>
                <w:webHidden/>
              </w:rPr>
            </w:r>
            <w:r w:rsidR="000107EF">
              <w:rPr>
                <w:noProof/>
                <w:webHidden/>
              </w:rPr>
              <w:fldChar w:fldCharType="separate"/>
            </w:r>
            <w:r w:rsidR="000107EF">
              <w:rPr>
                <w:noProof/>
                <w:webHidden/>
              </w:rPr>
              <w:t>102</w:t>
            </w:r>
            <w:r w:rsidR="000107EF">
              <w:rPr>
                <w:noProof/>
                <w:webHidden/>
              </w:rPr>
              <w:fldChar w:fldCharType="end"/>
            </w:r>
          </w:hyperlink>
        </w:p>
        <w:p w14:paraId="3A815301" w14:textId="23A09B6B" w:rsidR="000107EF" w:rsidRDefault="00A44DE9">
          <w:pPr>
            <w:pStyle w:val="TOC5"/>
            <w:rPr>
              <w:rFonts w:asciiTheme="minorHAnsi" w:eastAsiaTheme="minorEastAsia" w:hAnsiTheme="minorHAnsi" w:cstheme="minorBidi"/>
              <w:noProof/>
              <w:sz w:val="22"/>
              <w:szCs w:val="22"/>
            </w:rPr>
          </w:pPr>
          <w:hyperlink w:anchor="_Toc131503918" w:history="1">
            <w:r w:rsidR="000107EF" w:rsidRPr="00F20EBD">
              <w:rPr>
                <w:rStyle w:val="Hyperlink"/>
                <w:noProof/>
                <w:highlight w:val="white"/>
              </w:rPr>
              <w:t>Summary of the 2022 Groundfish Economic SAFE Report</w:t>
            </w:r>
            <w:r w:rsidR="000107EF">
              <w:rPr>
                <w:noProof/>
                <w:webHidden/>
              </w:rPr>
              <w:tab/>
            </w:r>
            <w:r w:rsidR="000107EF">
              <w:rPr>
                <w:noProof/>
                <w:webHidden/>
              </w:rPr>
              <w:fldChar w:fldCharType="begin"/>
            </w:r>
            <w:r w:rsidR="000107EF">
              <w:rPr>
                <w:noProof/>
                <w:webHidden/>
              </w:rPr>
              <w:instrText xml:space="preserve"> PAGEREF _Toc131503918 \h </w:instrText>
            </w:r>
            <w:r w:rsidR="000107EF">
              <w:rPr>
                <w:noProof/>
                <w:webHidden/>
              </w:rPr>
            </w:r>
            <w:r w:rsidR="000107EF">
              <w:rPr>
                <w:noProof/>
                <w:webHidden/>
              </w:rPr>
              <w:fldChar w:fldCharType="separate"/>
            </w:r>
            <w:r w:rsidR="000107EF">
              <w:rPr>
                <w:noProof/>
                <w:webHidden/>
              </w:rPr>
              <w:t>102</w:t>
            </w:r>
            <w:r w:rsidR="000107EF">
              <w:rPr>
                <w:noProof/>
                <w:webHidden/>
              </w:rPr>
              <w:fldChar w:fldCharType="end"/>
            </w:r>
          </w:hyperlink>
        </w:p>
        <w:p w14:paraId="0E5A1D9D" w14:textId="6E7E9A70" w:rsidR="000107EF" w:rsidRDefault="00A44DE9">
          <w:pPr>
            <w:pStyle w:val="TOC2"/>
            <w:tabs>
              <w:tab w:val="right" w:pos="9350"/>
            </w:tabs>
            <w:rPr>
              <w:rFonts w:asciiTheme="minorHAnsi" w:eastAsiaTheme="minorEastAsia" w:hAnsiTheme="minorHAnsi" w:cstheme="minorBidi"/>
              <w:noProof/>
              <w:sz w:val="22"/>
              <w:szCs w:val="22"/>
            </w:rPr>
          </w:pPr>
          <w:hyperlink w:anchor="_Toc131503919" w:history="1">
            <w:r w:rsidR="000107EF" w:rsidRPr="00F20EBD">
              <w:rPr>
                <w:rStyle w:val="Hyperlink"/>
                <w:noProof/>
              </w:rPr>
              <w:t>VI – AFSC GROUNDFISH-RELATED PUBLICATIONS: PUBLICATIONS DATABASE</w:t>
            </w:r>
            <w:r w:rsidR="000107EF">
              <w:rPr>
                <w:noProof/>
                <w:webHidden/>
              </w:rPr>
              <w:tab/>
            </w:r>
            <w:r w:rsidR="000107EF">
              <w:rPr>
                <w:noProof/>
                <w:webHidden/>
              </w:rPr>
              <w:fldChar w:fldCharType="begin"/>
            </w:r>
            <w:r w:rsidR="000107EF">
              <w:rPr>
                <w:noProof/>
                <w:webHidden/>
              </w:rPr>
              <w:instrText xml:space="preserve"> PAGEREF _Toc131503919 \h </w:instrText>
            </w:r>
            <w:r w:rsidR="000107EF">
              <w:rPr>
                <w:noProof/>
                <w:webHidden/>
              </w:rPr>
            </w:r>
            <w:r w:rsidR="000107EF">
              <w:rPr>
                <w:noProof/>
                <w:webHidden/>
              </w:rPr>
              <w:fldChar w:fldCharType="separate"/>
            </w:r>
            <w:r w:rsidR="000107EF">
              <w:rPr>
                <w:noProof/>
                <w:webHidden/>
              </w:rPr>
              <w:t>104</w:t>
            </w:r>
            <w:r w:rsidR="000107EF">
              <w:rPr>
                <w:noProof/>
                <w:webHidden/>
              </w:rPr>
              <w:fldChar w:fldCharType="end"/>
            </w:r>
          </w:hyperlink>
        </w:p>
        <w:p w14:paraId="322ED81E" w14:textId="1EF2EA60" w:rsidR="000107EF" w:rsidRDefault="00A44DE9">
          <w:pPr>
            <w:pStyle w:val="TOC2"/>
            <w:tabs>
              <w:tab w:val="right" w:pos="9350"/>
            </w:tabs>
            <w:rPr>
              <w:rFonts w:asciiTheme="minorHAnsi" w:eastAsiaTheme="minorEastAsia" w:hAnsiTheme="minorHAnsi" w:cstheme="minorBidi"/>
              <w:noProof/>
              <w:sz w:val="22"/>
              <w:szCs w:val="22"/>
            </w:rPr>
          </w:pPr>
          <w:hyperlink w:anchor="_Toc131503920" w:history="1">
            <w:r w:rsidR="000107EF" w:rsidRPr="00F20EBD">
              <w:rPr>
                <w:rStyle w:val="Hyperlink"/>
                <w:noProof/>
              </w:rPr>
              <w:t>APPENDIX I.  RACE ORGANIZATION CHART</w:t>
            </w:r>
            <w:r w:rsidR="000107EF">
              <w:rPr>
                <w:noProof/>
                <w:webHidden/>
              </w:rPr>
              <w:tab/>
            </w:r>
            <w:r w:rsidR="000107EF">
              <w:rPr>
                <w:noProof/>
                <w:webHidden/>
              </w:rPr>
              <w:fldChar w:fldCharType="begin"/>
            </w:r>
            <w:r w:rsidR="000107EF">
              <w:rPr>
                <w:noProof/>
                <w:webHidden/>
              </w:rPr>
              <w:instrText xml:space="preserve"> PAGEREF _Toc131503920 \h </w:instrText>
            </w:r>
            <w:r w:rsidR="000107EF">
              <w:rPr>
                <w:noProof/>
                <w:webHidden/>
              </w:rPr>
            </w:r>
            <w:r w:rsidR="000107EF">
              <w:rPr>
                <w:noProof/>
                <w:webHidden/>
              </w:rPr>
              <w:fldChar w:fldCharType="separate"/>
            </w:r>
            <w:r w:rsidR="000107EF">
              <w:rPr>
                <w:noProof/>
                <w:webHidden/>
              </w:rPr>
              <w:t>107</w:t>
            </w:r>
            <w:r w:rsidR="000107EF">
              <w:rPr>
                <w:noProof/>
                <w:webHidden/>
              </w:rPr>
              <w:fldChar w:fldCharType="end"/>
            </w:r>
          </w:hyperlink>
        </w:p>
        <w:p w14:paraId="4A25C6B2" w14:textId="699466AA" w:rsidR="000107EF" w:rsidRDefault="00A44DE9">
          <w:pPr>
            <w:pStyle w:val="TOC2"/>
            <w:tabs>
              <w:tab w:val="right" w:pos="9350"/>
            </w:tabs>
            <w:rPr>
              <w:rFonts w:asciiTheme="minorHAnsi" w:eastAsiaTheme="minorEastAsia" w:hAnsiTheme="minorHAnsi" w:cstheme="minorBidi"/>
              <w:noProof/>
              <w:sz w:val="22"/>
              <w:szCs w:val="22"/>
            </w:rPr>
          </w:pPr>
          <w:hyperlink w:anchor="_Toc131503921" w:history="1">
            <w:r w:rsidR="000107EF" w:rsidRPr="00F20EBD">
              <w:rPr>
                <w:rStyle w:val="Hyperlink"/>
                <w:noProof/>
              </w:rPr>
              <w:t>APPENDIX II.  REFM ORGANIZATION CHART</w:t>
            </w:r>
            <w:r w:rsidR="000107EF">
              <w:rPr>
                <w:noProof/>
                <w:webHidden/>
              </w:rPr>
              <w:tab/>
            </w:r>
            <w:r w:rsidR="000107EF">
              <w:rPr>
                <w:noProof/>
                <w:webHidden/>
              </w:rPr>
              <w:fldChar w:fldCharType="begin"/>
            </w:r>
            <w:r w:rsidR="000107EF">
              <w:rPr>
                <w:noProof/>
                <w:webHidden/>
              </w:rPr>
              <w:instrText xml:space="preserve"> PAGEREF _Toc131503921 \h </w:instrText>
            </w:r>
            <w:r w:rsidR="000107EF">
              <w:rPr>
                <w:noProof/>
                <w:webHidden/>
              </w:rPr>
            </w:r>
            <w:r w:rsidR="000107EF">
              <w:rPr>
                <w:noProof/>
                <w:webHidden/>
              </w:rPr>
              <w:fldChar w:fldCharType="separate"/>
            </w:r>
            <w:r w:rsidR="000107EF">
              <w:rPr>
                <w:noProof/>
                <w:webHidden/>
              </w:rPr>
              <w:t>108</w:t>
            </w:r>
            <w:r w:rsidR="000107EF">
              <w:rPr>
                <w:noProof/>
                <w:webHidden/>
              </w:rPr>
              <w:fldChar w:fldCharType="end"/>
            </w:r>
          </w:hyperlink>
        </w:p>
        <w:p w14:paraId="264485AA" w14:textId="0D30B66B" w:rsidR="000107EF" w:rsidRDefault="00A44DE9">
          <w:pPr>
            <w:pStyle w:val="TOC2"/>
            <w:tabs>
              <w:tab w:val="right" w:pos="9350"/>
            </w:tabs>
            <w:rPr>
              <w:rFonts w:asciiTheme="minorHAnsi" w:eastAsiaTheme="minorEastAsia" w:hAnsiTheme="minorHAnsi" w:cstheme="minorBidi"/>
              <w:noProof/>
              <w:sz w:val="22"/>
              <w:szCs w:val="22"/>
            </w:rPr>
          </w:pPr>
          <w:hyperlink w:anchor="_Toc131503922" w:history="1">
            <w:r w:rsidR="000107EF" w:rsidRPr="00F20EBD">
              <w:rPr>
                <w:rStyle w:val="Hyperlink"/>
                <w:noProof/>
              </w:rPr>
              <w:t>APPENDIX III. AUKE BAY LABORATORY ORGANIZATIONAL CHART</w:t>
            </w:r>
            <w:r w:rsidR="000107EF">
              <w:rPr>
                <w:noProof/>
                <w:webHidden/>
              </w:rPr>
              <w:tab/>
            </w:r>
            <w:r w:rsidR="000107EF">
              <w:rPr>
                <w:noProof/>
                <w:webHidden/>
              </w:rPr>
              <w:fldChar w:fldCharType="begin"/>
            </w:r>
            <w:r w:rsidR="000107EF">
              <w:rPr>
                <w:noProof/>
                <w:webHidden/>
              </w:rPr>
              <w:instrText xml:space="preserve"> PAGEREF _Toc131503922 \h </w:instrText>
            </w:r>
            <w:r w:rsidR="000107EF">
              <w:rPr>
                <w:noProof/>
                <w:webHidden/>
              </w:rPr>
            </w:r>
            <w:r w:rsidR="000107EF">
              <w:rPr>
                <w:noProof/>
                <w:webHidden/>
              </w:rPr>
              <w:fldChar w:fldCharType="separate"/>
            </w:r>
            <w:r w:rsidR="000107EF">
              <w:rPr>
                <w:noProof/>
                <w:webHidden/>
              </w:rPr>
              <w:t>109</w:t>
            </w:r>
            <w:r w:rsidR="000107EF">
              <w:rPr>
                <w:noProof/>
                <w:webHidden/>
              </w:rPr>
              <w:fldChar w:fldCharType="end"/>
            </w:r>
          </w:hyperlink>
        </w:p>
        <w:p w14:paraId="2DC88CEC" w14:textId="20D347AF" w:rsidR="000107EF" w:rsidRDefault="00A44DE9">
          <w:pPr>
            <w:pStyle w:val="TOC2"/>
            <w:tabs>
              <w:tab w:val="right" w:pos="9350"/>
            </w:tabs>
            <w:rPr>
              <w:rFonts w:asciiTheme="minorHAnsi" w:eastAsiaTheme="minorEastAsia" w:hAnsiTheme="minorHAnsi" w:cstheme="minorBidi"/>
              <w:noProof/>
              <w:sz w:val="22"/>
              <w:szCs w:val="22"/>
            </w:rPr>
          </w:pPr>
          <w:hyperlink w:anchor="_Toc131503923" w:history="1">
            <w:r w:rsidR="000107EF" w:rsidRPr="00F20EBD">
              <w:rPr>
                <w:rStyle w:val="Hyperlink"/>
                <w:noProof/>
              </w:rPr>
              <w:t>APPENDIX IV. FMA ORGANIZATIONAL CHART</w:t>
            </w:r>
            <w:r w:rsidR="000107EF">
              <w:rPr>
                <w:noProof/>
                <w:webHidden/>
              </w:rPr>
              <w:tab/>
            </w:r>
            <w:r w:rsidR="000107EF">
              <w:rPr>
                <w:noProof/>
                <w:webHidden/>
              </w:rPr>
              <w:fldChar w:fldCharType="begin"/>
            </w:r>
            <w:r w:rsidR="000107EF">
              <w:rPr>
                <w:noProof/>
                <w:webHidden/>
              </w:rPr>
              <w:instrText xml:space="preserve"> PAGEREF _Toc131503923 \h </w:instrText>
            </w:r>
            <w:r w:rsidR="000107EF">
              <w:rPr>
                <w:noProof/>
                <w:webHidden/>
              </w:rPr>
            </w:r>
            <w:r w:rsidR="000107EF">
              <w:rPr>
                <w:noProof/>
                <w:webHidden/>
              </w:rPr>
              <w:fldChar w:fldCharType="separate"/>
            </w:r>
            <w:r w:rsidR="000107EF">
              <w:rPr>
                <w:noProof/>
                <w:webHidden/>
              </w:rPr>
              <w:t>110</w:t>
            </w:r>
            <w:r w:rsidR="000107EF">
              <w:rPr>
                <w:noProof/>
                <w:webHidden/>
              </w:rPr>
              <w:fldChar w:fldCharType="end"/>
            </w:r>
          </w:hyperlink>
        </w:p>
        <w:p w14:paraId="29EA1198" w14:textId="3959A10A" w:rsidR="00DE3EE8" w:rsidRPr="002B7E6B" w:rsidRDefault="00DE3EE8" w:rsidP="00DE3EE8">
          <w:pPr>
            <w:tabs>
              <w:tab w:val="right" w:pos="9630"/>
            </w:tabs>
            <w:spacing w:before="60" w:after="80"/>
            <w:ind w:left="360"/>
            <w:rPr>
              <w:color w:val="000000"/>
              <w:sz w:val="22"/>
              <w:szCs w:val="22"/>
            </w:rPr>
          </w:pPr>
          <w:r w:rsidRPr="002B7E6B">
            <w:rPr>
              <w:sz w:val="22"/>
              <w:szCs w:val="22"/>
            </w:rPr>
            <w:fldChar w:fldCharType="end"/>
          </w:r>
        </w:p>
      </w:sdtContent>
    </w:sdt>
    <w:p w14:paraId="13B1C5E5" w14:textId="77777777" w:rsidR="00DE3EE8" w:rsidRPr="002B7E6B" w:rsidRDefault="00DE3EE8" w:rsidP="00DE3EE8">
      <w:pPr>
        <w:rPr>
          <w:sz w:val="22"/>
          <w:szCs w:val="22"/>
        </w:rPr>
      </w:pPr>
    </w:p>
    <w:p w14:paraId="26019538" w14:textId="77777777" w:rsidR="00DE3EE8" w:rsidRPr="002B7E6B" w:rsidRDefault="00DE3EE8" w:rsidP="00DE3EE8">
      <w:pPr>
        <w:rPr>
          <w:sz w:val="22"/>
          <w:szCs w:val="22"/>
        </w:rPr>
      </w:pPr>
    </w:p>
    <w:p w14:paraId="25C65392" w14:textId="77777777" w:rsidR="00DE3EE8" w:rsidRPr="002B7E6B" w:rsidRDefault="00DE3EE8" w:rsidP="00DE3EE8">
      <w:pPr>
        <w:rPr>
          <w:sz w:val="22"/>
          <w:szCs w:val="22"/>
        </w:rPr>
      </w:pPr>
    </w:p>
    <w:p w14:paraId="4480D3CB" w14:textId="77777777" w:rsidR="00DE3EE8" w:rsidRPr="002B7E6B" w:rsidRDefault="00DE3EE8" w:rsidP="00DE3EE8">
      <w:pPr>
        <w:rPr>
          <w:b/>
          <w:sz w:val="22"/>
          <w:szCs w:val="22"/>
        </w:rPr>
      </w:pPr>
      <w:r w:rsidRPr="002B7E6B">
        <w:rPr>
          <w:sz w:val="22"/>
          <w:szCs w:val="22"/>
        </w:rPr>
        <w:br w:type="page"/>
      </w:r>
    </w:p>
    <w:p w14:paraId="1D49DEBA" w14:textId="77777777" w:rsidR="00DE3EE8" w:rsidRPr="002B7E6B" w:rsidRDefault="00DE3EE8" w:rsidP="00DE3EE8">
      <w:pPr>
        <w:pStyle w:val="Heading1"/>
        <w:rPr>
          <w:rFonts w:cs="Times New Roman"/>
          <w:sz w:val="22"/>
          <w:szCs w:val="22"/>
        </w:rPr>
      </w:pPr>
      <w:bookmarkStart w:id="0" w:name="_Toc131503785"/>
      <w:r w:rsidRPr="002B7E6B">
        <w:rPr>
          <w:rFonts w:cs="Times New Roman"/>
          <w:sz w:val="22"/>
          <w:szCs w:val="22"/>
        </w:rPr>
        <w:lastRenderedPageBreak/>
        <w:t>VIII.</w:t>
      </w:r>
      <w:r w:rsidRPr="002B7E6B">
        <w:rPr>
          <w:rFonts w:cs="Times New Roman"/>
          <w:sz w:val="22"/>
          <w:szCs w:val="22"/>
        </w:rPr>
        <w:tab/>
        <w:t>REVIEW OF AGENCY GROUNDFISH RESEARCH, ASSESSMENTS, AND MANAGEMENT IN 2022</w:t>
      </w:r>
      <w:bookmarkEnd w:id="0"/>
    </w:p>
    <w:p w14:paraId="35F24017" w14:textId="77777777" w:rsidR="00DE3EE8" w:rsidRPr="002B7E6B" w:rsidRDefault="00DE3EE8" w:rsidP="00DE3EE8">
      <w:pPr>
        <w:rPr>
          <w:sz w:val="22"/>
          <w:szCs w:val="22"/>
        </w:rPr>
      </w:pPr>
    </w:p>
    <w:p w14:paraId="299186E0" w14:textId="77777777" w:rsidR="00DE3EE8" w:rsidRPr="002B7E6B" w:rsidRDefault="00DE3EE8" w:rsidP="002B7E6B">
      <w:pPr>
        <w:pStyle w:val="Heading2"/>
        <w:rPr>
          <w:rFonts w:cs="Times New Roman"/>
          <w:sz w:val="22"/>
          <w:szCs w:val="22"/>
        </w:rPr>
      </w:pPr>
      <w:bookmarkStart w:id="1" w:name="_Toc131503786"/>
      <w:r w:rsidRPr="002B7E6B">
        <w:rPr>
          <w:rFonts w:cs="Times New Roman"/>
          <w:sz w:val="22"/>
          <w:szCs w:val="22"/>
        </w:rPr>
        <w:t>I.  Agency Overview</w:t>
      </w:r>
      <w:bookmarkEnd w:id="1"/>
    </w:p>
    <w:p w14:paraId="4EF01504" w14:textId="77777777" w:rsidR="00DE3EE8" w:rsidRPr="002B7E6B" w:rsidRDefault="00DE3EE8" w:rsidP="00DE3EE8">
      <w:pPr>
        <w:rPr>
          <w:sz w:val="22"/>
          <w:szCs w:val="22"/>
        </w:rPr>
      </w:pPr>
    </w:p>
    <w:p w14:paraId="6B632BE4" w14:textId="77777777" w:rsidR="00DE3EE8" w:rsidRPr="002B7E6B" w:rsidRDefault="00DE3EE8" w:rsidP="00DE3EE8">
      <w:pPr>
        <w:rPr>
          <w:sz w:val="22"/>
          <w:szCs w:val="22"/>
        </w:rPr>
      </w:pPr>
      <w:bookmarkStart w:id="2" w:name="_heading=h.3znysh7" w:colFirst="0" w:colLast="0"/>
      <w:bookmarkEnd w:id="2"/>
      <w:r w:rsidRPr="002B7E6B">
        <w:rPr>
          <w:sz w:val="22"/>
          <w:szCs w:val="22"/>
        </w:rPr>
        <w:t xml:space="preserve">Groundfish research at the Alaska Fisheries Science Center (AFSC) </w:t>
      </w:r>
      <w:proofErr w:type="gramStart"/>
      <w:r w:rsidRPr="002B7E6B">
        <w:rPr>
          <w:sz w:val="22"/>
          <w:szCs w:val="22"/>
        </w:rPr>
        <w:t>is conducted</w:t>
      </w:r>
      <w:proofErr w:type="gramEnd"/>
      <w:r w:rsidRPr="002B7E6B">
        <w:rPr>
          <w:sz w:val="22"/>
          <w:szCs w:val="22"/>
        </w:rPr>
        <w:t xml:space="preserve"> within the following Divisions: Resource Assessment and Conservation Engineering (RACE), Resource Ecology and Fisheries Management (REFM), Fisheries Monitoring and Analysis (FMA), the Auke Bay Laboratories (ABL), and the Habitat and Ecological Processes Research program (HEPR).  All Divisions work closely together to accomplish the mission of the Alaska Fisheries Science Center.  </w:t>
      </w:r>
    </w:p>
    <w:p w14:paraId="5697CA2E" w14:textId="77777777" w:rsidR="00DE3EE8" w:rsidRPr="002B7E6B" w:rsidRDefault="00DE3EE8" w:rsidP="00DE3EE8">
      <w:pPr>
        <w:rPr>
          <w:sz w:val="22"/>
          <w:szCs w:val="22"/>
        </w:rPr>
      </w:pPr>
      <w:bookmarkStart w:id="3" w:name="_heading=h.r66l2izcorlj" w:colFirst="0" w:colLast="0"/>
      <w:bookmarkEnd w:id="3"/>
    </w:p>
    <w:p w14:paraId="18342666" w14:textId="43F59D9B" w:rsidR="00DE3EE8" w:rsidRPr="002B7E6B" w:rsidRDefault="00DE3EE8" w:rsidP="00DE3EE8">
      <w:pPr>
        <w:rPr>
          <w:b/>
          <w:sz w:val="22"/>
          <w:szCs w:val="22"/>
        </w:rPr>
      </w:pPr>
      <w:bookmarkStart w:id="4" w:name="_heading=h.zie4o4403o38" w:colFirst="0" w:colLast="0"/>
      <w:bookmarkEnd w:id="4"/>
      <w:r w:rsidRPr="002B7E6B">
        <w:rPr>
          <w:sz w:val="22"/>
          <w:szCs w:val="22"/>
        </w:rPr>
        <w:t xml:space="preserve">In 2022, our </w:t>
      </w:r>
      <w:proofErr w:type="gramStart"/>
      <w:r w:rsidRPr="002B7E6B">
        <w:rPr>
          <w:sz w:val="22"/>
          <w:szCs w:val="22"/>
        </w:rPr>
        <w:t xml:space="preserve">activities were guided by our </w:t>
      </w:r>
      <w:r w:rsidRPr="002B7E6B">
        <w:rPr>
          <w:color w:val="1155CC"/>
          <w:sz w:val="22"/>
          <w:szCs w:val="22"/>
          <w:u w:val="single"/>
        </w:rPr>
        <w:t>Alaska Geographic Strategic Science Plan</w:t>
      </w:r>
      <w:proofErr w:type="gramEnd"/>
      <w:r w:rsidRPr="002B7E6B">
        <w:rPr>
          <w:rFonts w:eastAsia="Arial"/>
          <w:color w:val="006800"/>
          <w:sz w:val="22"/>
          <w:szCs w:val="22"/>
        </w:rPr>
        <w:t xml:space="preserve"> </w:t>
      </w:r>
      <w:r w:rsidRPr="002B7E6B">
        <w:rPr>
          <w:sz w:val="22"/>
          <w:szCs w:val="22"/>
        </w:rPr>
        <w:t xml:space="preserve">with annual priorities specified in the AFSC Annual Guidance Memorandum </w:t>
      </w:r>
      <w:hyperlink r:id="rId8">
        <w:r w:rsidRPr="002B7E6B">
          <w:rPr>
            <w:color w:val="1155CC"/>
            <w:sz w:val="22"/>
            <w:szCs w:val="22"/>
            <w:u w:val="single"/>
          </w:rPr>
          <w:t>FY21 Annual Guidance and priorities</w:t>
        </w:r>
      </w:hyperlink>
      <w:r w:rsidRPr="002B7E6B">
        <w:rPr>
          <w:sz w:val="22"/>
          <w:szCs w:val="22"/>
        </w:rPr>
        <w:t xml:space="preserve">.  A review of pertinent work by these groups during the past year </w:t>
      </w:r>
      <w:proofErr w:type="gramStart"/>
      <w:r w:rsidRPr="002B7E6B">
        <w:rPr>
          <w:sz w:val="22"/>
          <w:szCs w:val="22"/>
        </w:rPr>
        <w:t>is presented</w:t>
      </w:r>
      <w:proofErr w:type="gramEnd"/>
      <w:r w:rsidRPr="002B7E6B">
        <w:rPr>
          <w:sz w:val="22"/>
          <w:szCs w:val="22"/>
        </w:rPr>
        <w:t xml:space="preserve"> below.  A list of publications relevant to groundfish and groundfish issues is included in Appendix I.  Lists of publications, posters and reports produced by AFSC scientists are also available on the </w:t>
      </w:r>
      <w:hyperlink r:id="rId9">
        <w:r w:rsidRPr="002B7E6B">
          <w:rPr>
            <w:color w:val="1155CC"/>
            <w:sz w:val="22"/>
            <w:szCs w:val="22"/>
            <w:u w:val="single"/>
          </w:rPr>
          <w:t>AFSC Publications Center website</w:t>
        </w:r>
      </w:hyperlink>
      <w:r w:rsidRPr="002B7E6B">
        <w:rPr>
          <w:sz w:val="22"/>
          <w:szCs w:val="22"/>
        </w:rPr>
        <w:t>, where you will also find a link to the searchable AFSC Publications Database.</w:t>
      </w:r>
      <w:r w:rsidRPr="002B7E6B">
        <w:rPr>
          <w:b/>
          <w:sz w:val="22"/>
          <w:szCs w:val="22"/>
        </w:rPr>
        <w:t xml:space="preserve">   </w:t>
      </w:r>
    </w:p>
    <w:p w14:paraId="23B1C8CF" w14:textId="77777777" w:rsidR="00DE3EE8" w:rsidRPr="002B7E6B" w:rsidRDefault="00DE3EE8" w:rsidP="00DE3EE8">
      <w:pPr>
        <w:rPr>
          <w:b/>
          <w:sz w:val="22"/>
          <w:szCs w:val="22"/>
        </w:rPr>
      </w:pPr>
    </w:p>
    <w:p w14:paraId="7671780D" w14:textId="02A5B034" w:rsidR="00DE3EE8" w:rsidRPr="002B7E6B" w:rsidRDefault="00DE3EE8" w:rsidP="00DE3EE8">
      <w:pPr>
        <w:rPr>
          <w:sz w:val="22"/>
          <w:szCs w:val="22"/>
        </w:rPr>
      </w:pPr>
      <w:r w:rsidRPr="002B7E6B">
        <w:rPr>
          <w:sz w:val="22"/>
          <w:szCs w:val="22"/>
        </w:rPr>
        <w:t>Lists or organization charts of groundfish staff of these four Center divisions are included as Appendices II</w:t>
      </w:r>
      <w:r w:rsidR="0024271A">
        <w:rPr>
          <w:sz w:val="22"/>
          <w:szCs w:val="22"/>
        </w:rPr>
        <w:t xml:space="preserve"> – </w:t>
      </w:r>
      <w:r w:rsidRPr="002B7E6B">
        <w:rPr>
          <w:sz w:val="22"/>
          <w:szCs w:val="22"/>
        </w:rPr>
        <w:t xml:space="preserve">V.  </w:t>
      </w:r>
    </w:p>
    <w:p w14:paraId="7A17762B" w14:textId="77777777" w:rsidR="00DE3EE8" w:rsidRPr="002B7E6B" w:rsidRDefault="00DE3EE8" w:rsidP="00DE3EE8">
      <w:pPr>
        <w:rPr>
          <w:sz w:val="22"/>
          <w:szCs w:val="22"/>
        </w:rPr>
      </w:pPr>
    </w:p>
    <w:p w14:paraId="711D3BBD" w14:textId="77777777" w:rsidR="00DE3EE8" w:rsidRPr="002B7E6B" w:rsidRDefault="00DE3EE8" w:rsidP="00DE3EE8">
      <w:pPr>
        <w:rPr>
          <w:sz w:val="22"/>
          <w:szCs w:val="22"/>
        </w:rPr>
      </w:pPr>
    </w:p>
    <w:p w14:paraId="0989C610" w14:textId="77777777" w:rsidR="00DE3EE8" w:rsidRPr="002B7E6B" w:rsidRDefault="00DE3EE8" w:rsidP="00DE3EE8">
      <w:pPr>
        <w:pStyle w:val="Heading3"/>
        <w:keepNext w:val="0"/>
        <w:keepLines w:val="0"/>
        <w:numPr>
          <w:ilvl w:val="0"/>
          <w:numId w:val="3"/>
        </w:numPr>
        <w:spacing w:before="0" w:after="0"/>
        <w:rPr>
          <w:rFonts w:cs="Times New Roman"/>
          <w:sz w:val="22"/>
          <w:szCs w:val="22"/>
        </w:rPr>
      </w:pPr>
      <w:r w:rsidRPr="002B7E6B">
        <w:rPr>
          <w:rFonts w:cs="Times New Roman"/>
          <w:sz w:val="22"/>
          <w:szCs w:val="22"/>
        </w:rPr>
        <w:t xml:space="preserve"> </w:t>
      </w:r>
      <w:bookmarkStart w:id="5" w:name="_Toc131503787"/>
      <w:r w:rsidRPr="002B7E6B">
        <w:rPr>
          <w:rFonts w:cs="Times New Roman"/>
          <w:sz w:val="22"/>
          <w:szCs w:val="22"/>
        </w:rPr>
        <w:t>RACE DIVISION</w:t>
      </w:r>
      <w:bookmarkEnd w:id="5"/>
    </w:p>
    <w:p w14:paraId="058005CB" w14:textId="77777777" w:rsidR="00DE3EE8" w:rsidRPr="002B7E6B" w:rsidRDefault="00DE3EE8" w:rsidP="00DE3EE8">
      <w:pPr>
        <w:rPr>
          <w:sz w:val="22"/>
          <w:szCs w:val="22"/>
        </w:rPr>
      </w:pPr>
    </w:p>
    <w:p w14:paraId="1B6AF625" w14:textId="77777777" w:rsidR="00DE3EE8" w:rsidRPr="002B7E6B" w:rsidRDefault="00DE3EE8" w:rsidP="00DE3EE8">
      <w:pPr>
        <w:rPr>
          <w:sz w:val="22"/>
          <w:szCs w:val="22"/>
        </w:rPr>
      </w:pPr>
      <w:r w:rsidRPr="002B7E6B">
        <w:rPr>
          <w:sz w:val="22"/>
          <w:szCs w:val="22"/>
        </w:rPr>
        <w:t xml:space="preserve">The Resource Assessment and Conservation Engineering (RACE) Division of the Alaska Fisheries Science Center (AFSC) conducts quantitative fishery-independent surveys and related research on groundfishes and crabs in Alaska.  Our efforts support implementation of the U.S. Magnuson-Stevens Fishery Conservation and Management Act and other enabling legislation for stewardship of living marine resources.  Surveys and research </w:t>
      </w:r>
      <w:proofErr w:type="gramStart"/>
      <w:r w:rsidRPr="002B7E6B">
        <w:rPr>
          <w:sz w:val="22"/>
          <w:szCs w:val="22"/>
        </w:rPr>
        <w:t>are principally focused</w:t>
      </w:r>
      <w:proofErr w:type="gramEnd"/>
      <w:r w:rsidRPr="002B7E6B">
        <w:rPr>
          <w:sz w:val="22"/>
          <w:szCs w:val="22"/>
        </w:rPr>
        <w:t xml:space="preserve"> on species from the five large marine ecosystems (LMEs) of Alaska (Gulf of Alaska, Aleutian Islands, eastern Bering Sea, Northern Bering and Chukchi Seas, Beaufort Sea). The range of surveys conducted by RACE encompass the entire life history of the focal species, from egg to adult.  All surveys provide a suite of environmental data supporting an ecosystem approach to fisheries management (EBFM)</w:t>
      </w:r>
      <w:r w:rsidRPr="002B7E6B">
        <w:rPr>
          <w:sz w:val="22"/>
          <w:szCs w:val="22"/>
          <w:vertAlign w:val="superscript"/>
        </w:rPr>
        <w:footnoteReference w:id="1"/>
      </w:r>
      <w:r w:rsidRPr="002B7E6B">
        <w:rPr>
          <w:sz w:val="22"/>
          <w:szCs w:val="22"/>
        </w:rPr>
        <w:t xml:space="preserve">.  In addition, RACE works collaboratively with Industry to investigate ways to reduce bycatch, bycatch mortality, and the effects of fishing on habitat. </w:t>
      </w:r>
    </w:p>
    <w:p w14:paraId="7171A229" w14:textId="77777777" w:rsidR="00DE3EE8" w:rsidRPr="002B7E6B" w:rsidRDefault="00DE3EE8" w:rsidP="00DE3EE8">
      <w:pPr>
        <w:rPr>
          <w:sz w:val="22"/>
          <w:szCs w:val="22"/>
        </w:rPr>
      </w:pPr>
    </w:p>
    <w:p w14:paraId="2F66EBFE" w14:textId="3193CB92" w:rsidR="00DE3EE8" w:rsidRPr="002B7E6B" w:rsidRDefault="00DE3EE8" w:rsidP="00DE3EE8">
      <w:pPr>
        <w:rPr>
          <w:sz w:val="22"/>
          <w:szCs w:val="22"/>
        </w:rPr>
      </w:pPr>
      <w:r w:rsidRPr="002B7E6B">
        <w:rPr>
          <w:sz w:val="22"/>
          <w:szCs w:val="22"/>
        </w:rPr>
        <w:t xml:space="preserve">RACE staff are composed of fisheries ecologists and oceanographers, geneticists, technicians, IT Specialists, fishery equipment specialists, administrative support staff, and contract research associates.  </w:t>
      </w:r>
      <w:proofErr w:type="gramStart"/>
      <w:r w:rsidRPr="002B7E6B">
        <w:rPr>
          <w:sz w:val="22"/>
          <w:szCs w:val="22"/>
        </w:rPr>
        <w:t xml:space="preserve">The status and trend data derived from regular surveys are used by AFSC stock assessment scientists to develop our annual </w:t>
      </w:r>
      <w:hyperlink r:id="rId10">
        <w:r w:rsidRPr="002B7E6B">
          <w:rPr>
            <w:color w:val="1155CC"/>
            <w:sz w:val="22"/>
            <w:szCs w:val="22"/>
            <w:u w:val="single"/>
          </w:rPr>
          <w:t>Stock Assessment &amp; Fishery Evaluation (SAFE)</w:t>
        </w:r>
      </w:hyperlink>
      <w:r w:rsidRPr="002B7E6B">
        <w:rPr>
          <w:sz w:val="22"/>
          <w:szCs w:val="22"/>
        </w:rPr>
        <w:t xml:space="preserve"> reports for 46 unique combinations of species and regions</w:t>
      </w:r>
      <w:proofErr w:type="gramEnd"/>
      <w:r w:rsidRPr="002B7E6B">
        <w:rPr>
          <w:sz w:val="22"/>
          <w:szCs w:val="22"/>
        </w:rPr>
        <w:t xml:space="preserve">.  The research conducted by RACE on our bottom trawl surveys develops our understanding of groundfish population fluctuations and provides environmental data used in stock assessments, </w:t>
      </w:r>
      <w:hyperlink r:id="rId11">
        <w:r w:rsidRPr="002B7E6B">
          <w:rPr>
            <w:color w:val="1155CC"/>
            <w:sz w:val="22"/>
            <w:szCs w:val="22"/>
            <w:u w:val="single"/>
          </w:rPr>
          <w:t>Ecosystem Status Reports (ESRs)</w:t>
        </w:r>
      </w:hyperlink>
      <w:r w:rsidRPr="002B7E6B">
        <w:rPr>
          <w:sz w:val="22"/>
          <w:szCs w:val="22"/>
        </w:rPr>
        <w:t xml:space="preserve"> </w:t>
      </w:r>
      <w:proofErr w:type="gramStart"/>
      <w:r w:rsidRPr="002B7E6B">
        <w:rPr>
          <w:sz w:val="22"/>
          <w:szCs w:val="22"/>
        </w:rPr>
        <w:t>and  Ecosystem</w:t>
      </w:r>
      <w:proofErr w:type="gramEnd"/>
      <w:r w:rsidRPr="002B7E6B">
        <w:rPr>
          <w:sz w:val="22"/>
          <w:szCs w:val="22"/>
        </w:rPr>
        <w:t xml:space="preserve"> Socioeconomic Profiles (ESPs) for selected species.  These products and related research communicate explanations for groundfish population trajectories to our stakeholders.  The RACE Division science programs </w:t>
      </w:r>
      <w:proofErr w:type="gramStart"/>
      <w:r w:rsidRPr="002B7E6B">
        <w:rPr>
          <w:sz w:val="22"/>
          <w:szCs w:val="22"/>
        </w:rPr>
        <w:t>include:</w:t>
      </w:r>
      <w:proofErr w:type="gramEnd"/>
      <w:r w:rsidRPr="002B7E6B">
        <w:rPr>
          <w:sz w:val="22"/>
          <w:szCs w:val="22"/>
        </w:rPr>
        <w:t xml:space="preserve"> Fisheries Behavioral Ecology (FBE), Groundfish Assessment Program (GAP), Midwater Assessment and Conservation Engineering (MACE), Recruitment Processes Program (RPP), Shellfish Assessment </w:t>
      </w:r>
      <w:r w:rsidRPr="002B7E6B">
        <w:rPr>
          <w:sz w:val="22"/>
          <w:szCs w:val="22"/>
        </w:rPr>
        <w:lastRenderedPageBreak/>
        <w:t>Program (SAP), and Research Fishing Gear/Survey Support.  These Programs operate from three locations:  Seattle, WA; Newport, OR; and Kodiak, AK.</w:t>
      </w:r>
    </w:p>
    <w:p w14:paraId="1A7834BC" w14:textId="77777777" w:rsidR="00DE3EE8" w:rsidRPr="002B7E6B" w:rsidRDefault="00DE3EE8" w:rsidP="00DE3EE8">
      <w:pPr>
        <w:rPr>
          <w:sz w:val="22"/>
          <w:szCs w:val="22"/>
        </w:rPr>
      </w:pPr>
    </w:p>
    <w:p w14:paraId="108BD263" w14:textId="77777777" w:rsidR="00DE3EE8" w:rsidRPr="002B7E6B" w:rsidRDefault="00DE3EE8" w:rsidP="00DE3EE8">
      <w:pPr>
        <w:rPr>
          <w:sz w:val="22"/>
          <w:szCs w:val="22"/>
        </w:rPr>
      </w:pPr>
      <w:r w:rsidRPr="002B7E6B">
        <w:rPr>
          <w:sz w:val="22"/>
          <w:szCs w:val="22"/>
        </w:rPr>
        <w:t xml:space="preserve">The Fisheries Behavioral Ecology Program (FBE) conducts laboratory experimental studies and field studies on the ecology, energetics, behavior, habitat associations, and climate responses of the early life stages of groundfish and crab species including walleye pollock, Pacific cod, Arctic cod, sablefish, northern rock sole, yellowfin sole, Tanner crab, and snow crab. Laboratory studies </w:t>
      </w:r>
      <w:proofErr w:type="gramStart"/>
      <w:r w:rsidRPr="002B7E6B">
        <w:rPr>
          <w:sz w:val="22"/>
          <w:szCs w:val="22"/>
        </w:rPr>
        <w:t>are performed</w:t>
      </w:r>
      <w:proofErr w:type="gramEnd"/>
      <w:r w:rsidRPr="002B7E6B">
        <w:rPr>
          <w:sz w:val="22"/>
          <w:szCs w:val="22"/>
        </w:rPr>
        <w:t xml:space="preserve"> at NOAA’s Newport Research Station in Newport, OR. Areas of investigation include the effects of temperature, elevated CO</w:t>
      </w:r>
      <w:r w:rsidRPr="002B7E6B">
        <w:rPr>
          <w:sz w:val="22"/>
          <w:szCs w:val="22"/>
          <w:vertAlign w:val="subscript"/>
        </w:rPr>
        <w:t>2</w:t>
      </w:r>
      <w:r w:rsidRPr="002B7E6B">
        <w:rPr>
          <w:sz w:val="22"/>
          <w:szCs w:val="22"/>
        </w:rPr>
        <w:t>, and oil exposure on the survival and growth performance of eggs, larvae and juveniles. In addition to targeted field studies on habitat associations, FBE performs an annual beach seine and camera survey of age-0 and age-1 Pacific cod in the central Gulf of Alaska.</w:t>
      </w:r>
    </w:p>
    <w:p w14:paraId="5F12DB62" w14:textId="77777777" w:rsidR="00DE3EE8" w:rsidRPr="002B7E6B" w:rsidRDefault="00DE3EE8" w:rsidP="00DE3EE8">
      <w:pPr>
        <w:rPr>
          <w:sz w:val="22"/>
          <w:szCs w:val="22"/>
        </w:rPr>
      </w:pPr>
    </w:p>
    <w:p w14:paraId="71771A03" w14:textId="51846BBD" w:rsidR="00DE3EE8" w:rsidRPr="002B7E6B" w:rsidRDefault="00DE3EE8" w:rsidP="00DE3EE8">
      <w:pPr>
        <w:rPr>
          <w:sz w:val="22"/>
          <w:szCs w:val="22"/>
        </w:rPr>
      </w:pPr>
      <w:r w:rsidRPr="002B7E6B">
        <w:rPr>
          <w:sz w:val="22"/>
          <w:szCs w:val="22"/>
        </w:rPr>
        <w:t xml:space="preserve">The primary mission of </w:t>
      </w:r>
      <w:r w:rsidR="0024271A">
        <w:rPr>
          <w:sz w:val="22"/>
          <w:szCs w:val="22"/>
        </w:rPr>
        <w:t>RACE-GAP</w:t>
      </w:r>
      <w:r w:rsidRPr="002B7E6B">
        <w:rPr>
          <w:sz w:val="22"/>
          <w:szCs w:val="22"/>
        </w:rPr>
        <w:t xml:space="preserve"> is the continued fishery-independent stock assessment surveys of groundfish and crab species of the northeast Pacific Ocean and Bering Sea.  Regularly scheduled bottom trawl surveys in Alaska waters include an annual survey of the crab and groundfish resources of the eastern Bering Sea shelf and biennial surveys of the Gulf of Alaska (odd years) and the Aleutian Islands (even years).  </w:t>
      </w:r>
      <w:r w:rsidR="0024271A">
        <w:rPr>
          <w:sz w:val="22"/>
          <w:szCs w:val="22"/>
        </w:rPr>
        <w:t>RACE-GAP</w:t>
      </w:r>
      <w:r w:rsidRPr="002B7E6B">
        <w:rPr>
          <w:sz w:val="22"/>
          <w:szCs w:val="22"/>
        </w:rPr>
        <w:t xml:space="preserve"> surveys in the Bering Sea continue to monitor changes to groundfish distribution and abundance related to climate-mediated ocean warming and loss of sea ice.  In 2022, the cold pool was larger than in 2019, extending farther south on the Bering Sea shelf than in any other year since 2017. </w:t>
      </w:r>
      <w:proofErr w:type="gramStart"/>
      <w:r w:rsidRPr="002B7E6B">
        <w:rPr>
          <w:sz w:val="22"/>
          <w:szCs w:val="22"/>
        </w:rPr>
        <w:t>Overall</w:t>
      </w:r>
      <w:proofErr w:type="gramEnd"/>
      <w:r w:rsidRPr="002B7E6B">
        <w:rPr>
          <w:sz w:val="22"/>
          <w:szCs w:val="22"/>
        </w:rPr>
        <w:t xml:space="preserve"> mean surface and bottom temperatures across the Bering Sea shelf measured during the surveys were near the 40-year mean. Shifts in fish distribution due to variations in the extent of seasonal sea ice, and the resultant extent of the summer cold pool, can lead to variation in the fractions of populations located outside of our historical survey boundaries. This variation may violate our assumptions that our indices of abundance represent a constant proportion of the population from one year to the next.  The upper continental slope survey of the eastern Bering Sea was quasi-biennial in even years, but </w:t>
      </w:r>
      <w:proofErr w:type="gramStart"/>
      <w:r w:rsidRPr="002B7E6B">
        <w:rPr>
          <w:sz w:val="22"/>
          <w:szCs w:val="22"/>
        </w:rPr>
        <w:t>has not been conducted</w:t>
      </w:r>
      <w:proofErr w:type="gramEnd"/>
      <w:r w:rsidRPr="002B7E6B">
        <w:rPr>
          <w:sz w:val="22"/>
          <w:szCs w:val="22"/>
        </w:rPr>
        <w:t xml:space="preserve"> since 2016.  </w:t>
      </w:r>
      <w:r w:rsidR="0024271A">
        <w:rPr>
          <w:sz w:val="22"/>
          <w:szCs w:val="22"/>
        </w:rPr>
        <w:t>RACE-GAP</w:t>
      </w:r>
      <w:r w:rsidRPr="002B7E6B">
        <w:rPr>
          <w:sz w:val="22"/>
          <w:szCs w:val="22"/>
        </w:rPr>
        <w:t xml:space="preserve"> and SAP scientists also conduct bottom trawl surveys of Alaska groundfish and invertebrate resources over the eastern Bering Sea shelf and Northern Bering Sea.  </w:t>
      </w:r>
      <w:r w:rsidR="0024271A">
        <w:rPr>
          <w:sz w:val="22"/>
          <w:szCs w:val="22"/>
        </w:rPr>
        <w:t>RACE-GAP</w:t>
      </w:r>
      <w:r w:rsidRPr="002B7E6B">
        <w:rPr>
          <w:sz w:val="22"/>
          <w:szCs w:val="22"/>
        </w:rPr>
        <w:t xml:space="preserve"> personnel continued to conduct cooperative Pacific cod satellite tagging studies as well as cooperative fishing industry surveys in the Gulf of Alaska investigating locations untrawlable by the </w:t>
      </w:r>
      <w:r w:rsidR="0024271A">
        <w:rPr>
          <w:sz w:val="22"/>
          <w:szCs w:val="22"/>
        </w:rPr>
        <w:t>RACE-GAP</w:t>
      </w:r>
      <w:r w:rsidRPr="002B7E6B">
        <w:rPr>
          <w:sz w:val="22"/>
          <w:szCs w:val="22"/>
        </w:rPr>
        <w:t xml:space="preserve"> Gulf of Alaska survey trawls.  In the Aleutian Islands in 2022, surface and bottom temperatures remained slightly above the </w:t>
      </w:r>
      <w:proofErr w:type="gramStart"/>
      <w:r w:rsidRPr="002B7E6B">
        <w:rPr>
          <w:sz w:val="22"/>
          <w:szCs w:val="22"/>
        </w:rPr>
        <w:t>20 year</w:t>
      </w:r>
      <w:proofErr w:type="gramEnd"/>
      <w:r w:rsidRPr="002B7E6B">
        <w:rPr>
          <w:sz w:val="22"/>
          <w:szCs w:val="22"/>
        </w:rPr>
        <w:t xml:space="preserve"> average of observed temperatures from previous bottom trawl surveys. Abundance indexes fishes like Atka mackerel, arrowtooth flounder, and walleye pollock remained stable and near the long term averages while Pacific cod abundance was lower than the </w:t>
      </w:r>
      <w:proofErr w:type="gramStart"/>
      <w:r w:rsidRPr="002B7E6B">
        <w:rPr>
          <w:sz w:val="22"/>
          <w:szCs w:val="22"/>
        </w:rPr>
        <w:t>long term</w:t>
      </w:r>
      <w:proofErr w:type="gramEnd"/>
      <w:r w:rsidRPr="002B7E6B">
        <w:rPr>
          <w:sz w:val="22"/>
          <w:szCs w:val="22"/>
        </w:rPr>
        <w:t xml:space="preserve"> average and POP abundance was higher. </w:t>
      </w:r>
    </w:p>
    <w:p w14:paraId="012DD603" w14:textId="77777777" w:rsidR="00DE3EE8" w:rsidRPr="002B7E6B" w:rsidRDefault="00DE3EE8" w:rsidP="00DE3EE8">
      <w:pPr>
        <w:rPr>
          <w:sz w:val="22"/>
          <w:szCs w:val="22"/>
        </w:rPr>
      </w:pPr>
    </w:p>
    <w:p w14:paraId="5677DA60" w14:textId="7DE8AC45" w:rsidR="00DE3EE8" w:rsidRPr="002B7E6B" w:rsidRDefault="00DE3EE8" w:rsidP="00DE3EE8">
      <w:pPr>
        <w:rPr>
          <w:sz w:val="22"/>
          <w:szCs w:val="22"/>
        </w:rPr>
      </w:pPr>
      <w:r w:rsidRPr="002B7E6B">
        <w:rPr>
          <w:sz w:val="22"/>
          <w:szCs w:val="22"/>
        </w:rPr>
        <w:t>The Midwater Assessment and Conservation Engineering (MACE) Program conducts acoustic-trawl surveys of pollock and other pelagic fishes in the Gulf of Alaska and eastern Bering Sea (winter) and the western and central Gulf of Alaska and eastern Bering Sea (summer). MACE and GAP continue to work collaboratively toward an acoustical-optical survey for fish in grounds that are inaccessible to fisheries research trawls in the Gulf of Alaska and Aleutian Islands.  Once implemented, survey results from this proposed survey will reduce bias in our survey assessments of fishes found in these untrawlable areas.</w:t>
      </w:r>
      <w:r w:rsidR="00C33569">
        <w:rPr>
          <w:sz w:val="22"/>
          <w:szCs w:val="22"/>
        </w:rPr>
        <w:t xml:space="preserve"> MACE also </w:t>
      </w:r>
      <w:r w:rsidR="00C33569" w:rsidRPr="002B7E6B">
        <w:rPr>
          <w:sz w:val="22"/>
          <w:szCs w:val="22"/>
        </w:rPr>
        <w:t xml:space="preserve">conducts cooperative </w:t>
      </w:r>
      <w:r w:rsidR="00C33569">
        <w:rPr>
          <w:sz w:val="22"/>
          <w:szCs w:val="22"/>
        </w:rPr>
        <w:t xml:space="preserve">conservation engineering </w:t>
      </w:r>
      <w:r w:rsidR="00C33569" w:rsidRPr="002B7E6B">
        <w:rPr>
          <w:sz w:val="22"/>
          <w:szCs w:val="22"/>
        </w:rPr>
        <w:t xml:space="preserve">research with Alaska fishing groups and other scientists to better understand and mitigate bycatch, bycatch mortality, and fishing gear impacts to fish habitat. </w:t>
      </w:r>
      <w:r w:rsidR="00C33569">
        <w:rPr>
          <w:sz w:val="22"/>
          <w:szCs w:val="22"/>
        </w:rPr>
        <w:t xml:space="preserve"> </w:t>
      </w:r>
      <w:r w:rsidR="00C33569" w:rsidRPr="002B7E6B">
        <w:rPr>
          <w:sz w:val="22"/>
          <w:szCs w:val="22"/>
        </w:rPr>
        <w:t xml:space="preserve">This </w:t>
      </w:r>
      <w:proofErr w:type="gramStart"/>
      <w:r w:rsidR="00C33569" w:rsidRPr="002B7E6B">
        <w:rPr>
          <w:sz w:val="22"/>
          <w:szCs w:val="22"/>
        </w:rPr>
        <w:t>is done</w:t>
      </w:r>
      <w:proofErr w:type="gramEnd"/>
      <w:r w:rsidR="00C33569" w:rsidRPr="002B7E6B">
        <w:rPr>
          <w:sz w:val="22"/>
          <w:szCs w:val="22"/>
        </w:rPr>
        <w:t xml:space="preserve"> through the evaluation of fish biology and behaviour, and gear design and use.</w:t>
      </w:r>
    </w:p>
    <w:p w14:paraId="4F0171F0" w14:textId="77777777" w:rsidR="00DE3EE8" w:rsidRPr="002B7E6B" w:rsidRDefault="00DE3EE8" w:rsidP="00DE3EE8">
      <w:pPr>
        <w:rPr>
          <w:sz w:val="22"/>
          <w:szCs w:val="22"/>
        </w:rPr>
      </w:pPr>
    </w:p>
    <w:p w14:paraId="057CDA0F" w14:textId="21D78998" w:rsidR="00DE3EE8" w:rsidRPr="002B7E6B" w:rsidRDefault="00DE3EE8" w:rsidP="00DE3EE8">
      <w:pPr>
        <w:rPr>
          <w:sz w:val="22"/>
          <w:szCs w:val="22"/>
        </w:rPr>
      </w:pPr>
      <w:r w:rsidRPr="002B7E6B">
        <w:rPr>
          <w:sz w:val="22"/>
          <w:szCs w:val="22"/>
        </w:rPr>
        <w:t xml:space="preserve">The Recruitment Processes Alliance (RPA:  RACE RPP and ABL Ecological and Monitoring Assessment (EMA) Programs) conduct surveys on the early life history stages of groundfish species in the spring and summer, as well as observing the environmental conditions necessary to explain growth and mortality of fishes.  Spring surveys focus on the distribution, abundance, and survival of larvae of groundfish species such as walleye pollock, Pacific cod, arrowtooth flounder, and northern and southern rock sole.  The objective of the summer survey is to describe the abundance and distribution of the age-0 and age-1 </w:t>
      </w:r>
      <w:r w:rsidRPr="002B7E6B">
        <w:rPr>
          <w:sz w:val="22"/>
          <w:szCs w:val="22"/>
        </w:rPr>
        <w:lastRenderedPageBreak/>
        <w:t xml:space="preserve">juvenile stages of groundfish species, as well as forage fishes including capelin, eulachon, and Pacific herring.  Additionally, environmental variables that can potentially affect the ecology of those fishes are measured.  This survey also estimates whether age-0 fish have sufficient energy reserves to survive their first winter.  </w:t>
      </w:r>
    </w:p>
    <w:p w14:paraId="21C62B12" w14:textId="77777777" w:rsidR="00DE3EE8" w:rsidRPr="002B7E6B" w:rsidRDefault="00DE3EE8" w:rsidP="00DE3EE8">
      <w:pPr>
        <w:rPr>
          <w:sz w:val="22"/>
          <w:szCs w:val="22"/>
        </w:rPr>
      </w:pPr>
    </w:p>
    <w:p w14:paraId="4A6F1F2A" w14:textId="77777777" w:rsidR="00DE3EE8" w:rsidRPr="002B7E6B" w:rsidRDefault="00DE3EE8" w:rsidP="00DE3EE8">
      <w:pPr>
        <w:rPr>
          <w:sz w:val="22"/>
          <w:szCs w:val="22"/>
        </w:rPr>
      </w:pPr>
      <w:r w:rsidRPr="002B7E6B">
        <w:rPr>
          <w:sz w:val="22"/>
          <w:szCs w:val="22"/>
        </w:rPr>
        <w:t>In 2022, RACE scientists continued research on environmental effects as well as essential habitats of groundfishes in Alaska. Research on impacts of ocean acidification on early life history growth and survival continue at our Newport, Oregon, and Kodiak facilities.  Similarly, the Newport lab is engaged in a novel line of research to examine oil toxicity for arctic groundfish (arctic cod). This effort attempts to understand risks associated with oil and natural gas extraction as well as increased maritime traffic across the Arctic Ocean. Work on essential fish habitat (EFH) has identified suitable predictor variables for building quantitative habitat models and developing tools to map species distributions and abundances. For the first time, these scientists have mapped EFH in nearshore nursery areas for early life stages of fishes in Alaska. Independent but related EFH projects have estimated habitat-related survival rates based on individual-based models, investigated activities with potentially adverse effects on EFH, and determined optimal thermal and nearshore habitat for overwintering juvenile fishes.  Juvenile fish growth and condition research characterizing groundfish habitat requirements is ongoing as well.</w:t>
      </w:r>
    </w:p>
    <w:p w14:paraId="240B6EFE" w14:textId="77777777" w:rsidR="00DE3EE8" w:rsidRPr="002B7E6B" w:rsidRDefault="00DE3EE8" w:rsidP="00DE3EE8">
      <w:pPr>
        <w:rPr>
          <w:sz w:val="22"/>
          <w:szCs w:val="22"/>
        </w:rPr>
      </w:pPr>
    </w:p>
    <w:p w14:paraId="65ADCCDB" w14:textId="77777777" w:rsidR="00DE3EE8" w:rsidRPr="002B7E6B" w:rsidRDefault="00DE3EE8" w:rsidP="00DE3EE8">
      <w:pPr>
        <w:rPr>
          <w:sz w:val="22"/>
          <w:szCs w:val="22"/>
        </w:rPr>
      </w:pPr>
      <w:r w:rsidRPr="002B7E6B">
        <w:rPr>
          <w:sz w:val="22"/>
          <w:szCs w:val="22"/>
        </w:rPr>
        <w:t xml:space="preserve">The RACE Division continues collaborating with an international team of scientists to examine the impacts of reduced survey effort on the accuracy and precision of survey biomass estimates and stock assessments.  AFSC hosted an ICES workshop on the impacts of unavoidable survey effort reduction (ICES WKUSER) in the winter 2019/2020 to determine the impact of effort changes on estimates of abundance from fishery-independent surveys.  Work on the topic began in late 2018 and substantial progress </w:t>
      </w:r>
      <w:proofErr w:type="gramStart"/>
      <w:r w:rsidRPr="002B7E6B">
        <w:rPr>
          <w:sz w:val="22"/>
          <w:szCs w:val="22"/>
        </w:rPr>
        <w:t>was made</w:t>
      </w:r>
      <w:proofErr w:type="gramEnd"/>
      <w:r w:rsidRPr="002B7E6B">
        <w:rPr>
          <w:sz w:val="22"/>
          <w:szCs w:val="22"/>
        </w:rPr>
        <w:t xml:space="preserve"> before the 2020 meeting (Kupschus et al. 2020).  In 2022, a second ICES WKUSER workshop (WKUSER2</w:t>
      </w:r>
      <w:r w:rsidRPr="002B7E6B">
        <w:rPr>
          <w:sz w:val="22"/>
          <w:szCs w:val="22"/>
          <w:vertAlign w:val="superscript"/>
        </w:rPr>
        <w:footnoteReference w:id="2"/>
      </w:r>
      <w:r w:rsidRPr="002B7E6B">
        <w:rPr>
          <w:sz w:val="22"/>
          <w:szCs w:val="22"/>
        </w:rPr>
        <w:t xml:space="preserve">) convened to begin addressing the impacts to population estimates and stock assessments that result from unavoidable survey effort reductions and how the effects of those reductions can potentially be magnified or in the population modeling process.   </w:t>
      </w:r>
    </w:p>
    <w:p w14:paraId="5798CB71" w14:textId="77777777" w:rsidR="00DE3EE8" w:rsidRPr="002B7E6B" w:rsidRDefault="00DE3EE8" w:rsidP="00DE3EE8">
      <w:pPr>
        <w:rPr>
          <w:sz w:val="22"/>
          <w:szCs w:val="22"/>
        </w:rPr>
      </w:pPr>
    </w:p>
    <w:p w14:paraId="1BC19EBF" w14:textId="77777777" w:rsidR="00DE3EE8" w:rsidRPr="002B7E6B" w:rsidRDefault="00DE3EE8" w:rsidP="00DE3EE8">
      <w:pPr>
        <w:rPr>
          <w:sz w:val="22"/>
          <w:szCs w:val="22"/>
        </w:rPr>
      </w:pPr>
      <w:r w:rsidRPr="002B7E6B">
        <w:rPr>
          <w:sz w:val="22"/>
          <w:szCs w:val="22"/>
        </w:rPr>
        <w:t xml:space="preserve">For more information on all RACE Division programs, contact Division Director Lyle Britt at (206) 526-4501 or Deputy Director Michael Martin at (206) 526-4103.  </w:t>
      </w:r>
    </w:p>
    <w:p w14:paraId="6DF3C00E" w14:textId="77777777" w:rsidR="00DE3EE8" w:rsidRPr="002B7E6B" w:rsidRDefault="00DE3EE8" w:rsidP="00DE3EE8">
      <w:pPr>
        <w:rPr>
          <w:sz w:val="22"/>
          <w:szCs w:val="22"/>
        </w:rPr>
      </w:pPr>
    </w:p>
    <w:p w14:paraId="3B1BBB8B" w14:textId="77777777" w:rsidR="00DE3EE8" w:rsidRPr="002B7E6B" w:rsidRDefault="00DE3EE8" w:rsidP="00DE3EE8">
      <w:pPr>
        <w:rPr>
          <w:sz w:val="22"/>
          <w:szCs w:val="22"/>
        </w:rPr>
      </w:pPr>
      <w:r w:rsidRPr="002B7E6B">
        <w:rPr>
          <w:sz w:val="22"/>
          <w:szCs w:val="22"/>
        </w:rPr>
        <w:t>Literature Cited:</w:t>
      </w:r>
    </w:p>
    <w:p w14:paraId="31F6910C" w14:textId="77777777" w:rsidR="00DE3EE8" w:rsidRPr="002B7E6B" w:rsidRDefault="00DE3EE8" w:rsidP="00DE3EE8">
      <w:pPr>
        <w:rPr>
          <w:sz w:val="22"/>
          <w:szCs w:val="22"/>
        </w:rPr>
      </w:pPr>
    </w:p>
    <w:p w14:paraId="5B27531F" w14:textId="77777777" w:rsidR="00DE3EE8" w:rsidRPr="002B7E6B" w:rsidRDefault="00DE3EE8" w:rsidP="00841BD4">
      <w:pPr>
        <w:ind w:left="720" w:hanging="720"/>
        <w:rPr>
          <w:sz w:val="22"/>
          <w:szCs w:val="22"/>
        </w:rPr>
      </w:pPr>
      <w:r w:rsidRPr="002B7E6B">
        <w:rPr>
          <w:sz w:val="22"/>
          <w:szCs w:val="22"/>
        </w:rPr>
        <w:t>Kupschus, S., S. Kotwicki, and W. Palsson. 2020. ICES Workshop on unavoidable survey effort reduction (WKUSER). ICES Scientific Reports. 2:72. 92pp. http://doi.org/10.17895/ices.pub.7453</w:t>
      </w:r>
    </w:p>
    <w:p w14:paraId="13E81D07" w14:textId="77777777" w:rsidR="00DE3EE8" w:rsidRPr="002B7E6B" w:rsidRDefault="00DE3EE8" w:rsidP="00DE3EE8">
      <w:pPr>
        <w:rPr>
          <w:sz w:val="22"/>
          <w:szCs w:val="22"/>
        </w:rPr>
      </w:pPr>
    </w:p>
    <w:p w14:paraId="4AAE6365" w14:textId="77777777" w:rsidR="00DE3EE8" w:rsidRPr="002B7E6B" w:rsidRDefault="00DE3EE8" w:rsidP="00DE3EE8">
      <w:pPr>
        <w:pStyle w:val="Heading3"/>
        <w:keepNext w:val="0"/>
        <w:keepLines w:val="0"/>
        <w:numPr>
          <w:ilvl w:val="0"/>
          <w:numId w:val="3"/>
        </w:numPr>
        <w:spacing w:before="0" w:after="0"/>
        <w:rPr>
          <w:rFonts w:cs="Times New Roman"/>
          <w:sz w:val="22"/>
          <w:szCs w:val="22"/>
        </w:rPr>
      </w:pPr>
      <w:bookmarkStart w:id="6" w:name="_Toc131503788"/>
      <w:r w:rsidRPr="002B7E6B">
        <w:rPr>
          <w:rFonts w:cs="Times New Roman"/>
          <w:sz w:val="22"/>
          <w:szCs w:val="22"/>
        </w:rPr>
        <w:t>REFM DIVISION</w:t>
      </w:r>
      <w:bookmarkEnd w:id="6"/>
    </w:p>
    <w:p w14:paraId="1F27E8F8" w14:textId="77777777" w:rsidR="00DE3EE8" w:rsidRPr="002B7E6B" w:rsidRDefault="00DE3EE8" w:rsidP="00DE3EE8">
      <w:pPr>
        <w:rPr>
          <w:sz w:val="22"/>
          <w:szCs w:val="22"/>
        </w:rPr>
      </w:pPr>
    </w:p>
    <w:p w14:paraId="59212C50" w14:textId="77777777" w:rsidR="00DE3EE8" w:rsidRPr="002B7E6B" w:rsidRDefault="00DE3EE8" w:rsidP="00DE3EE8">
      <w:pPr>
        <w:rPr>
          <w:sz w:val="22"/>
          <w:szCs w:val="22"/>
        </w:rPr>
      </w:pPr>
      <w:r w:rsidRPr="002B7E6B">
        <w:rPr>
          <w:sz w:val="22"/>
          <w:szCs w:val="22"/>
        </w:rPr>
        <w:t xml:space="preserve">The research and activities of the Resource Ecology and Fisheries Management Division (REFM) </w:t>
      </w:r>
      <w:proofErr w:type="gramStart"/>
      <w:r w:rsidRPr="002B7E6B">
        <w:rPr>
          <w:sz w:val="22"/>
          <w:szCs w:val="22"/>
        </w:rPr>
        <w:t>are designed</w:t>
      </w:r>
      <w:proofErr w:type="gramEnd"/>
      <w:r w:rsidRPr="002B7E6B">
        <w:rPr>
          <w:sz w:val="22"/>
          <w:szCs w:val="22"/>
        </w:rPr>
        <w:t xml:space="preserve"> to respond to the needs of the National Marine Fisheries Service (NMFS) regarding the conservation and management of fishery resources within the US 200-mile Exclusive Economic Zone (EEZ) of the northeast Pacific Ocean and Bering Sea.  The activities of REFM </w:t>
      </w:r>
      <w:proofErr w:type="gramStart"/>
      <w:r w:rsidRPr="002B7E6B">
        <w:rPr>
          <w:sz w:val="22"/>
          <w:szCs w:val="22"/>
        </w:rPr>
        <w:t>are organized</w:t>
      </w:r>
      <w:proofErr w:type="gramEnd"/>
      <w:r w:rsidRPr="002B7E6B">
        <w:rPr>
          <w:sz w:val="22"/>
          <w:szCs w:val="22"/>
        </w:rPr>
        <w:t xml:space="preserve"> under several programs that have specific responsibilities but also interact:</w:t>
      </w:r>
    </w:p>
    <w:p w14:paraId="68ADD812" w14:textId="77777777" w:rsidR="00DE3EE8" w:rsidRPr="002B7E6B" w:rsidRDefault="00DE3EE8" w:rsidP="00DE3EE8">
      <w:pPr>
        <w:numPr>
          <w:ilvl w:val="0"/>
          <w:numId w:val="8"/>
        </w:numPr>
        <w:rPr>
          <w:sz w:val="22"/>
          <w:szCs w:val="22"/>
        </w:rPr>
      </w:pPr>
      <w:r w:rsidRPr="002B7E6B">
        <w:rPr>
          <w:sz w:val="22"/>
          <w:szCs w:val="22"/>
        </w:rPr>
        <w:t xml:space="preserve">The </w:t>
      </w:r>
      <w:r w:rsidRPr="002B7E6B">
        <w:rPr>
          <w:b/>
          <w:sz w:val="22"/>
          <w:szCs w:val="22"/>
        </w:rPr>
        <w:t>Age and Growth Studies</w:t>
      </w:r>
      <w:r w:rsidRPr="002B7E6B">
        <w:rPr>
          <w:sz w:val="22"/>
          <w:szCs w:val="22"/>
        </w:rPr>
        <w:t xml:space="preserve"> program performs production ageing of thousands of otoliths each year and performs research regarding new technologies, reproductive biology, and enhancing age and growth data for less </w:t>
      </w:r>
      <w:proofErr w:type="gramStart"/>
      <w:r w:rsidRPr="002B7E6B">
        <w:rPr>
          <w:sz w:val="22"/>
          <w:szCs w:val="22"/>
        </w:rPr>
        <w:t>well known</w:t>
      </w:r>
      <w:proofErr w:type="gramEnd"/>
      <w:r w:rsidRPr="002B7E6B">
        <w:rPr>
          <w:sz w:val="22"/>
          <w:szCs w:val="22"/>
        </w:rPr>
        <w:t xml:space="preserve"> species.</w:t>
      </w:r>
    </w:p>
    <w:p w14:paraId="704710AA" w14:textId="77777777" w:rsidR="00DE3EE8" w:rsidRPr="002B7E6B" w:rsidRDefault="00DE3EE8" w:rsidP="00DE3EE8">
      <w:pPr>
        <w:numPr>
          <w:ilvl w:val="0"/>
          <w:numId w:val="8"/>
        </w:numPr>
        <w:rPr>
          <w:sz w:val="22"/>
          <w:szCs w:val="22"/>
        </w:rPr>
      </w:pPr>
      <w:r w:rsidRPr="002B7E6B">
        <w:rPr>
          <w:b/>
          <w:sz w:val="22"/>
          <w:szCs w:val="22"/>
        </w:rPr>
        <w:t>Economics and Social Sciences Research</w:t>
      </w:r>
      <w:r w:rsidRPr="002B7E6B">
        <w:rPr>
          <w:sz w:val="22"/>
          <w:szCs w:val="22"/>
        </w:rPr>
        <w:t xml:space="preserve"> (ESSR) performs analyses of fisheries economics as </w:t>
      </w:r>
      <w:r w:rsidRPr="002B7E6B">
        <w:rPr>
          <w:sz w:val="22"/>
          <w:szCs w:val="22"/>
        </w:rPr>
        <w:lastRenderedPageBreak/>
        <w:t>well as sociological studies of Alaska fishing communities, and produces an annual economic report on federal fisheries in Alaska.</w:t>
      </w:r>
    </w:p>
    <w:p w14:paraId="715739B3" w14:textId="77777777" w:rsidR="00DE3EE8" w:rsidRPr="002B7E6B" w:rsidRDefault="00DE3EE8" w:rsidP="00DE3EE8">
      <w:pPr>
        <w:numPr>
          <w:ilvl w:val="0"/>
          <w:numId w:val="8"/>
        </w:numPr>
        <w:rPr>
          <w:sz w:val="22"/>
          <w:szCs w:val="22"/>
        </w:rPr>
      </w:pPr>
      <w:r w:rsidRPr="002B7E6B">
        <w:rPr>
          <w:b/>
          <w:sz w:val="22"/>
          <w:szCs w:val="22"/>
        </w:rPr>
        <w:t>The Resource Ecology and Ecosystem Modeling</w:t>
      </w:r>
      <w:r w:rsidRPr="002B7E6B">
        <w:rPr>
          <w:sz w:val="22"/>
          <w:szCs w:val="22"/>
        </w:rPr>
        <w:t xml:space="preserve"> (REEM) program maintains an ever-growing database of groundfish diets, constructs ecosystem models, and produces an extensive annual report on the status of Alaska marine ecosystems. </w:t>
      </w:r>
    </w:p>
    <w:p w14:paraId="3A4D7041" w14:textId="77777777" w:rsidR="00DE3EE8" w:rsidRPr="002B7E6B" w:rsidRDefault="00DE3EE8" w:rsidP="00DE3EE8">
      <w:pPr>
        <w:numPr>
          <w:ilvl w:val="0"/>
          <w:numId w:val="8"/>
        </w:numPr>
        <w:rPr>
          <w:sz w:val="22"/>
          <w:szCs w:val="22"/>
        </w:rPr>
      </w:pPr>
      <w:r w:rsidRPr="002B7E6B">
        <w:rPr>
          <w:b/>
          <w:sz w:val="22"/>
          <w:szCs w:val="22"/>
        </w:rPr>
        <w:t>Status of Stocks and Multispecies Assessmen</w:t>
      </w:r>
      <w:r w:rsidRPr="002B7E6B">
        <w:rPr>
          <w:sz w:val="22"/>
          <w:szCs w:val="22"/>
        </w:rPr>
        <w:t xml:space="preserve">t (SSMA), in collaboration with the Auke Bay Laboratories, prepares annual stock assessment documents for groundfish and crab stocks in Alaska and conducts related research. Members of REFM provide management support through membership on regional fishery management teams.  </w:t>
      </w:r>
    </w:p>
    <w:p w14:paraId="47D83A91" w14:textId="77777777" w:rsidR="00DE3EE8" w:rsidRPr="002B7E6B" w:rsidRDefault="00DE3EE8" w:rsidP="00DE3EE8">
      <w:pPr>
        <w:tabs>
          <w:tab w:val="left" w:pos="3211"/>
        </w:tabs>
        <w:rPr>
          <w:sz w:val="22"/>
          <w:szCs w:val="22"/>
        </w:rPr>
      </w:pPr>
      <w:r w:rsidRPr="002B7E6B">
        <w:rPr>
          <w:sz w:val="22"/>
          <w:szCs w:val="22"/>
        </w:rPr>
        <w:tab/>
      </w:r>
    </w:p>
    <w:p w14:paraId="4D4B950E" w14:textId="65893992" w:rsidR="00DE3EE8" w:rsidRPr="002B7E6B" w:rsidRDefault="00DE3EE8" w:rsidP="00DE3EE8">
      <w:pPr>
        <w:rPr>
          <w:sz w:val="22"/>
          <w:szCs w:val="22"/>
        </w:rPr>
      </w:pPr>
      <w:r w:rsidRPr="002B7E6B">
        <w:rPr>
          <w:sz w:val="22"/>
          <w:szCs w:val="22"/>
        </w:rPr>
        <w:t xml:space="preserve">For more information on overall REFM Division programs, contact Division Director Ron Felthoven (ron.felthoven@noaa.gov). </w:t>
      </w:r>
    </w:p>
    <w:p w14:paraId="67A225C1" w14:textId="77777777" w:rsidR="00DE3EE8" w:rsidRPr="002B7E6B" w:rsidRDefault="00DE3EE8" w:rsidP="00DE3EE8">
      <w:pPr>
        <w:rPr>
          <w:sz w:val="22"/>
          <w:szCs w:val="22"/>
        </w:rPr>
      </w:pPr>
    </w:p>
    <w:p w14:paraId="528F5DFD" w14:textId="77777777" w:rsidR="00DE3EE8" w:rsidRPr="002B7E6B" w:rsidRDefault="00DE3EE8" w:rsidP="00DE3EE8">
      <w:pPr>
        <w:pStyle w:val="Heading3"/>
        <w:keepNext w:val="0"/>
        <w:keepLines w:val="0"/>
        <w:numPr>
          <w:ilvl w:val="0"/>
          <w:numId w:val="3"/>
        </w:numPr>
        <w:spacing w:before="0" w:after="0"/>
        <w:rPr>
          <w:rFonts w:cs="Times New Roman"/>
          <w:sz w:val="22"/>
          <w:szCs w:val="22"/>
        </w:rPr>
      </w:pPr>
      <w:bookmarkStart w:id="7" w:name="_Toc131503789"/>
      <w:r w:rsidRPr="002B7E6B">
        <w:rPr>
          <w:rFonts w:cs="Times New Roman"/>
          <w:sz w:val="22"/>
          <w:szCs w:val="22"/>
        </w:rPr>
        <w:t>AUKE BAY LABORATORIES</w:t>
      </w:r>
      <w:bookmarkEnd w:id="7"/>
    </w:p>
    <w:p w14:paraId="61159CEF" w14:textId="77777777" w:rsidR="00DE3EE8" w:rsidRPr="002B7E6B" w:rsidRDefault="00DE3EE8" w:rsidP="00DE3EE8">
      <w:pPr>
        <w:rPr>
          <w:sz w:val="22"/>
          <w:szCs w:val="22"/>
        </w:rPr>
      </w:pPr>
    </w:p>
    <w:p w14:paraId="1532577E" w14:textId="77777777" w:rsidR="00DE3EE8" w:rsidRPr="002B7E6B" w:rsidRDefault="00DE3EE8" w:rsidP="00DE3EE8">
      <w:pPr>
        <w:rPr>
          <w:sz w:val="22"/>
          <w:szCs w:val="22"/>
        </w:rPr>
      </w:pPr>
      <w:r w:rsidRPr="002B7E6B">
        <w:rPr>
          <w:sz w:val="22"/>
          <w:szCs w:val="22"/>
        </w:rPr>
        <w:t xml:space="preserve">The Auke Bay Laboratories (ABL), located in Juneau, Alaska, is a division of the NMFS Alaska Fisheries Science Center (AFSC). ABL’s Marine Ecology and Stock Assessment Program (MESA) publishes groundfish stock assessments for rockfish in the Gulf of Alaska, for sharks, sablefish, and grenadiers for all of Alaska, and conducts management strategy evaluations (MSEs). MESA also conducts biological research, such as movement, growth, stock structure, ageing, and maturity. Presently, the program </w:t>
      </w:r>
      <w:proofErr w:type="gramStart"/>
      <w:r w:rsidRPr="002B7E6B">
        <w:rPr>
          <w:sz w:val="22"/>
          <w:szCs w:val="22"/>
        </w:rPr>
        <w:t>is staffed</w:t>
      </w:r>
      <w:proofErr w:type="gramEnd"/>
      <w:r w:rsidRPr="002B7E6B">
        <w:rPr>
          <w:sz w:val="22"/>
          <w:szCs w:val="22"/>
        </w:rPr>
        <w:t xml:space="preserve"> by 11 full time emloyees. ABL’s Ecosystem Monitoring and Assessment Program (EMA) captures groundfishes in their surveys of the Bering Sea and the eastern Gulf of Alaska and conducts research on impacts of the environment on groundfish, growth, survival, and recruitment. The Recruitment Energetics and Coastal Assessment Program (RECA) studies the energetics and diet of juvenile groundfish under different environmental conditions, and the Genetics Program conducts research on Pacific cod, Alaska pollock, sablefish, rockfish, shark, and forage fish stock structure and distribution. </w:t>
      </w:r>
    </w:p>
    <w:p w14:paraId="47532802" w14:textId="77777777" w:rsidR="00DE3EE8" w:rsidRPr="002B7E6B" w:rsidRDefault="00DE3EE8" w:rsidP="00DE3EE8">
      <w:pPr>
        <w:rPr>
          <w:sz w:val="22"/>
          <w:szCs w:val="22"/>
        </w:rPr>
      </w:pPr>
      <w:r w:rsidRPr="002B7E6B">
        <w:rPr>
          <w:sz w:val="22"/>
          <w:szCs w:val="22"/>
        </w:rPr>
        <w:t xml:space="preserve"> </w:t>
      </w:r>
    </w:p>
    <w:p w14:paraId="5C32A725" w14:textId="77777777" w:rsidR="00DE3EE8" w:rsidRPr="002B7E6B" w:rsidRDefault="00DE3EE8" w:rsidP="00DE3EE8">
      <w:pPr>
        <w:rPr>
          <w:sz w:val="22"/>
          <w:szCs w:val="22"/>
        </w:rPr>
      </w:pPr>
      <w:proofErr w:type="gramStart"/>
      <w:r w:rsidRPr="002B7E6B">
        <w:rPr>
          <w:sz w:val="22"/>
          <w:szCs w:val="22"/>
        </w:rPr>
        <w:t>Projects at ABL included: 1) ageing, movement, and studies of sharks, 2</w:t>
      </w:r>
      <w:r w:rsidRPr="002B7E6B">
        <w:rPr>
          <w:sz w:val="22"/>
          <w:szCs w:val="22"/>
          <w:highlight w:val="white"/>
        </w:rPr>
        <w:t>) estimating large shark size in hook and line fisheries, 3) predicting pollock recruitment from a tempe</w:t>
      </w:r>
      <w:r w:rsidRPr="002B7E6B">
        <w:rPr>
          <w:sz w:val="22"/>
          <w:szCs w:val="22"/>
        </w:rPr>
        <w:t>rature change index, 4) researching copepods as an indicator of walleye pollock recruitment, 5) whole genome sequencing of multiple groundfish, 6) conducting the AFSC’s annual longline survey throughout Alaska, 7) comparing hook and line and pot CPUE and size distributions, 8) the development of a random effects model for biomass-based stock assessments, 9) detection of trophic shifts in sablefish and walleye pollock using stable isotopes, and 10) continued tagging or adult and juvenile sablefish and management of tag returns.</w:t>
      </w:r>
      <w:proofErr w:type="gramEnd"/>
    </w:p>
    <w:p w14:paraId="1E432F27" w14:textId="77777777" w:rsidR="00DE3EE8" w:rsidRPr="002B7E6B" w:rsidRDefault="00DE3EE8" w:rsidP="00DE3EE8">
      <w:pPr>
        <w:rPr>
          <w:sz w:val="22"/>
          <w:szCs w:val="22"/>
        </w:rPr>
      </w:pPr>
      <w:r w:rsidRPr="002B7E6B">
        <w:rPr>
          <w:sz w:val="22"/>
          <w:szCs w:val="22"/>
        </w:rPr>
        <w:t xml:space="preserve"> </w:t>
      </w:r>
    </w:p>
    <w:p w14:paraId="1274B68D" w14:textId="77777777" w:rsidR="00DE3EE8" w:rsidRPr="002B7E6B" w:rsidRDefault="00DE3EE8" w:rsidP="00DE3EE8">
      <w:pPr>
        <w:rPr>
          <w:sz w:val="22"/>
          <w:szCs w:val="22"/>
        </w:rPr>
      </w:pPr>
      <w:r w:rsidRPr="002B7E6B">
        <w:rPr>
          <w:sz w:val="22"/>
          <w:szCs w:val="22"/>
        </w:rPr>
        <w:t xml:space="preserve">In 2022, ABL prepared 11 stock assessment and fishery evaluation reports for Alaska groundfish: Alaska sablefish, Gulf of Alaska (GOA), Pacific </w:t>
      </w:r>
      <w:proofErr w:type="gramStart"/>
      <w:r w:rsidRPr="002B7E6B">
        <w:rPr>
          <w:sz w:val="22"/>
          <w:szCs w:val="22"/>
        </w:rPr>
        <w:t>ocean</w:t>
      </w:r>
      <w:proofErr w:type="gramEnd"/>
      <w:r w:rsidRPr="002B7E6B">
        <w:rPr>
          <w:sz w:val="22"/>
          <w:szCs w:val="22"/>
        </w:rPr>
        <w:t xml:space="preserve"> perch, GOA Pacific cod, GOA northern rockfish, GOA dusky rockfish, GOA rougheye/blackspotted rockfish, GOA shortraker rockfish, Bering Sea/Aleutian Islands (BSAI) “Other Rockfish”, GOA thornyheads, and BSAI and GOA sharks, and BSAI Octopus.</w:t>
      </w:r>
    </w:p>
    <w:p w14:paraId="228BE85C" w14:textId="77777777" w:rsidR="00DE3EE8" w:rsidRPr="002B7E6B" w:rsidRDefault="00DE3EE8" w:rsidP="00DE3EE8">
      <w:pPr>
        <w:rPr>
          <w:sz w:val="22"/>
          <w:szCs w:val="22"/>
        </w:rPr>
      </w:pPr>
      <w:r w:rsidRPr="002B7E6B">
        <w:rPr>
          <w:sz w:val="22"/>
          <w:szCs w:val="22"/>
        </w:rPr>
        <w:t xml:space="preserve"> </w:t>
      </w:r>
    </w:p>
    <w:p w14:paraId="6C5DE08B" w14:textId="77777777" w:rsidR="00DE3EE8" w:rsidRPr="002B7E6B" w:rsidRDefault="00DE3EE8" w:rsidP="00DE3EE8">
      <w:pPr>
        <w:rPr>
          <w:sz w:val="22"/>
          <w:szCs w:val="22"/>
        </w:rPr>
      </w:pPr>
      <w:r w:rsidRPr="002B7E6B">
        <w:rPr>
          <w:sz w:val="22"/>
          <w:szCs w:val="22"/>
        </w:rPr>
        <w:t>For more information on overall programs of the Auke Bay Laboratories, contact the ABL Laboratory Director Dana Hanselman at (dana.hanselman@noaa.gov). For more information on the ABL reports, contact Cara Rodgveller (cara.rodgveller@noaa.gov).</w:t>
      </w:r>
    </w:p>
    <w:p w14:paraId="687C2D81" w14:textId="77777777" w:rsidR="00DE3EE8" w:rsidRPr="002B7E6B" w:rsidRDefault="00DE3EE8" w:rsidP="00DE3EE8">
      <w:pPr>
        <w:rPr>
          <w:sz w:val="22"/>
          <w:szCs w:val="22"/>
        </w:rPr>
      </w:pPr>
    </w:p>
    <w:p w14:paraId="7EEA9530" w14:textId="77777777" w:rsidR="00DE3EE8" w:rsidRPr="002B7E6B" w:rsidRDefault="00DE3EE8" w:rsidP="00DE3EE8">
      <w:pPr>
        <w:pStyle w:val="Heading3"/>
        <w:keepNext w:val="0"/>
        <w:keepLines w:val="0"/>
        <w:numPr>
          <w:ilvl w:val="0"/>
          <w:numId w:val="3"/>
        </w:numPr>
        <w:spacing w:before="0" w:after="0"/>
        <w:rPr>
          <w:rFonts w:cs="Times New Roman"/>
          <w:sz w:val="22"/>
          <w:szCs w:val="22"/>
        </w:rPr>
      </w:pPr>
      <w:bookmarkStart w:id="8" w:name="_Toc131503790"/>
      <w:r w:rsidRPr="002B7E6B">
        <w:rPr>
          <w:rFonts w:cs="Times New Roman"/>
          <w:sz w:val="22"/>
          <w:szCs w:val="22"/>
        </w:rPr>
        <w:t>FMA DIVISION</w:t>
      </w:r>
      <w:bookmarkEnd w:id="8"/>
    </w:p>
    <w:p w14:paraId="086A3ECA" w14:textId="77777777" w:rsidR="00DE3EE8" w:rsidRPr="002B7E6B" w:rsidRDefault="00DE3EE8" w:rsidP="00DE3EE8">
      <w:pPr>
        <w:rPr>
          <w:sz w:val="22"/>
          <w:szCs w:val="22"/>
        </w:rPr>
      </w:pPr>
    </w:p>
    <w:p w14:paraId="6EF771AB" w14:textId="10934B2C" w:rsidR="00DE3EE8" w:rsidRPr="002B7E6B" w:rsidRDefault="00DE3EE8" w:rsidP="00DE3EE8">
      <w:pPr>
        <w:rPr>
          <w:sz w:val="22"/>
          <w:szCs w:val="22"/>
        </w:rPr>
      </w:pPr>
      <w:r w:rsidRPr="002B7E6B">
        <w:rPr>
          <w:sz w:val="22"/>
          <w:szCs w:val="22"/>
        </w:rPr>
        <w:t xml:space="preserve">The Fisheries Monitoring and Analysis Division (FMA) monitors groundfish fishing activities in the </w:t>
      </w:r>
      <w:hyperlink r:id="rId12">
        <w:r w:rsidRPr="002B7E6B">
          <w:rPr>
            <w:color w:val="003399"/>
            <w:sz w:val="22"/>
            <w:szCs w:val="22"/>
            <w:u w:val="single"/>
          </w:rPr>
          <w:t>U.S. Exclusive Economic Zone (EEZ)</w:t>
        </w:r>
      </w:hyperlink>
      <w:r w:rsidRPr="002B7E6B">
        <w:rPr>
          <w:sz w:val="22"/>
          <w:szCs w:val="22"/>
        </w:rPr>
        <w:t xml:space="preserve"> off Alaska and conducts research associated with sampling commercial fishery catches, estimation of catch and bycatch mortality, and analysis of fishery-dependent data. The Division is responsible for training, briefing, debriefing and oversight of observers who collect catch data </w:t>
      </w:r>
      <w:r w:rsidRPr="002B7E6B">
        <w:rPr>
          <w:sz w:val="22"/>
          <w:szCs w:val="22"/>
        </w:rPr>
        <w:lastRenderedPageBreak/>
        <w:t xml:space="preserve">onboard fishing vessels and at onshore processing plants and for quality control/quality assurance of the data provided by these observers. Division staff process data and make it available to the Sustainable Fisheries Division of the Alaska Regional Office for quota monitoring and to scientists in other AFSC divisions for stock assessment, ecosystem investigations, and an array of research investigations. For further </w:t>
      </w:r>
      <w:proofErr w:type="gramStart"/>
      <w:r w:rsidRPr="002B7E6B">
        <w:rPr>
          <w:sz w:val="22"/>
          <w:szCs w:val="22"/>
        </w:rPr>
        <w:t>information</w:t>
      </w:r>
      <w:proofErr w:type="gramEnd"/>
      <w:r w:rsidRPr="002B7E6B">
        <w:rPr>
          <w:sz w:val="22"/>
          <w:szCs w:val="22"/>
        </w:rPr>
        <w:t xml:space="preserve"> please contact Jennifer Ferdinand, (206) 526-4194.</w:t>
      </w:r>
    </w:p>
    <w:p w14:paraId="25D0A65B" w14:textId="77777777" w:rsidR="00DE3EE8" w:rsidRPr="002B7E6B" w:rsidRDefault="00DE3EE8" w:rsidP="00DE3EE8">
      <w:pPr>
        <w:rPr>
          <w:sz w:val="22"/>
          <w:szCs w:val="22"/>
        </w:rPr>
      </w:pPr>
    </w:p>
    <w:p w14:paraId="508AC700" w14:textId="51E2A5DD" w:rsidR="00DE3EE8" w:rsidRPr="002B7E6B" w:rsidRDefault="00DE3EE8" w:rsidP="00DE3EE8">
      <w:pPr>
        <w:pStyle w:val="Heading3"/>
        <w:keepNext w:val="0"/>
        <w:keepLines w:val="0"/>
        <w:numPr>
          <w:ilvl w:val="0"/>
          <w:numId w:val="3"/>
        </w:numPr>
        <w:spacing w:before="0" w:after="0"/>
        <w:rPr>
          <w:rFonts w:cs="Times New Roman"/>
          <w:sz w:val="22"/>
          <w:szCs w:val="22"/>
        </w:rPr>
      </w:pPr>
      <w:bookmarkStart w:id="9" w:name="_Toc131503791"/>
      <w:r w:rsidRPr="002B7E6B">
        <w:rPr>
          <w:rFonts w:cs="Times New Roman"/>
          <w:sz w:val="22"/>
          <w:szCs w:val="22"/>
        </w:rPr>
        <w:t>HEPR</w:t>
      </w:r>
      <w:bookmarkEnd w:id="9"/>
    </w:p>
    <w:p w14:paraId="770131F3" w14:textId="77777777" w:rsidR="00DE3EE8" w:rsidRPr="002B7E6B" w:rsidRDefault="00DE3EE8" w:rsidP="00DE3EE8">
      <w:pPr>
        <w:widowControl/>
        <w:pBdr>
          <w:top w:val="nil"/>
          <w:left w:val="nil"/>
          <w:bottom w:val="nil"/>
          <w:right w:val="nil"/>
          <w:between w:val="nil"/>
        </w:pBdr>
        <w:shd w:val="clear" w:color="auto" w:fill="FFFFFF"/>
        <w:spacing w:after="150"/>
        <w:rPr>
          <w:color w:val="000000"/>
          <w:sz w:val="22"/>
          <w:szCs w:val="22"/>
        </w:rPr>
      </w:pPr>
    </w:p>
    <w:p w14:paraId="03E62726" w14:textId="77777777" w:rsidR="00DE3EE8" w:rsidRPr="002B7E6B" w:rsidRDefault="00DE3EE8" w:rsidP="00DE3EE8">
      <w:pPr>
        <w:widowControl/>
        <w:pBdr>
          <w:top w:val="nil"/>
          <w:left w:val="nil"/>
          <w:bottom w:val="nil"/>
          <w:right w:val="nil"/>
          <w:between w:val="nil"/>
        </w:pBdr>
        <w:shd w:val="clear" w:color="auto" w:fill="FFFFFF"/>
        <w:spacing w:after="150"/>
        <w:rPr>
          <w:color w:val="000000"/>
          <w:sz w:val="22"/>
          <w:szCs w:val="22"/>
        </w:rPr>
      </w:pPr>
      <w:r w:rsidRPr="002B7E6B">
        <w:rPr>
          <w:color w:val="000000"/>
          <w:sz w:val="22"/>
          <w:szCs w:val="22"/>
        </w:rPr>
        <w:t>The Habitat and Ecological Processes Research Program focuses on integrated studies that combine scientific capabilities and create comprehensive research on habitat and ecological processes. The HEPR Program focuses on four main research areas.</w:t>
      </w:r>
    </w:p>
    <w:p w14:paraId="2F7897A0" w14:textId="77777777" w:rsidR="00DE3EE8" w:rsidRPr="002B7E6B" w:rsidRDefault="00DE3EE8" w:rsidP="00841BD4">
      <w:pPr>
        <w:pStyle w:val="Heading4"/>
      </w:pPr>
      <w:bookmarkStart w:id="10" w:name="_Toc131503792"/>
      <w:r w:rsidRPr="002B7E6B">
        <w:t>Loss of Sea Ice</w:t>
      </w:r>
      <w:bookmarkEnd w:id="10"/>
    </w:p>
    <w:p w14:paraId="405D9F28" w14:textId="77777777" w:rsidR="00DE3EE8" w:rsidRPr="002B7E6B" w:rsidRDefault="00DE3EE8" w:rsidP="00DE3EE8">
      <w:pPr>
        <w:widowControl/>
        <w:pBdr>
          <w:top w:val="nil"/>
          <w:left w:val="nil"/>
          <w:bottom w:val="nil"/>
          <w:right w:val="nil"/>
          <w:between w:val="nil"/>
        </w:pBdr>
        <w:shd w:val="clear" w:color="auto" w:fill="FFFFFF"/>
        <w:spacing w:after="150"/>
        <w:rPr>
          <w:color w:val="000000"/>
          <w:sz w:val="22"/>
          <w:szCs w:val="22"/>
        </w:rPr>
      </w:pPr>
      <w:r w:rsidRPr="002B7E6B">
        <w:rPr>
          <w:color w:val="000000"/>
          <w:sz w:val="22"/>
          <w:szCs w:val="22"/>
        </w:rPr>
        <w:t>Climate change is causing loss of sea ice in the Bering, Chukchi and Beaufort Seas. Addressing ecosystem-related shifts is critical for fisheries management, because nationally important Bering Sea commercial fisheries are located primarily within the southeastern Bering Sea, and for successful co-management of marine mammals, which at least thirty Alaska Native communities depend on.</w:t>
      </w:r>
    </w:p>
    <w:p w14:paraId="62AF86B0" w14:textId="77777777" w:rsidR="00DE3EE8" w:rsidRPr="002B7E6B" w:rsidRDefault="00DE3EE8" w:rsidP="00841BD4">
      <w:pPr>
        <w:pStyle w:val="Heading4"/>
      </w:pPr>
      <w:bookmarkStart w:id="11" w:name="_Toc131503793"/>
      <w:r w:rsidRPr="002B7E6B">
        <w:t>Essential Fish Habitat</w:t>
      </w:r>
      <w:bookmarkEnd w:id="11"/>
    </w:p>
    <w:p w14:paraId="02CF00E2" w14:textId="77777777" w:rsidR="00DE3EE8" w:rsidRPr="002B7E6B" w:rsidRDefault="00DE3EE8" w:rsidP="00DE3EE8">
      <w:pPr>
        <w:widowControl/>
        <w:pBdr>
          <w:top w:val="nil"/>
          <w:left w:val="nil"/>
          <w:bottom w:val="nil"/>
          <w:right w:val="nil"/>
          <w:between w:val="nil"/>
        </w:pBdr>
        <w:shd w:val="clear" w:color="auto" w:fill="FFFFFF"/>
        <w:spacing w:after="150"/>
        <w:rPr>
          <w:color w:val="000000"/>
          <w:sz w:val="22"/>
          <w:szCs w:val="22"/>
        </w:rPr>
      </w:pPr>
      <w:r w:rsidRPr="002B7E6B">
        <w:rPr>
          <w:color w:val="000000"/>
          <w:sz w:val="22"/>
          <w:szCs w:val="22"/>
        </w:rPr>
        <w:t xml:space="preserve">Alaska has more than 50 percent of the U.S. coastline and leads the Nation in fish habitat area and value of fish </w:t>
      </w:r>
      <w:proofErr w:type="gramStart"/>
      <w:r w:rsidRPr="002B7E6B">
        <w:rPr>
          <w:color w:val="000000"/>
          <w:sz w:val="22"/>
          <w:szCs w:val="22"/>
        </w:rPr>
        <w:t>harvested,</w:t>
      </w:r>
      <w:proofErr w:type="gramEnd"/>
      <w:r w:rsidRPr="002B7E6B">
        <w:rPr>
          <w:color w:val="000000"/>
          <w:sz w:val="22"/>
          <w:szCs w:val="22"/>
        </w:rPr>
        <w:t xml:space="preserve"> yet large gaps exist in our knowledge of Essential Fish Habitat (EFH) in Alaska.</w:t>
      </w:r>
    </w:p>
    <w:p w14:paraId="5A6183A4" w14:textId="77777777" w:rsidR="00DE3EE8" w:rsidRPr="002B7E6B" w:rsidRDefault="00A44DE9" w:rsidP="00841BD4">
      <w:pPr>
        <w:pStyle w:val="Heading4"/>
      </w:pPr>
      <w:hyperlink r:id="rId13">
        <w:bookmarkStart w:id="12" w:name="_Toc131503794"/>
        <w:r w:rsidR="00DE3EE8" w:rsidRPr="002B7E6B">
          <w:t>Habitat Research in Alaska</w:t>
        </w:r>
        <w:bookmarkEnd w:id="12"/>
      </w:hyperlink>
    </w:p>
    <w:p w14:paraId="6A04047E" w14:textId="7451C533" w:rsidR="00DE3EE8" w:rsidRPr="002B7E6B" w:rsidRDefault="00841BD4" w:rsidP="00DE3EE8">
      <w:pPr>
        <w:widowControl/>
        <w:pBdr>
          <w:top w:val="nil"/>
          <w:left w:val="nil"/>
          <w:bottom w:val="nil"/>
          <w:right w:val="nil"/>
          <w:between w:val="nil"/>
        </w:pBdr>
        <w:shd w:val="clear" w:color="auto" w:fill="FFFFFF"/>
        <w:spacing w:after="150"/>
        <w:rPr>
          <w:color w:val="000000"/>
          <w:sz w:val="22"/>
          <w:szCs w:val="22"/>
        </w:rPr>
      </w:pPr>
      <w:r>
        <w:rPr>
          <w:color w:val="000000"/>
          <w:sz w:val="22"/>
          <w:szCs w:val="22"/>
        </w:rPr>
        <w:t>The m</w:t>
      </w:r>
      <w:r w:rsidR="00DE3EE8" w:rsidRPr="002B7E6B">
        <w:rPr>
          <w:color w:val="000000"/>
          <w:sz w:val="22"/>
          <w:szCs w:val="22"/>
        </w:rPr>
        <w:t>ajor research needs are</w:t>
      </w:r>
    </w:p>
    <w:p w14:paraId="372D456B" w14:textId="77777777" w:rsidR="00DE3EE8" w:rsidRPr="002B7E6B" w:rsidRDefault="00DE3EE8" w:rsidP="00DE3EE8">
      <w:pPr>
        <w:widowControl/>
        <w:numPr>
          <w:ilvl w:val="0"/>
          <w:numId w:val="9"/>
        </w:numPr>
        <w:shd w:val="clear" w:color="auto" w:fill="FFFFFF"/>
        <w:spacing w:before="280"/>
        <w:rPr>
          <w:sz w:val="22"/>
          <w:szCs w:val="22"/>
        </w:rPr>
      </w:pPr>
      <w:bookmarkStart w:id="13" w:name="_heading=h.26in1rg" w:colFirst="0" w:colLast="0"/>
      <w:bookmarkEnd w:id="13"/>
      <w:r w:rsidRPr="002B7E6B">
        <w:rPr>
          <w:sz w:val="22"/>
          <w:szCs w:val="22"/>
        </w:rPr>
        <w:t>to identify habitats that contribute most to the survival, growth, and productivity of managed fish and shellfish species; and</w:t>
      </w:r>
    </w:p>
    <w:p w14:paraId="5ECCE612" w14:textId="77777777" w:rsidR="00DE3EE8" w:rsidRPr="002B7E6B" w:rsidRDefault="00DE3EE8" w:rsidP="00DE3EE8">
      <w:pPr>
        <w:widowControl/>
        <w:numPr>
          <w:ilvl w:val="0"/>
          <w:numId w:val="9"/>
        </w:numPr>
        <w:shd w:val="clear" w:color="auto" w:fill="FFFFFF"/>
        <w:spacing w:after="280"/>
        <w:rPr>
          <w:sz w:val="22"/>
          <w:szCs w:val="22"/>
        </w:rPr>
      </w:pPr>
      <w:r w:rsidRPr="002B7E6B">
        <w:rPr>
          <w:sz w:val="22"/>
          <w:szCs w:val="22"/>
        </w:rPr>
        <w:t> </w:t>
      </w:r>
      <w:proofErr w:type="gramStart"/>
      <w:r w:rsidRPr="002B7E6B">
        <w:rPr>
          <w:sz w:val="22"/>
          <w:szCs w:val="22"/>
        </w:rPr>
        <w:t>to</w:t>
      </w:r>
      <w:proofErr w:type="gramEnd"/>
      <w:r w:rsidRPr="002B7E6B">
        <w:rPr>
          <w:sz w:val="22"/>
          <w:szCs w:val="22"/>
        </w:rPr>
        <w:t xml:space="preserve"> determine how to best manage and protect these habitats from human disturbance and environmental change.</w:t>
      </w:r>
    </w:p>
    <w:p w14:paraId="75A33653" w14:textId="77777777" w:rsidR="00DE3EE8" w:rsidRPr="002B7E6B" w:rsidRDefault="00DE3EE8" w:rsidP="00DC6ED0">
      <w:pPr>
        <w:rPr>
          <w:rFonts w:eastAsia="Arial"/>
          <w:color w:val="000000"/>
        </w:rPr>
      </w:pPr>
      <w:r w:rsidRPr="002B7E6B">
        <w:t xml:space="preserve">The </w:t>
      </w:r>
      <w:hyperlink r:id="rId14">
        <w:r w:rsidRPr="002B7E6B">
          <w:rPr>
            <w:color w:val="337AB7"/>
          </w:rPr>
          <w:t>Essential Fish Habitat Research Plan in Alaska</w:t>
        </w:r>
      </w:hyperlink>
      <w:r w:rsidRPr="002B7E6B">
        <w:t xml:space="preserve"> is currently Sigler et al. (2017). The updated Research Plan is in preparation.  </w:t>
      </w:r>
      <w:r w:rsidRPr="002B7E6B">
        <w:rPr>
          <w:rFonts w:eastAsia="Arial"/>
          <w:color w:val="000000"/>
        </w:rPr>
        <w:t>Contact Dr. James Thorson (</w:t>
      </w:r>
      <w:hyperlink r:id="rId15" w:history="1">
        <w:r w:rsidRPr="002B7E6B">
          <w:rPr>
            <w:rStyle w:val="Hyperlink"/>
            <w:rFonts w:eastAsia="Arial"/>
            <w:szCs w:val="22"/>
          </w:rPr>
          <w:t>james.thorson@noaa.gov</w:t>
        </w:r>
      </w:hyperlink>
      <w:r w:rsidRPr="002B7E6B">
        <w:rPr>
          <w:rFonts w:eastAsia="Arial"/>
          <w:color w:val="000000"/>
        </w:rPr>
        <w:t>) for more information.</w:t>
      </w:r>
    </w:p>
    <w:p w14:paraId="1167FCAD" w14:textId="12172ACD" w:rsidR="00DE3EE8" w:rsidRDefault="00DE3EE8" w:rsidP="00DC6ED0">
      <w:pPr>
        <w:rPr>
          <w:rFonts w:eastAsia="Arial"/>
          <w:sz w:val="22"/>
        </w:rPr>
      </w:pPr>
    </w:p>
    <w:p w14:paraId="0EFA013D" w14:textId="77777777" w:rsidR="00841BD4" w:rsidRPr="002B7E6B" w:rsidRDefault="00841BD4" w:rsidP="00DC6ED0">
      <w:pPr>
        <w:rPr>
          <w:sz w:val="22"/>
        </w:rPr>
      </w:pPr>
      <w:r w:rsidRPr="002B7E6B">
        <w:rPr>
          <w:sz w:val="22"/>
        </w:rPr>
        <w:t>Literature Cited:</w:t>
      </w:r>
    </w:p>
    <w:p w14:paraId="1DD1A6D5" w14:textId="77777777" w:rsidR="00841BD4" w:rsidRPr="002B7E6B" w:rsidRDefault="00841BD4" w:rsidP="00DC6ED0">
      <w:pPr>
        <w:rPr>
          <w:rFonts w:eastAsia="Arial"/>
          <w:sz w:val="22"/>
        </w:rPr>
      </w:pPr>
    </w:p>
    <w:p w14:paraId="5D552953" w14:textId="77777777" w:rsidR="00DE3EE8" w:rsidRPr="002B7E6B" w:rsidRDefault="00DE3EE8" w:rsidP="00DC6ED0">
      <w:pPr>
        <w:ind w:left="720" w:hanging="720"/>
        <w:rPr>
          <w:rFonts w:eastAsia="Arial"/>
          <w:sz w:val="22"/>
        </w:rPr>
      </w:pPr>
      <w:r w:rsidRPr="002B7E6B">
        <w:rPr>
          <w:rFonts w:eastAsia="Arial"/>
          <w:sz w:val="22"/>
        </w:rPr>
        <w:t>Sigler, M. F., M. P. Eagleton, T. E. Helser, J. V. Olson, J. L. Pirtle, C. N. Rooper, S. C. Simpson, and R. P. Stone. 2017. Alaska Essential Fish Habitat Research Plan: A Research Plan for the National Marine Fisheries Service’s Alaska Fisheries Science Center and Alaska Regional Office. AFSC Processed Rep. 2015-05, 22 p. Alaska Fish. Sci. Cent., NOAA, Natl. Mar. Fish. Serv., 7600 Sand Point Way NE, Seattle WA 98115.</w:t>
      </w:r>
    </w:p>
    <w:p w14:paraId="271F4300" w14:textId="77777777" w:rsidR="00DE3EE8" w:rsidRPr="002B7E6B" w:rsidRDefault="00DE3EE8" w:rsidP="00DE3EE8">
      <w:pPr>
        <w:rPr>
          <w:sz w:val="22"/>
          <w:szCs w:val="22"/>
        </w:rPr>
      </w:pPr>
    </w:p>
    <w:p w14:paraId="755A156A" w14:textId="77777777" w:rsidR="00DE3EE8" w:rsidRPr="002B7E6B" w:rsidRDefault="00DE3EE8" w:rsidP="002B7E6B">
      <w:pPr>
        <w:pStyle w:val="Heading2"/>
        <w:rPr>
          <w:rFonts w:cs="Times New Roman"/>
          <w:sz w:val="22"/>
          <w:szCs w:val="22"/>
        </w:rPr>
      </w:pPr>
      <w:bookmarkStart w:id="14" w:name="_Toc131503795"/>
      <w:r w:rsidRPr="002B7E6B">
        <w:rPr>
          <w:rFonts w:cs="Times New Roman"/>
          <w:sz w:val="22"/>
          <w:szCs w:val="22"/>
        </w:rPr>
        <w:t>II.</w:t>
      </w:r>
      <w:r w:rsidRPr="002B7E6B">
        <w:rPr>
          <w:rFonts w:cs="Times New Roman"/>
          <w:sz w:val="22"/>
          <w:szCs w:val="22"/>
        </w:rPr>
        <w:tab/>
        <w:t>Surveys</w:t>
      </w:r>
      <w:bookmarkEnd w:id="14"/>
    </w:p>
    <w:p w14:paraId="1BF4691D" w14:textId="77777777" w:rsidR="00DE3EE8" w:rsidRPr="002B7E6B" w:rsidRDefault="00DE3EE8" w:rsidP="00DE3EE8">
      <w:pPr>
        <w:widowControl/>
        <w:ind w:firstLine="720"/>
        <w:rPr>
          <w:rFonts w:eastAsia="Calibri"/>
          <w:b/>
          <w:color w:val="555555"/>
          <w:sz w:val="22"/>
          <w:szCs w:val="22"/>
        </w:rPr>
      </w:pPr>
    </w:p>
    <w:p w14:paraId="0A713CB4" w14:textId="2F269894" w:rsidR="00DE3EE8" w:rsidRPr="002B7E6B" w:rsidRDefault="00DE3EE8" w:rsidP="00DE3EE8">
      <w:pPr>
        <w:pStyle w:val="Heading5"/>
        <w:rPr>
          <w:sz w:val="22"/>
          <w:szCs w:val="22"/>
        </w:rPr>
      </w:pPr>
      <w:bookmarkStart w:id="15" w:name="_Toc131503796"/>
      <w:r w:rsidRPr="002B7E6B">
        <w:rPr>
          <w:sz w:val="22"/>
          <w:szCs w:val="22"/>
        </w:rPr>
        <w:t xml:space="preserve">2022 Eastern Bering Sea Continental Shelf and Northern Bering Sea Bottom Trawl Surveys – </w:t>
      </w:r>
      <w:r w:rsidR="0024271A">
        <w:rPr>
          <w:sz w:val="22"/>
          <w:szCs w:val="22"/>
        </w:rPr>
        <w:t>RACE-GAP</w:t>
      </w:r>
      <w:bookmarkEnd w:id="15"/>
    </w:p>
    <w:p w14:paraId="35327D96" w14:textId="77777777" w:rsidR="00DE3EE8" w:rsidRPr="002B7E6B" w:rsidRDefault="00DE3EE8" w:rsidP="00DE3EE8">
      <w:pPr>
        <w:rPr>
          <w:sz w:val="22"/>
          <w:szCs w:val="22"/>
        </w:rPr>
      </w:pPr>
    </w:p>
    <w:p w14:paraId="6D08C62C" w14:textId="77777777" w:rsidR="00DE3EE8" w:rsidRPr="002B7E6B" w:rsidRDefault="00DE3EE8" w:rsidP="00DE3EE8">
      <w:pPr>
        <w:widowControl/>
        <w:spacing w:after="160" w:line="259" w:lineRule="auto"/>
        <w:rPr>
          <w:sz w:val="22"/>
          <w:szCs w:val="22"/>
        </w:rPr>
      </w:pPr>
      <w:r w:rsidRPr="002B7E6B">
        <w:rPr>
          <w:sz w:val="22"/>
          <w:szCs w:val="22"/>
        </w:rPr>
        <w:t xml:space="preserve">The fortieth in a series of standardized annual bottom trawl surveys of the eastern Bering Sea (EBS) continental shelf </w:t>
      </w:r>
      <w:proofErr w:type="gramStart"/>
      <w:r w:rsidRPr="002B7E6B">
        <w:rPr>
          <w:sz w:val="22"/>
          <w:szCs w:val="22"/>
        </w:rPr>
        <w:t>was completed</w:t>
      </w:r>
      <w:proofErr w:type="gramEnd"/>
      <w:r w:rsidRPr="002B7E6B">
        <w:rPr>
          <w:sz w:val="22"/>
          <w:szCs w:val="22"/>
        </w:rPr>
        <w:t xml:space="preserve"> in 2022 aboard the AFSC chartered fishing vessels </w:t>
      </w:r>
      <w:r w:rsidRPr="002B7E6B">
        <w:rPr>
          <w:i/>
          <w:sz w:val="22"/>
          <w:szCs w:val="22"/>
        </w:rPr>
        <w:t xml:space="preserve">Vesteraalen </w:t>
      </w:r>
      <w:r w:rsidRPr="002B7E6B">
        <w:rPr>
          <w:sz w:val="22"/>
          <w:szCs w:val="22"/>
        </w:rPr>
        <w:t xml:space="preserve">and </w:t>
      </w:r>
      <w:r w:rsidRPr="002B7E6B">
        <w:rPr>
          <w:i/>
          <w:sz w:val="22"/>
          <w:szCs w:val="22"/>
        </w:rPr>
        <w:t>Alaska Knight</w:t>
      </w:r>
      <w:r w:rsidRPr="002B7E6B">
        <w:rPr>
          <w:sz w:val="22"/>
          <w:szCs w:val="22"/>
        </w:rPr>
        <w:t>, which together bottom trawled at 376 stations over a survey area of 492,990 km</w:t>
      </w:r>
      <w:r w:rsidRPr="002B7E6B">
        <w:rPr>
          <w:sz w:val="22"/>
          <w:szCs w:val="22"/>
          <w:vertAlign w:val="superscript"/>
        </w:rPr>
        <w:t>2</w:t>
      </w:r>
      <w:r w:rsidRPr="002B7E6B">
        <w:rPr>
          <w:sz w:val="22"/>
          <w:szCs w:val="22"/>
        </w:rPr>
        <w:t xml:space="preserve">. Researchers processed and recorded the data from each trawl catch by identifying, sorting, and weighing </w:t>
      </w:r>
      <w:r w:rsidRPr="002B7E6B">
        <w:rPr>
          <w:sz w:val="22"/>
          <w:szCs w:val="22"/>
        </w:rPr>
        <w:lastRenderedPageBreak/>
        <w:t xml:space="preserve">all the different crab and groundfish species and then measuring samples of each species. Supplementary biological and oceanographic data </w:t>
      </w:r>
      <w:proofErr w:type="gramStart"/>
      <w:r w:rsidRPr="002B7E6B">
        <w:rPr>
          <w:sz w:val="22"/>
          <w:szCs w:val="22"/>
        </w:rPr>
        <w:t>were also collected</w:t>
      </w:r>
      <w:proofErr w:type="gramEnd"/>
      <w:r w:rsidRPr="002B7E6B">
        <w:rPr>
          <w:sz w:val="22"/>
          <w:szCs w:val="22"/>
        </w:rPr>
        <w:t xml:space="preserve"> during the bottom trawl survey to improve the understanding of groundfish and crab life histories and the ecological and physical factors affecting their distribution and abundance.</w:t>
      </w:r>
    </w:p>
    <w:p w14:paraId="04A7684B" w14:textId="77777777" w:rsidR="00DE3EE8" w:rsidRPr="002B7E6B" w:rsidRDefault="00DE3EE8" w:rsidP="00DE3EE8">
      <w:pPr>
        <w:widowControl/>
        <w:spacing w:after="160" w:line="259" w:lineRule="auto"/>
        <w:jc w:val="center"/>
        <w:rPr>
          <w:sz w:val="22"/>
          <w:szCs w:val="22"/>
        </w:rPr>
      </w:pPr>
      <w:r w:rsidRPr="002B7E6B">
        <w:rPr>
          <w:noProof/>
          <w:sz w:val="22"/>
          <w:szCs w:val="22"/>
        </w:rPr>
        <w:drawing>
          <wp:inline distT="114300" distB="114300" distL="114300" distR="114300" wp14:anchorId="43263B0A" wp14:editId="2CB3B4FF">
            <wp:extent cx="3686175" cy="3190875"/>
            <wp:effectExtent l="0" t="0" r="0" b="0"/>
            <wp:docPr id="6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6"/>
                    <a:srcRect/>
                    <a:stretch>
                      <a:fillRect/>
                    </a:stretch>
                  </pic:blipFill>
                  <pic:spPr>
                    <a:xfrm>
                      <a:off x="0" y="0"/>
                      <a:ext cx="3686175" cy="3190875"/>
                    </a:xfrm>
                    <a:prstGeom prst="rect">
                      <a:avLst/>
                    </a:prstGeom>
                    <a:ln/>
                  </pic:spPr>
                </pic:pic>
              </a:graphicData>
            </a:graphic>
          </wp:inline>
        </w:drawing>
      </w:r>
    </w:p>
    <w:p w14:paraId="2558C4B6" w14:textId="78E8AB29" w:rsidR="00DE3EE8" w:rsidRPr="002B7E6B" w:rsidRDefault="00DE3EE8" w:rsidP="00DE3EE8">
      <w:pPr>
        <w:widowControl/>
        <w:spacing w:after="160" w:line="259" w:lineRule="auto"/>
        <w:rPr>
          <w:sz w:val="22"/>
          <w:szCs w:val="22"/>
        </w:rPr>
      </w:pPr>
      <w:r w:rsidRPr="002B7E6B">
        <w:rPr>
          <w:sz w:val="22"/>
          <w:szCs w:val="22"/>
        </w:rPr>
        <w:t>Fig</w:t>
      </w:r>
      <w:r w:rsidR="00841BD4">
        <w:rPr>
          <w:sz w:val="22"/>
          <w:szCs w:val="22"/>
        </w:rPr>
        <w:t>ure</w:t>
      </w:r>
      <w:r w:rsidRPr="002B7E6B">
        <w:rPr>
          <w:sz w:val="22"/>
          <w:szCs w:val="22"/>
        </w:rPr>
        <w:t xml:space="preserve"> 1. Map showing survey stations sampled during the 2022 eastern and northern Bering Sea </w:t>
      </w:r>
      <w:proofErr w:type="gramStart"/>
      <w:r w:rsidRPr="002B7E6B">
        <w:rPr>
          <w:sz w:val="22"/>
          <w:szCs w:val="22"/>
        </w:rPr>
        <w:t>shelf bottom trawl survey</w:t>
      </w:r>
      <w:proofErr w:type="gramEnd"/>
      <w:r w:rsidRPr="002B7E6B">
        <w:rPr>
          <w:sz w:val="22"/>
          <w:szCs w:val="22"/>
        </w:rPr>
        <w:t>.</w:t>
      </w:r>
    </w:p>
    <w:p w14:paraId="597F4E2F" w14:textId="77777777" w:rsidR="00DE3EE8" w:rsidRPr="002B7E6B" w:rsidRDefault="00DE3EE8" w:rsidP="00DE3EE8">
      <w:pPr>
        <w:widowControl/>
        <w:spacing w:after="160" w:line="259" w:lineRule="auto"/>
        <w:rPr>
          <w:sz w:val="22"/>
          <w:szCs w:val="22"/>
        </w:rPr>
      </w:pPr>
    </w:p>
    <w:p w14:paraId="03E759A3" w14:textId="77777777" w:rsidR="00DE3EE8" w:rsidRPr="002B7E6B" w:rsidRDefault="00DE3EE8" w:rsidP="00DE3EE8">
      <w:pPr>
        <w:widowControl/>
        <w:spacing w:after="160" w:line="259" w:lineRule="auto"/>
        <w:rPr>
          <w:sz w:val="22"/>
          <w:szCs w:val="22"/>
        </w:rPr>
      </w:pPr>
      <w:r w:rsidRPr="002B7E6B">
        <w:rPr>
          <w:sz w:val="22"/>
          <w:szCs w:val="22"/>
        </w:rPr>
        <w:t>Survey estimates of total biomass on the eastern Bering Sea shelf for 2022 were 4.1 million metric tons (mt) for walleye pollock, 647.4 thousand mt for Pacific cod, 2.0 million mt for yellowfin sole, 1.3 million mt for northern rock sole, 7.9 thousand mt for Greenland turbot, and 149.0 thousand mt for Pacific halibut. Most of the commercially important fish species showed increases in estimated survey biomass compared to 2021 levels. Walleye pollock biomass increased 37%, yellowfin sole 25%</w:t>
      </w:r>
      <w:proofErr w:type="gramStart"/>
      <w:r w:rsidRPr="002B7E6B">
        <w:rPr>
          <w:sz w:val="22"/>
          <w:szCs w:val="22"/>
        </w:rPr>
        <w:t>,</w:t>
      </w:r>
      <w:proofErr w:type="gramEnd"/>
      <w:r w:rsidRPr="002B7E6B">
        <w:rPr>
          <w:sz w:val="22"/>
          <w:szCs w:val="22"/>
        </w:rPr>
        <w:t xml:space="preserve"> northern rock sole 24%, Alaska plaice 14%, Pacific halibut 13%, Pacific cod 5%, and flathead sole biomass increased 4%. Bering flounder biomass decreased 34%, Greenland turbot 26%, and Kamchatka flounder biomass decreased 10%.  </w:t>
      </w:r>
    </w:p>
    <w:p w14:paraId="5D667FA8" w14:textId="77777777" w:rsidR="00DE3EE8" w:rsidRPr="002B7E6B" w:rsidRDefault="00DE3EE8" w:rsidP="00DE3EE8">
      <w:pPr>
        <w:widowControl/>
        <w:spacing w:after="160" w:line="259" w:lineRule="auto"/>
        <w:rPr>
          <w:sz w:val="22"/>
          <w:szCs w:val="22"/>
        </w:rPr>
      </w:pPr>
      <w:r w:rsidRPr="002B7E6B">
        <w:rPr>
          <w:sz w:val="22"/>
          <w:szCs w:val="22"/>
        </w:rPr>
        <w:t xml:space="preserve">After the completion of the EBS shelf survey, which started for both vessels in Dutch Harbor on 30 May 2021, both vessels transitioned into sampling survey stations in the southwest corner of the NBS survey region. After a crew change, the F/V </w:t>
      </w:r>
      <w:r w:rsidRPr="002B7E6B">
        <w:rPr>
          <w:i/>
          <w:sz w:val="22"/>
          <w:szCs w:val="22"/>
        </w:rPr>
        <w:t xml:space="preserve">Alaska Knight </w:t>
      </w:r>
      <w:r w:rsidRPr="002B7E6B">
        <w:rPr>
          <w:sz w:val="22"/>
          <w:szCs w:val="22"/>
        </w:rPr>
        <w:t xml:space="preserve">sampled the stations west of Norton Sound moving to the Bering Strait and working south. The F/V </w:t>
      </w:r>
      <w:r w:rsidRPr="002B7E6B">
        <w:rPr>
          <w:i/>
          <w:sz w:val="22"/>
          <w:szCs w:val="22"/>
        </w:rPr>
        <w:t xml:space="preserve">Vesteraalen </w:t>
      </w:r>
      <w:r w:rsidRPr="002B7E6B">
        <w:rPr>
          <w:sz w:val="22"/>
          <w:szCs w:val="22"/>
        </w:rPr>
        <w:t xml:space="preserve">conducted sampling in the Norton Sound area traveling east to west. The F/V </w:t>
      </w:r>
      <w:r w:rsidRPr="002B7E6B">
        <w:rPr>
          <w:i/>
          <w:sz w:val="22"/>
          <w:szCs w:val="22"/>
        </w:rPr>
        <w:t xml:space="preserve">Vesteraalen </w:t>
      </w:r>
      <w:r w:rsidRPr="002B7E6B">
        <w:rPr>
          <w:sz w:val="22"/>
          <w:szCs w:val="22"/>
        </w:rPr>
        <w:t xml:space="preserve">and the F/V </w:t>
      </w:r>
      <w:r w:rsidRPr="002B7E6B">
        <w:rPr>
          <w:i/>
          <w:sz w:val="22"/>
          <w:szCs w:val="22"/>
        </w:rPr>
        <w:t xml:space="preserve">Alaska Knight </w:t>
      </w:r>
      <w:r w:rsidRPr="002B7E6B">
        <w:rPr>
          <w:sz w:val="22"/>
          <w:szCs w:val="22"/>
        </w:rPr>
        <w:t xml:space="preserve">conducted sampling in the NBS from 29 July to 19 August. </w:t>
      </w:r>
      <w:proofErr w:type="gramStart"/>
      <w:r w:rsidRPr="002B7E6B">
        <w:rPr>
          <w:sz w:val="22"/>
          <w:szCs w:val="22"/>
        </w:rPr>
        <w:t>A total of 520</w:t>
      </w:r>
      <w:proofErr w:type="gramEnd"/>
      <w:r w:rsidRPr="002B7E6B">
        <w:rPr>
          <w:sz w:val="22"/>
          <w:szCs w:val="22"/>
        </w:rPr>
        <w:t xml:space="preserve"> 20 x 20 nautical mile sampling grid stations in the combined EBS and NBS were successfully sampled in 2022. </w:t>
      </w:r>
    </w:p>
    <w:p w14:paraId="403C27C6" w14:textId="77777777" w:rsidR="00DE3EE8" w:rsidRPr="002B7E6B" w:rsidRDefault="00DE3EE8" w:rsidP="00DE3EE8">
      <w:pPr>
        <w:widowControl/>
        <w:spacing w:after="160" w:line="259" w:lineRule="auto"/>
        <w:rPr>
          <w:sz w:val="22"/>
          <w:szCs w:val="22"/>
        </w:rPr>
      </w:pPr>
    </w:p>
    <w:p w14:paraId="5ECEA54E" w14:textId="77777777" w:rsidR="00DE3EE8" w:rsidRPr="002B7E6B" w:rsidRDefault="00DE3EE8" w:rsidP="00DE3EE8">
      <w:pPr>
        <w:widowControl/>
        <w:spacing w:after="160" w:line="259" w:lineRule="auto"/>
        <w:rPr>
          <w:sz w:val="22"/>
          <w:szCs w:val="22"/>
        </w:rPr>
      </w:pPr>
      <w:r w:rsidRPr="002B7E6B">
        <w:rPr>
          <w:noProof/>
          <w:sz w:val="22"/>
          <w:szCs w:val="22"/>
        </w:rPr>
        <w:lastRenderedPageBreak/>
        <w:drawing>
          <wp:inline distT="114300" distB="114300" distL="114300" distR="114300" wp14:anchorId="05335443" wp14:editId="1D34359B">
            <wp:extent cx="5924550" cy="3457575"/>
            <wp:effectExtent l="0" t="0" r="0" b="0"/>
            <wp:docPr id="5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7"/>
                    <a:srcRect l="3115" t="5747" b="27404"/>
                    <a:stretch>
                      <a:fillRect/>
                    </a:stretch>
                  </pic:blipFill>
                  <pic:spPr>
                    <a:xfrm>
                      <a:off x="0" y="0"/>
                      <a:ext cx="5924550" cy="3457575"/>
                    </a:xfrm>
                    <a:prstGeom prst="rect">
                      <a:avLst/>
                    </a:prstGeom>
                    <a:ln/>
                  </pic:spPr>
                </pic:pic>
              </a:graphicData>
            </a:graphic>
          </wp:inline>
        </w:drawing>
      </w:r>
    </w:p>
    <w:p w14:paraId="38A87B07" w14:textId="77777777" w:rsidR="00DE3EE8" w:rsidRPr="002B7E6B" w:rsidRDefault="00DE3EE8" w:rsidP="00DE3EE8">
      <w:pPr>
        <w:widowControl/>
        <w:spacing w:after="160" w:line="259" w:lineRule="auto"/>
        <w:rPr>
          <w:sz w:val="22"/>
          <w:szCs w:val="22"/>
        </w:rPr>
      </w:pPr>
      <w:r w:rsidRPr="002B7E6B">
        <w:rPr>
          <w:noProof/>
          <w:sz w:val="22"/>
          <w:szCs w:val="22"/>
        </w:rPr>
        <w:drawing>
          <wp:inline distT="114300" distB="114300" distL="114300" distR="114300" wp14:anchorId="76F935AD" wp14:editId="518D1ACB">
            <wp:extent cx="5924550" cy="3476625"/>
            <wp:effectExtent l="0" t="0" r="0" b="0"/>
            <wp:docPr id="8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8"/>
                    <a:srcRect l="3115" t="5156" b="27624"/>
                    <a:stretch>
                      <a:fillRect/>
                    </a:stretch>
                  </pic:blipFill>
                  <pic:spPr>
                    <a:xfrm>
                      <a:off x="0" y="0"/>
                      <a:ext cx="5924550" cy="3476625"/>
                    </a:xfrm>
                    <a:prstGeom prst="rect">
                      <a:avLst/>
                    </a:prstGeom>
                    <a:ln/>
                  </pic:spPr>
                </pic:pic>
              </a:graphicData>
            </a:graphic>
          </wp:inline>
        </w:drawing>
      </w:r>
    </w:p>
    <w:p w14:paraId="32847F47" w14:textId="77777777" w:rsidR="00DE3EE8" w:rsidRPr="002B7E6B" w:rsidRDefault="00DE3EE8" w:rsidP="00DE3EE8">
      <w:pPr>
        <w:widowControl/>
        <w:spacing w:after="160" w:line="259" w:lineRule="auto"/>
        <w:rPr>
          <w:sz w:val="22"/>
          <w:szCs w:val="22"/>
        </w:rPr>
      </w:pPr>
    </w:p>
    <w:p w14:paraId="2013A86D" w14:textId="046F9EDD" w:rsidR="00DE3EE8" w:rsidRPr="002B7E6B" w:rsidRDefault="00DE3EE8" w:rsidP="00DE3EE8">
      <w:pPr>
        <w:widowControl/>
        <w:spacing w:after="160" w:line="259" w:lineRule="auto"/>
        <w:rPr>
          <w:sz w:val="22"/>
          <w:szCs w:val="22"/>
        </w:rPr>
      </w:pPr>
      <w:r w:rsidRPr="002B7E6B">
        <w:rPr>
          <w:sz w:val="22"/>
          <w:szCs w:val="22"/>
        </w:rPr>
        <w:t>Fig</w:t>
      </w:r>
      <w:r w:rsidR="00841BD4">
        <w:rPr>
          <w:sz w:val="22"/>
          <w:szCs w:val="22"/>
        </w:rPr>
        <w:t>ure</w:t>
      </w:r>
      <w:r w:rsidRPr="002B7E6B">
        <w:rPr>
          <w:sz w:val="22"/>
          <w:szCs w:val="22"/>
        </w:rPr>
        <w:t xml:space="preserve"> 2. Spatial distribution of large gadids, in terms of mean CPUE (kg/ha), observed during the 2021 and 2022 bottom trawl surveys of the EBS and NBS: Top panel is walleye pollock; bottom panel is Pacific cod.</w:t>
      </w:r>
    </w:p>
    <w:p w14:paraId="2D312B13" w14:textId="77777777" w:rsidR="00DE3EE8" w:rsidRPr="002B7E6B" w:rsidRDefault="00DE3EE8" w:rsidP="00DE3EE8">
      <w:pPr>
        <w:widowControl/>
        <w:spacing w:after="160" w:line="259" w:lineRule="auto"/>
        <w:rPr>
          <w:sz w:val="22"/>
          <w:szCs w:val="22"/>
        </w:rPr>
      </w:pPr>
    </w:p>
    <w:p w14:paraId="524E4AB3" w14:textId="77777777" w:rsidR="00DE3EE8" w:rsidRPr="002B7E6B" w:rsidRDefault="00DE3EE8" w:rsidP="00DE3EE8">
      <w:pPr>
        <w:widowControl/>
        <w:spacing w:after="160" w:line="259" w:lineRule="auto"/>
        <w:rPr>
          <w:sz w:val="22"/>
          <w:szCs w:val="22"/>
        </w:rPr>
      </w:pPr>
      <w:r w:rsidRPr="002B7E6B">
        <w:rPr>
          <w:sz w:val="22"/>
          <w:szCs w:val="22"/>
        </w:rPr>
        <w:lastRenderedPageBreak/>
        <w:t xml:space="preserve">The NBS region was fully surveyed using the same standardized protocols and sampling resolution as the EBS survey in 2010, 2017, 2019, 2021, and 2022.  In recent years, distributions of walleye pollock and Pacific cod have been completely different </w:t>
      </w:r>
      <w:proofErr w:type="gramStart"/>
      <w:r w:rsidRPr="002B7E6B">
        <w:rPr>
          <w:sz w:val="22"/>
          <w:szCs w:val="22"/>
        </w:rPr>
        <w:t>than</w:t>
      </w:r>
      <w:proofErr w:type="gramEnd"/>
      <w:r w:rsidRPr="002B7E6B">
        <w:rPr>
          <w:sz w:val="22"/>
          <w:szCs w:val="22"/>
        </w:rPr>
        <w:t xml:space="preserve"> those observed in 2010.  In 2010, pollock were mostly concentrated on the outer shelf at depths of 70–200 m north of 56°N. Pollock biomass was consistently low on the inner and middle shelf, and pollock were almost completely absent from the NBS. In 2017-2019, pollock biomass in the EBS was concentrated mostly on the middle shelf, and there were large concentrations of pollock in the NBS. In 2021 and again in 2022, pollock distribution has been more similar to historical (2010) distribution patterns, with aggregations in the EBS in the middle and outer domains, particularly to the north of the Alaska Peninsula, and to the north and west of the Pribilof Islands (Fig. 2). For the past two survey years, walleye pollock have been relatively rare throughout the NBS survey area, with a small area of higher density in the Chirikov Basin just south of the Bering Strait. </w:t>
      </w:r>
    </w:p>
    <w:p w14:paraId="209483DB" w14:textId="77777777" w:rsidR="00DE3EE8" w:rsidRPr="002B7E6B" w:rsidRDefault="00DE3EE8" w:rsidP="00DE3EE8">
      <w:pPr>
        <w:widowControl/>
        <w:spacing w:after="160" w:line="259" w:lineRule="auto"/>
        <w:rPr>
          <w:sz w:val="22"/>
          <w:szCs w:val="22"/>
        </w:rPr>
      </w:pPr>
      <w:r w:rsidRPr="002B7E6B">
        <w:rPr>
          <w:sz w:val="22"/>
          <w:szCs w:val="22"/>
        </w:rPr>
        <w:t xml:space="preserve">In 2010, Pacific cod biomass in the EBS was concentrated in Bristol Bay and on the middle and outer shelf from the Pribilof Islands north to St. Matthew and cod biomass was low throughout the NBS. In contrast, the 2017-2019 surveys revealed high densities of Pacific cod in the NBS </w:t>
      </w:r>
      <w:proofErr w:type="gramStart"/>
      <w:r w:rsidRPr="002B7E6B">
        <w:rPr>
          <w:sz w:val="22"/>
          <w:szCs w:val="22"/>
        </w:rPr>
        <w:t>both to the north and south</w:t>
      </w:r>
      <w:proofErr w:type="gramEnd"/>
      <w:r w:rsidRPr="002B7E6B">
        <w:rPr>
          <w:sz w:val="22"/>
          <w:szCs w:val="22"/>
        </w:rPr>
        <w:t xml:space="preserve"> of St. Lawrence Island, and Pacific cod were concentrated in only a few areas of the EBS. In the two most recent survey years (2021 and 2022) Pacific cod distribution has moved south again, with the largest concentrations located near St. Matthew Island and to the south of St. Lawrence Island, although moderate densities have also been recorded throughout the EBS shelf (Fig. 2). In all survey years, Pacific cod were concentrated in areas with bottom temperatures &gt;0°C.</w:t>
      </w:r>
      <w:r w:rsidRPr="002B7E6B">
        <w:rPr>
          <w:sz w:val="22"/>
          <w:szCs w:val="22"/>
        </w:rPr>
        <w:br/>
      </w:r>
    </w:p>
    <w:p w14:paraId="7C931F54" w14:textId="77777777" w:rsidR="00DE3EE8" w:rsidRPr="002B7E6B" w:rsidRDefault="00DE3EE8" w:rsidP="00DE3EE8">
      <w:pPr>
        <w:widowControl/>
        <w:spacing w:after="160" w:line="259" w:lineRule="auto"/>
        <w:rPr>
          <w:b/>
          <w:sz w:val="22"/>
          <w:szCs w:val="22"/>
        </w:rPr>
      </w:pPr>
      <w:r w:rsidRPr="002B7E6B">
        <w:rPr>
          <w:b/>
          <w:noProof/>
          <w:sz w:val="22"/>
          <w:szCs w:val="22"/>
        </w:rPr>
        <w:drawing>
          <wp:inline distT="114300" distB="114300" distL="114300" distR="114300" wp14:anchorId="2D49BBC8" wp14:editId="00B5BFED">
            <wp:extent cx="6115050" cy="3060700"/>
            <wp:effectExtent l="0" t="0" r="0" b="0"/>
            <wp:docPr id="6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9"/>
                    <a:srcRect/>
                    <a:stretch>
                      <a:fillRect/>
                    </a:stretch>
                  </pic:blipFill>
                  <pic:spPr>
                    <a:xfrm>
                      <a:off x="0" y="0"/>
                      <a:ext cx="6115050" cy="3060700"/>
                    </a:xfrm>
                    <a:prstGeom prst="rect">
                      <a:avLst/>
                    </a:prstGeom>
                    <a:ln/>
                  </pic:spPr>
                </pic:pic>
              </a:graphicData>
            </a:graphic>
          </wp:inline>
        </w:drawing>
      </w:r>
    </w:p>
    <w:p w14:paraId="3325D141" w14:textId="77777777" w:rsidR="00DE3EE8" w:rsidRPr="002B7E6B" w:rsidRDefault="00DE3EE8" w:rsidP="00DE3EE8">
      <w:pPr>
        <w:widowControl/>
        <w:spacing w:after="160" w:line="259" w:lineRule="auto"/>
        <w:rPr>
          <w:sz w:val="22"/>
          <w:szCs w:val="22"/>
        </w:rPr>
      </w:pPr>
      <w:r w:rsidRPr="002B7E6B">
        <w:rPr>
          <w:sz w:val="22"/>
          <w:szCs w:val="22"/>
        </w:rPr>
        <w:t>Figure 3:  Average annual surface and bottom temperature during the survey period for the eastern and northern Bering Sea shelf survey with the survey mean temperature (1982-2022).</w:t>
      </w:r>
    </w:p>
    <w:p w14:paraId="4CD96847" w14:textId="77777777" w:rsidR="00DE3EE8" w:rsidRPr="002B7E6B" w:rsidRDefault="00DE3EE8" w:rsidP="00DE3EE8">
      <w:pPr>
        <w:widowControl/>
        <w:spacing w:after="160" w:line="259" w:lineRule="auto"/>
        <w:rPr>
          <w:b/>
          <w:sz w:val="22"/>
          <w:szCs w:val="22"/>
        </w:rPr>
      </w:pPr>
    </w:p>
    <w:p w14:paraId="4B825870" w14:textId="77777777" w:rsidR="00DE3EE8" w:rsidRPr="002B7E6B" w:rsidRDefault="00DE3EE8" w:rsidP="00DE3EE8">
      <w:pPr>
        <w:widowControl/>
        <w:spacing w:after="160" w:line="259" w:lineRule="auto"/>
        <w:rPr>
          <w:sz w:val="22"/>
          <w:szCs w:val="22"/>
        </w:rPr>
      </w:pPr>
      <w:r w:rsidRPr="002B7E6B">
        <w:rPr>
          <w:sz w:val="22"/>
          <w:szCs w:val="22"/>
        </w:rPr>
        <w:t>The surface and bottom temperature mean for the 2022 eastern Bering Sea shelf was similar to 2021 estimates. Both were slightly warmer than the long-term time-series mean (Fig. 3). The 2022 mean surface temperature was 7.5°C, which was slightly warmer than 2021 (7.2°C), and warmer than the time-</w:t>
      </w:r>
      <w:r w:rsidRPr="002B7E6B">
        <w:rPr>
          <w:sz w:val="22"/>
          <w:szCs w:val="22"/>
        </w:rPr>
        <w:lastRenderedPageBreak/>
        <w:t>series mean (6.8°C). The mean bottom temperature was 2.6°C in 2022, which was colder than 2021 (3.3°C), but still slightly above the time-series mean (2.5°C).  In the NBS, mean surface temperature for 2022 (8.1°C) was slightly cooler than in 2021 (8.4°C), and mean bottom temperature (3.9°C) was nearly identical for both years. The 'cold pool', defined as the area with bottom temperatures &lt;2°C, was more extensive in 2022 than in other recent years (Fig. 4), extending south from the NBS through the middle domain of the EBS and almost into Bristol Bay. Among recent survey years, only 2017 had a similarly extensive cold pool. During the 40-year time series, the cold pool area has ranged from 1.2% to 78.2% of the total EBS shelf area (Fig. 5). In 2022, the cold pool occupied 36.2% of the EBS shelf area, which was much larger than in 2021 (12.0 %).</w:t>
      </w:r>
    </w:p>
    <w:p w14:paraId="6287A910" w14:textId="77777777" w:rsidR="00DE3EE8" w:rsidRPr="002B7E6B" w:rsidRDefault="00DE3EE8" w:rsidP="00DE3EE8">
      <w:pPr>
        <w:widowControl/>
        <w:spacing w:after="160" w:line="259" w:lineRule="auto"/>
        <w:jc w:val="center"/>
        <w:rPr>
          <w:b/>
          <w:sz w:val="22"/>
          <w:szCs w:val="22"/>
        </w:rPr>
      </w:pPr>
      <w:r w:rsidRPr="002B7E6B">
        <w:rPr>
          <w:b/>
          <w:noProof/>
          <w:sz w:val="22"/>
          <w:szCs w:val="22"/>
        </w:rPr>
        <w:drawing>
          <wp:inline distT="114300" distB="114300" distL="114300" distR="114300" wp14:anchorId="57909986" wp14:editId="615E8CE2">
            <wp:extent cx="4114800" cy="6021824"/>
            <wp:effectExtent l="0" t="0" r="0" b="0"/>
            <wp:docPr id="6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0"/>
                    <a:srcRect l="17757" t="6986" r="14953" b="7720"/>
                    <a:stretch>
                      <a:fillRect/>
                    </a:stretch>
                  </pic:blipFill>
                  <pic:spPr>
                    <a:xfrm>
                      <a:off x="0" y="0"/>
                      <a:ext cx="4114800" cy="6021824"/>
                    </a:xfrm>
                    <a:prstGeom prst="rect">
                      <a:avLst/>
                    </a:prstGeom>
                    <a:ln/>
                  </pic:spPr>
                </pic:pic>
              </a:graphicData>
            </a:graphic>
          </wp:inline>
        </w:drawing>
      </w:r>
    </w:p>
    <w:p w14:paraId="096DA5A1" w14:textId="77777777" w:rsidR="00DE3EE8" w:rsidRPr="002B7E6B" w:rsidRDefault="00DE3EE8" w:rsidP="00DE3EE8">
      <w:pPr>
        <w:rPr>
          <w:sz w:val="22"/>
          <w:szCs w:val="22"/>
        </w:rPr>
      </w:pPr>
      <w:r w:rsidRPr="002B7E6B">
        <w:rPr>
          <w:sz w:val="22"/>
          <w:szCs w:val="22"/>
        </w:rPr>
        <w:t xml:space="preserve">Figure 4: Distribution of survey bottom temperatures for recent survey years (2014-2022).  </w:t>
      </w:r>
    </w:p>
    <w:p w14:paraId="4E77CAA8" w14:textId="77777777" w:rsidR="00DE3EE8" w:rsidRPr="002B7E6B" w:rsidRDefault="00DE3EE8" w:rsidP="00DE3EE8">
      <w:pPr>
        <w:rPr>
          <w:sz w:val="22"/>
          <w:szCs w:val="22"/>
          <w:highlight w:val="yellow"/>
        </w:rPr>
      </w:pPr>
    </w:p>
    <w:p w14:paraId="64A67F92" w14:textId="77777777" w:rsidR="00DE3EE8" w:rsidRPr="002B7E6B" w:rsidRDefault="00DE3EE8" w:rsidP="00DE3EE8">
      <w:pPr>
        <w:rPr>
          <w:sz w:val="22"/>
          <w:szCs w:val="22"/>
          <w:highlight w:val="yellow"/>
        </w:rPr>
      </w:pPr>
      <w:r w:rsidRPr="002B7E6B">
        <w:rPr>
          <w:noProof/>
          <w:sz w:val="22"/>
          <w:szCs w:val="22"/>
          <w:highlight w:val="yellow"/>
        </w:rPr>
        <w:lastRenderedPageBreak/>
        <w:drawing>
          <wp:inline distT="114300" distB="114300" distL="114300" distR="114300" wp14:anchorId="034FB24A" wp14:editId="237781D9">
            <wp:extent cx="6115050" cy="2819400"/>
            <wp:effectExtent l="0" t="0" r="0" b="0"/>
            <wp:docPr id="6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1"/>
                    <a:srcRect/>
                    <a:stretch>
                      <a:fillRect/>
                    </a:stretch>
                  </pic:blipFill>
                  <pic:spPr>
                    <a:xfrm>
                      <a:off x="0" y="0"/>
                      <a:ext cx="6115050" cy="2819400"/>
                    </a:xfrm>
                    <a:prstGeom prst="rect">
                      <a:avLst/>
                    </a:prstGeom>
                    <a:ln/>
                  </pic:spPr>
                </pic:pic>
              </a:graphicData>
            </a:graphic>
          </wp:inline>
        </w:drawing>
      </w:r>
    </w:p>
    <w:p w14:paraId="6278FD7F" w14:textId="77777777" w:rsidR="00DE3EE8" w:rsidRPr="002B7E6B" w:rsidRDefault="00DE3EE8" w:rsidP="00DE3EE8">
      <w:pPr>
        <w:rPr>
          <w:sz w:val="22"/>
          <w:szCs w:val="22"/>
          <w:highlight w:val="yellow"/>
        </w:rPr>
      </w:pPr>
    </w:p>
    <w:p w14:paraId="56A1DBD5" w14:textId="77777777" w:rsidR="00DE3EE8" w:rsidRPr="002B7E6B" w:rsidRDefault="00DE3EE8" w:rsidP="00DE3EE8">
      <w:pPr>
        <w:rPr>
          <w:sz w:val="22"/>
          <w:szCs w:val="22"/>
          <w:highlight w:val="yellow"/>
        </w:rPr>
      </w:pPr>
      <w:r w:rsidRPr="002B7E6B">
        <w:rPr>
          <w:sz w:val="22"/>
          <w:szCs w:val="22"/>
        </w:rPr>
        <w:t xml:space="preserve">Figure 5: Areal extent of the summer cold pool on the eastern Bering Sea shelf, based on observations from the eastern Bering Sea bottom trawl surveys (1982-2022), shown as a percentage of the total EBS survey area.  </w:t>
      </w:r>
    </w:p>
    <w:p w14:paraId="1A7B6D65" w14:textId="77777777" w:rsidR="00DE3EE8" w:rsidRPr="002B7E6B" w:rsidRDefault="00DE3EE8" w:rsidP="00DE3EE8">
      <w:pPr>
        <w:pStyle w:val="Heading5"/>
        <w:rPr>
          <w:sz w:val="22"/>
          <w:szCs w:val="22"/>
        </w:rPr>
      </w:pPr>
      <w:bookmarkStart w:id="16" w:name="_heading=h.44sinio" w:colFirst="0" w:colLast="0"/>
      <w:bookmarkStart w:id="17" w:name="_heading=h.3j7ty6yar5ds" w:colFirst="0" w:colLast="0"/>
      <w:bookmarkEnd w:id="16"/>
      <w:bookmarkEnd w:id="17"/>
    </w:p>
    <w:p w14:paraId="0C208E91" w14:textId="444C7B3B" w:rsidR="00DE3EE8" w:rsidRPr="002B7E6B" w:rsidRDefault="00DE3EE8" w:rsidP="00DE3EE8">
      <w:pPr>
        <w:pStyle w:val="Heading5"/>
        <w:rPr>
          <w:sz w:val="22"/>
          <w:szCs w:val="22"/>
        </w:rPr>
      </w:pPr>
      <w:bookmarkStart w:id="18" w:name="_Toc131503797"/>
      <w:r w:rsidRPr="002B7E6B">
        <w:rPr>
          <w:sz w:val="22"/>
          <w:szCs w:val="22"/>
        </w:rPr>
        <w:t>2022 Aleutian Islands Biennial Bottom Trawl Survey</w:t>
      </w:r>
      <w:r w:rsidR="0024271A" w:rsidRPr="002B7E6B">
        <w:rPr>
          <w:sz w:val="22"/>
          <w:szCs w:val="22"/>
        </w:rPr>
        <w:t xml:space="preserve"> – </w:t>
      </w:r>
      <w:r w:rsidR="0024271A">
        <w:rPr>
          <w:sz w:val="22"/>
          <w:szCs w:val="22"/>
        </w:rPr>
        <w:t>RACE-GAP</w:t>
      </w:r>
      <w:bookmarkEnd w:id="18"/>
    </w:p>
    <w:p w14:paraId="580A001B" w14:textId="77777777" w:rsidR="00DE3EE8" w:rsidRPr="002B7E6B" w:rsidRDefault="00DE3EE8" w:rsidP="00DE3EE8">
      <w:pPr>
        <w:rPr>
          <w:sz w:val="22"/>
          <w:szCs w:val="22"/>
        </w:rPr>
      </w:pPr>
    </w:p>
    <w:p w14:paraId="12B2E4D4" w14:textId="3DFA8AA9" w:rsidR="00DE3EE8" w:rsidRPr="002B7E6B" w:rsidRDefault="00DE3EE8" w:rsidP="00DE3EE8">
      <w:pPr>
        <w:widowControl/>
        <w:spacing w:after="160" w:line="259" w:lineRule="auto"/>
        <w:rPr>
          <w:sz w:val="22"/>
          <w:szCs w:val="22"/>
          <w:highlight w:val="yellow"/>
        </w:rPr>
      </w:pPr>
      <w:r w:rsidRPr="002B7E6B">
        <w:rPr>
          <w:sz w:val="22"/>
          <w:szCs w:val="22"/>
        </w:rPr>
        <w:t>The AFSC</w:t>
      </w:r>
      <w:r w:rsidR="0024271A">
        <w:rPr>
          <w:sz w:val="22"/>
          <w:szCs w:val="22"/>
        </w:rPr>
        <w:t xml:space="preserve"> </w:t>
      </w:r>
      <w:r w:rsidRPr="002B7E6B">
        <w:rPr>
          <w:sz w:val="22"/>
          <w:szCs w:val="22"/>
        </w:rPr>
        <w:t>RACE</w:t>
      </w:r>
      <w:r w:rsidR="0024271A">
        <w:rPr>
          <w:sz w:val="22"/>
          <w:szCs w:val="22"/>
        </w:rPr>
        <w:t xml:space="preserve"> Groundfish Assessment Program (RACE-GAP)</w:t>
      </w:r>
      <w:r w:rsidRPr="002B7E6B">
        <w:rPr>
          <w:sz w:val="22"/>
          <w:szCs w:val="22"/>
        </w:rPr>
        <w:t xml:space="preserve"> chartered the fishing vessels </w:t>
      </w:r>
      <w:r w:rsidRPr="002B7E6B">
        <w:rPr>
          <w:i/>
          <w:sz w:val="22"/>
          <w:szCs w:val="22"/>
        </w:rPr>
        <w:t>Ocean Explorer</w:t>
      </w:r>
      <w:r w:rsidRPr="002B7E6B">
        <w:rPr>
          <w:sz w:val="22"/>
          <w:szCs w:val="22"/>
        </w:rPr>
        <w:t xml:space="preserve"> and </w:t>
      </w:r>
      <w:r w:rsidRPr="002B7E6B">
        <w:rPr>
          <w:i/>
          <w:sz w:val="22"/>
          <w:szCs w:val="22"/>
        </w:rPr>
        <w:t>Alaska Provider</w:t>
      </w:r>
      <w:r w:rsidRPr="002B7E6B">
        <w:rPr>
          <w:sz w:val="22"/>
          <w:szCs w:val="22"/>
        </w:rPr>
        <w:t xml:space="preserve"> for 70 days each to conduct the 2022 Aleutian Islands Biennial Bottom Trawl Survey of groundfish resources in the region. This was the seventeenth survey in the time series dating back to 1980.  This summer’s cruise began in Dutch Harbor, Alaska in June and concluded in Dutch Harbor in August.  Trawl catch samples </w:t>
      </w:r>
      <w:proofErr w:type="gramStart"/>
      <w:r w:rsidRPr="002B7E6B">
        <w:rPr>
          <w:sz w:val="22"/>
          <w:szCs w:val="22"/>
        </w:rPr>
        <w:t>were collected</w:t>
      </w:r>
      <w:proofErr w:type="gramEnd"/>
      <w:r w:rsidRPr="002B7E6B">
        <w:rPr>
          <w:sz w:val="22"/>
          <w:szCs w:val="22"/>
        </w:rPr>
        <w:t xml:space="preserve"> from nearshore waters to a depth of 500 m on the continental shelf and upper continental slope between 170º E and 170º W longitude and in the southern Bering Sea from 165º W to 170º W longitude.</w:t>
      </w:r>
      <w:r w:rsidRPr="002B7E6B">
        <w:rPr>
          <w:sz w:val="22"/>
          <w:szCs w:val="22"/>
          <w:highlight w:val="yellow"/>
        </w:rPr>
        <w:t xml:space="preserve"> </w:t>
      </w:r>
    </w:p>
    <w:p w14:paraId="74014465" w14:textId="77777777" w:rsidR="00DE3EE8" w:rsidRPr="002B7E6B" w:rsidRDefault="00DE3EE8" w:rsidP="00DE3EE8">
      <w:pPr>
        <w:widowControl/>
        <w:spacing w:after="160" w:line="259" w:lineRule="auto"/>
        <w:rPr>
          <w:sz w:val="22"/>
          <w:szCs w:val="22"/>
          <w:highlight w:val="yellow"/>
        </w:rPr>
      </w:pPr>
      <w:proofErr w:type="gramStart"/>
      <w:r w:rsidRPr="002B7E6B">
        <w:rPr>
          <w:sz w:val="22"/>
          <w:szCs w:val="22"/>
        </w:rPr>
        <w:t>A variety of data are</w:t>
      </w:r>
      <w:proofErr w:type="gramEnd"/>
      <w:r w:rsidRPr="002B7E6B">
        <w:rPr>
          <w:sz w:val="22"/>
          <w:szCs w:val="22"/>
        </w:rPr>
        <w:t xml:space="preserve"> collected on this platform during the summer surveys. Oceanographic and environmental parameters </w:t>
      </w:r>
      <w:proofErr w:type="gramStart"/>
      <w:r w:rsidRPr="002B7E6B">
        <w:rPr>
          <w:sz w:val="22"/>
          <w:szCs w:val="22"/>
        </w:rPr>
        <w:t>are collected</w:t>
      </w:r>
      <w:proofErr w:type="gramEnd"/>
      <w:r w:rsidRPr="002B7E6B">
        <w:rPr>
          <w:sz w:val="22"/>
          <w:szCs w:val="22"/>
        </w:rPr>
        <w:t xml:space="preserve"> along with identified and enumerated collections of fishes and invertebrates from the trawl catches.  Among the objectives of the 2022 Aleutian Islands bottom trawl survey were defining the distribution and estimating the relative abundance of principal groundfishes and important invertebrate species that inhabit the Aleutian Islands, measuring biological parameters for selected species, and collecting age structures and other samples.  The survey design is random and stratified across 45 strata based on depth, statistical management zone, and regional boundaries overlaid with 25 km</w:t>
      </w:r>
      <w:r w:rsidRPr="002B7E6B">
        <w:rPr>
          <w:sz w:val="22"/>
          <w:szCs w:val="22"/>
          <w:vertAlign w:val="superscript"/>
        </w:rPr>
        <w:t>2</w:t>
      </w:r>
      <w:r w:rsidRPr="002B7E6B">
        <w:rPr>
          <w:sz w:val="22"/>
          <w:szCs w:val="22"/>
        </w:rPr>
        <w:t xml:space="preserve"> grid cells.  Stations identified as untrawlable </w:t>
      </w:r>
      <w:proofErr w:type="gramStart"/>
      <w:r w:rsidRPr="002B7E6B">
        <w:rPr>
          <w:sz w:val="22"/>
          <w:szCs w:val="22"/>
        </w:rPr>
        <w:t>are excluded</w:t>
      </w:r>
      <w:proofErr w:type="gramEnd"/>
      <w:r w:rsidRPr="002B7E6B">
        <w:rPr>
          <w:sz w:val="22"/>
          <w:szCs w:val="22"/>
        </w:rPr>
        <w:t xml:space="preserve"> from the sampling frame and trawlable or unknown stations are allocated to strata using a Neyman optimization weighted by stratum area, stratum variance, and the ex-vessel values of key species.  The survey deploys the RACE Division’s standard four-seam, high-opening Poly Nor’Eastern survey trawl equipped with </w:t>
      </w:r>
      <w:proofErr w:type="gramStart"/>
      <w:r w:rsidRPr="002B7E6B">
        <w:rPr>
          <w:sz w:val="22"/>
          <w:szCs w:val="22"/>
        </w:rPr>
        <w:t>rubber bobbin roller gear</w:t>
      </w:r>
      <w:proofErr w:type="gramEnd"/>
      <w:r w:rsidRPr="002B7E6B">
        <w:rPr>
          <w:sz w:val="22"/>
          <w:szCs w:val="22"/>
        </w:rPr>
        <w:t xml:space="preserve">.  This trawl has a 27.2 m headrope and 36.75 m footrope consisting of a 24.9 m center section with adjacent 5.9 m “flying wing” extensions.  Accessory gear for the Poly Nor’Eastern trawl includes 54.9 m triple dandylines and 1.8 × 2.7 m steel V-doors weighing approximately 850 kg each.  Charter vessels conducted 15-minute trawls at pre-assigned stations and catches of all live animals </w:t>
      </w:r>
      <w:proofErr w:type="gramStart"/>
      <w:r w:rsidRPr="002B7E6B">
        <w:rPr>
          <w:sz w:val="22"/>
          <w:szCs w:val="22"/>
        </w:rPr>
        <w:t>were identified</w:t>
      </w:r>
      <w:proofErr w:type="gramEnd"/>
      <w:r w:rsidRPr="002B7E6B">
        <w:rPr>
          <w:sz w:val="22"/>
          <w:szCs w:val="22"/>
        </w:rPr>
        <w:t xml:space="preserve"> to the lowest possible taxon. Biological samples (e.g., length, age structures, individual weights, stomach contents, etc.) </w:t>
      </w:r>
      <w:proofErr w:type="gramStart"/>
      <w:r w:rsidRPr="002B7E6B">
        <w:rPr>
          <w:sz w:val="22"/>
          <w:szCs w:val="22"/>
        </w:rPr>
        <w:t>were collected</w:t>
      </w:r>
      <w:proofErr w:type="gramEnd"/>
      <w:r w:rsidRPr="002B7E6B">
        <w:rPr>
          <w:sz w:val="22"/>
          <w:szCs w:val="22"/>
        </w:rPr>
        <w:t xml:space="preserve"> for selected groundfish species.  Specimens and data for special studies </w:t>
      </w:r>
      <w:r w:rsidRPr="002B7E6B">
        <w:rPr>
          <w:sz w:val="22"/>
          <w:szCs w:val="22"/>
        </w:rPr>
        <w:lastRenderedPageBreak/>
        <w:t xml:space="preserve">(e.g., maturity observations, tissue samples, </w:t>
      </w:r>
      <w:proofErr w:type="gramStart"/>
      <w:r w:rsidRPr="002B7E6B">
        <w:rPr>
          <w:sz w:val="22"/>
          <w:szCs w:val="22"/>
        </w:rPr>
        <w:t>photo</w:t>
      </w:r>
      <w:proofErr w:type="gramEnd"/>
      <w:r w:rsidRPr="002B7E6B">
        <w:rPr>
          <w:sz w:val="22"/>
          <w:szCs w:val="22"/>
        </w:rPr>
        <w:t xml:space="preserve"> vouchers) were also collected as requested by AFSC researchers and other cooperating agencies and institutions.  Specimens of uncommon fishes or invertebrates were collected on an opportunistic basis and logged into the AFSC voucher system.</w:t>
      </w:r>
      <w:r w:rsidRPr="002B7E6B">
        <w:rPr>
          <w:sz w:val="22"/>
          <w:szCs w:val="22"/>
          <w:highlight w:val="yellow"/>
        </w:rPr>
        <w:t xml:space="preserve"> </w:t>
      </w:r>
    </w:p>
    <w:p w14:paraId="6FA9DD69" w14:textId="77777777" w:rsidR="00DE3EE8" w:rsidRPr="002B7E6B" w:rsidRDefault="00DE3EE8" w:rsidP="00DE3EE8">
      <w:pPr>
        <w:widowControl/>
        <w:spacing w:after="160" w:line="259" w:lineRule="auto"/>
        <w:rPr>
          <w:sz w:val="22"/>
          <w:szCs w:val="22"/>
        </w:rPr>
      </w:pPr>
      <w:r w:rsidRPr="002B7E6B">
        <w:rPr>
          <w:sz w:val="22"/>
          <w:szCs w:val="22"/>
        </w:rPr>
        <w:t xml:space="preserve">Surface and bottom temperatures have historically been part of the standard data collection on Aleutian Islands bottom trawl surveys (Figure 1).  These temperatures </w:t>
      </w:r>
      <w:proofErr w:type="gramStart"/>
      <w:r w:rsidRPr="002B7E6B">
        <w:rPr>
          <w:sz w:val="22"/>
          <w:szCs w:val="22"/>
        </w:rPr>
        <w:t>have been collected</w:t>
      </w:r>
      <w:proofErr w:type="gramEnd"/>
      <w:r w:rsidRPr="002B7E6B">
        <w:rPr>
          <w:sz w:val="22"/>
          <w:szCs w:val="22"/>
        </w:rPr>
        <w:t xml:space="preserve"> using a variety of methods that may not be directly comparable (see von Szalay and Raring 2018 for methods).  The temperatures presented here </w:t>
      </w:r>
      <w:proofErr w:type="gramStart"/>
      <w:r w:rsidRPr="002B7E6B">
        <w:rPr>
          <w:sz w:val="22"/>
          <w:szCs w:val="22"/>
        </w:rPr>
        <w:t>have not been intercalibrated</w:t>
      </w:r>
      <w:proofErr w:type="gramEnd"/>
      <w:r w:rsidRPr="002B7E6B">
        <w:rPr>
          <w:sz w:val="22"/>
          <w:szCs w:val="22"/>
        </w:rPr>
        <w:t xml:space="preserve"> for collection methods nor have they been adjusted for tidal cycles. Here we plot the residuals from our temperature observations relative to the </w:t>
      </w:r>
      <w:proofErr w:type="gramStart"/>
      <w:r w:rsidRPr="002B7E6B">
        <w:rPr>
          <w:sz w:val="22"/>
          <w:szCs w:val="22"/>
        </w:rPr>
        <w:t>20 year</w:t>
      </w:r>
      <w:proofErr w:type="gramEnd"/>
      <w:r w:rsidRPr="002B7E6B">
        <w:rPr>
          <w:sz w:val="22"/>
          <w:szCs w:val="22"/>
        </w:rPr>
        <w:t xml:space="preserve"> average of surface or bottom temperature observations from the survey (1994-2014). The plot suggests that surface and bottom temperatures from our survey observations in 2022 remain above the </w:t>
      </w:r>
      <w:proofErr w:type="gramStart"/>
      <w:r w:rsidRPr="002B7E6B">
        <w:rPr>
          <w:sz w:val="22"/>
          <w:szCs w:val="22"/>
        </w:rPr>
        <w:t>long term</w:t>
      </w:r>
      <w:proofErr w:type="gramEnd"/>
      <w:r w:rsidRPr="002B7E6B">
        <w:rPr>
          <w:sz w:val="22"/>
          <w:szCs w:val="22"/>
        </w:rPr>
        <w:t xml:space="preserve"> average, as they have since the 2014 survey.</w:t>
      </w:r>
    </w:p>
    <w:p w14:paraId="629FF5C3" w14:textId="77777777" w:rsidR="00DE3EE8" w:rsidRPr="002B7E6B" w:rsidRDefault="00DE3EE8" w:rsidP="00DE3EE8">
      <w:pPr>
        <w:widowControl/>
        <w:spacing w:after="160" w:line="259" w:lineRule="auto"/>
        <w:rPr>
          <w:sz w:val="22"/>
          <w:szCs w:val="22"/>
        </w:rPr>
      </w:pPr>
      <w:r w:rsidRPr="002B7E6B">
        <w:rPr>
          <w:sz w:val="22"/>
          <w:szCs w:val="22"/>
        </w:rPr>
        <w:t xml:space="preserve">There were 420 stations planned for the shelf and upper slope of the Aleutian Islands to a depth of 500 m (Figure 2).  In 2022, we recognized that the level of ergonomic injuries correlated with repetitive motion activities and lifting heavy baskets at sea was not sustainable.  We responded by reducing overall sampling effort by eliminating some allocated stations, reducing the number of sexed lengths and otoliths collected, and generally slowing the pace of the survey to try </w:t>
      </w:r>
      <w:proofErr w:type="gramStart"/>
      <w:r w:rsidRPr="002B7E6B">
        <w:rPr>
          <w:sz w:val="22"/>
          <w:szCs w:val="22"/>
        </w:rPr>
        <w:t>and</w:t>
      </w:r>
      <w:proofErr w:type="gramEnd"/>
      <w:r w:rsidRPr="002B7E6B">
        <w:rPr>
          <w:sz w:val="22"/>
          <w:szCs w:val="22"/>
        </w:rPr>
        <w:t xml:space="preserve"> reduce injury rates.  Therefore, 398 stations were successfully trawled in this Aleutian </w:t>
      </w:r>
      <w:proofErr w:type="gramStart"/>
      <w:r w:rsidRPr="002B7E6B">
        <w:rPr>
          <w:sz w:val="22"/>
          <w:szCs w:val="22"/>
        </w:rPr>
        <w:t>survey which</w:t>
      </w:r>
      <w:proofErr w:type="gramEnd"/>
      <w:r w:rsidRPr="002B7E6B">
        <w:rPr>
          <w:sz w:val="22"/>
          <w:szCs w:val="22"/>
        </w:rPr>
        <w:t xml:space="preserve"> was about a 5% reduction over previous years’ efforts.  There were 587 unique taxa encountered at successfully sampled Aleutian stations.  Most of these taxa were invertebrates ranging from decapods to sponges; 151 of those were fishes.  The total fish catch from the survey was around 466 mt; total invertebrate catch was around </w:t>
      </w:r>
      <w:proofErr w:type="gramStart"/>
      <w:r w:rsidRPr="002B7E6B">
        <w:rPr>
          <w:sz w:val="22"/>
          <w:szCs w:val="22"/>
        </w:rPr>
        <w:t>9</w:t>
      </w:r>
      <w:proofErr w:type="gramEnd"/>
      <w:r w:rsidRPr="002B7E6B">
        <w:rPr>
          <w:sz w:val="22"/>
          <w:szCs w:val="22"/>
        </w:rPr>
        <w:t xml:space="preserve"> mt.  </w:t>
      </w:r>
      <w:proofErr w:type="gramStart"/>
      <w:r w:rsidRPr="002B7E6B">
        <w:rPr>
          <w:sz w:val="22"/>
          <w:szCs w:val="22"/>
        </w:rPr>
        <w:t>A total of 51</w:t>
      </w:r>
      <w:proofErr w:type="gramEnd"/>
      <w:r w:rsidRPr="002B7E6B">
        <w:rPr>
          <w:sz w:val="22"/>
          <w:szCs w:val="22"/>
        </w:rPr>
        <w:t xml:space="preserve"> taxa were saved to the AFSC RACE voucher collection, around 97,000 fish lengths were collected, and close to 7,600 otolith pairs were returned to AFSC for ageing.  Special collections for fisheries acoustics, environmental monitoring, population genetics, feeding habits, and International Pacific Halibut Commission monitoring </w:t>
      </w:r>
      <w:proofErr w:type="gramStart"/>
      <w:r w:rsidRPr="002B7E6B">
        <w:rPr>
          <w:sz w:val="22"/>
          <w:szCs w:val="22"/>
        </w:rPr>
        <w:t>were all prosecuted</w:t>
      </w:r>
      <w:proofErr w:type="gramEnd"/>
      <w:r w:rsidRPr="002B7E6B">
        <w:rPr>
          <w:sz w:val="22"/>
          <w:szCs w:val="22"/>
        </w:rPr>
        <w:t xml:space="preserve"> during the summer survey.  Validated data were finalized on 19 </w:t>
      </w:r>
      <w:proofErr w:type="gramStart"/>
      <w:r w:rsidRPr="002B7E6B">
        <w:rPr>
          <w:sz w:val="22"/>
          <w:szCs w:val="22"/>
        </w:rPr>
        <w:t>September,</w:t>
      </w:r>
      <w:proofErr w:type="gramEnd"/>
      <w:r w:rsidRPr="002B7E6B">
        <w:rPr>
          <w:sz w:val="22"/>
          <w:szCs w:val="22"/>
        </w:rPr>
        <w:t xml:space="preserve"> 2022 and estimates of abundance and length composition of managed species and species groups were delivered to the Joint Groundfish Plan Team of the North Pacific Fisheries Management Council (NPFMC) at their September meeting.  Data from the survey </w:t>
      </w:r>
      <w:proofErr w:type="gramStart"/>
      <w:r w:rsidRPr="002B7E6B">
        <w:rPr>
          <w:sz w:val="22"/>
          <w:szCs w:val="22"/>
        </w:rPr>
        <w:t>were made</w:t>
      </w:r>
      <w:proofErr w:type="gramEnd"/>
      <w:r w:rsidRPr="002B7E6B">
        <w:rPr>
          <w:sz w:val="22"/>
          <w:szCs w:val="22"/>
        </w:rPr>
        <w:t xml:space="preserve"> available at that time on the Pacific States Marine Fisheries Commission’s Alaska Fisheries Information Network (AKFIN)</w:t>
      </w:r>
      <w:r w:rsidRPr="002B7E6B">
        <w:rPr>
          <w:rStyle w:val="FootnoteReference"/>
          <w:sz w:val="22"/>
          <w:szCs w:val="22"/>
        </w:rPr>
        <w:footnoteReference w:id="3"/>
      </w:r>
      <w:r w:rsidRPr="002B7E6B">
        <w:rPr>
          <w:sz w:val="22"/>
          <w:szCs w:val="22"/>
        </w:rPr>
        <w:t xml:space="preserve"> as well is in NMFS’ Fisheries One-Stop Shop (FOSS)</w:t>
      </w:r>
      <w:r w:rsidRPr="002B7E6B">
        <w:rPr>
          <w:rStyle w:val="FootnoteReference"/>
          <w:sz w:val="22"/>
          <w:szCs w:val="22"/>
        </w:rPr>
        <w:footnoteReference w:id="4"/>
      </w:r>
      <w:r w:rsidRPr="002B7E6B">
        <w:rPr>
          <w:sz w:val="22"/>
          <w:szCs w:val="22"/>
        </w:rPr>
        <w:t xml:space="preserve">. </w:t>
      </w:r>
    </w:p>
    <w:p w14:paraId="2DA413FB" w14:textId="77777777" w:rsidR="00DE3EE8" w:rsidRPr="002B7E6B" w:rsidRDefault="00DE3EE8" w:rsidP="00DE3EE8">
      <w:pPr>
        <w:widowControl/>
        <w:spacing w:after="160" w:line="259" w:lineRule="auto"/>
        <w:rPr>
          <w:sz w:val="22"/>
          <w:szCs w:val="22"/>
        </w:rPr>
      </w:pPr>
      <w:r w:rsidRPr="002B7E6B">
        <w:rPr>
          <w:sz w:val="22"/>
          <w:szCs w:val="22"/>
        </w:rPr>
        <w:t xml:space="preserve">Species composition of the more abundant fishes in 2022 was similar to previous years (Figure 3). Pacific </w:t>
      </w:r>
      <w:proofErr w:type="gramStart"/>
      <w:r w:rsidRPr="002B7E6B">
        <w:rPr>
          <w:sz w:val="22"/>
          <w:szCs w:val="22"/>
        </w:rPr>
        <w:t>ocean</w:t>
      </w:r>
      <w:proofErr w:type="gramEnd"/>
      <w:r w:rsidRPr="002B7E6B">
        <w:rPr>
          <w:sz w:val="22"/>
          <w:szCs w:val="22"/>
        </w:rPr>
        <w:t xml:space="preserve"> perch (POP) and Atka mackerel generated the highest survey biomass estimates followed by Alaska pollock and Pacific cod which present lower biomass estimates than were seen in the 1980s. Cod and pollock biomass was </w:t>
      </w:r>
      <w:proofErr w:type="gramStart"/>
      <w:r w:rsidRPr="002B7E6B">
        <w:rPr>
          <w:sz w:val="22"/>
          <w:szCs w:val="22"/>
        </w:rPr>
        <w:t>fairly consistent</w:t>
      </w:r>
      <w:proofErr w:type="gramEnd"/>
      <w:r w:rsidRPr="002B7E6B">
        <w:rPr>
          <w:sz w:val="22"/>
          <w:szCs w:val="22"/>
        </w:rPr>
        <w:t xml:space="preserve"> throughout the 2000s in survey estimates with the possible exception of the relatively lower biomass estimated in 2012.  Among fishes caught in 2022, arrowtooth flounder, POP, and Pacific cod were among the most common, occurring in ~65% of more of all successful trawl hauls. Rougheye and shortraker rockfish were among the least common in our catches, occurring in &lt;7% of successful trawl catches.</w:t>
      </w:r>
    </w:p>
    <w:p w14:paraId="0A9F4B5E" w14:textId="77777777" w:rsidR="00DE3EE8" w:rsidRPr="002B7E6B" w:rsidRDefault="00DE3EE8" w:rsidP="00DE3EE8">
      <w:pPr>
        <w:widowControl/>
        <w:spacing w:after="160" w:line="259" w:lineRule="auto"/>
        <w:rPr>
          <w:color w:val="0000FF"/>
          <w:sz w:val="22"/>
          <w:szCs w:val="22"/>
          <w:u w:val="single"/>
        </w:rPr>
      </w:pPr>
      <w:r w:rsidRPr="002B7E6B">
        <w:rPr>
          <w:sz w:val="22"/>
          <w:szCs w:val="22"/>
        </w:rPr>
        <w:t xml:space="preserve">For further </w:t>
      </w:r>
      <w:proofErr w:type="gramStart"/>
      <w:r w:rsidRPr="002B7E6B">
        <w:rPr>
          <w:sz w:val="22"/>
          <w:szCs w:val="22"/>
        </w:rPr>
        <w:t>information</w:t>
      </w:r>
      <w:proofErr w:type="gramEnd"/>
      <w:r w:rsidRPr="002B7E6B">
        <w:rPr>
          <w:sz w:val="22"/>
          <w:szCs w:val="22"/>
        </w:rPr>
        <w:t xml:space="preserve"> contact Gulf-Aleutian Bottom Trawl Team Leader, Ned Laman (206) 526-4832, Ned.Laman</w:t>
      </w:r>
      <w:hyperlink r:id="rId22">
        <w:r w:rsidRPr="002B7E6B">
          <w:rPr>
            <w:color w:val="0000FF"/>
            <w:sz w:val="22"/>
            <w:szCs w:val="22"/>
            <w:u w:val="single"/>
          </w:rPr>
          <w:t>@NOAA.gov</w:t>
        </w:r>
      </w:hyperlink>
    </w:p>
    <w:p w14:paraId="1C1B1E0E" w14:textId="77777777" w:rsidR="00DE3EE8" w:rsidRPr="002B7E6B" w:rsidRDefault="00DE3EE8" w:rsidP="00DE3EE8">
      <w:pPr>
        <w:widowControl/>
        <w:spacing w:after="160" w:line="259" w:lineRule="auto"/>
        <w:rPr>
          <w:sz w:val="22"/>
          <w:szCs w:val="22"/>
        </w:rPr>
      </w:pPr>
      <w:r w:rsidRPr="002B7E6B">
        <w:rPr>
          <w:noProof/>
          <w:sz w:val="22"/>
          <w:szCs w:val="22"/>
        </w:rPr>
        <w:lastRenderedPageBreak/>
        <w:drawing>
          <wp:inline distT="0" distB="0" distL="0" distR="0" wp14:anchorId="3ABD27D1" wp14:editId="05AD606F">
            <wp:extent cx="6115050" cy="458660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eanSST_BT_legend.jpg"/>
                    <pic:cNvPicPr/>
                  </pic:nvPicPr>
                  <pic:blipFill>
                    <a:blip r:embed="rId23">
                      <a:extLst>
                        <a:ext uri="{28A0092B-C50C-407E-A947-70E740481C1C}">
                          <a14:useLocalDpi xmlns:a14="http://schemas.microsoft.com/office/drawing/2010/main" val="0"/>
                        </a:ext>
                      </a:extLst>
                    </a:blip>
                    <a:stretch>
                      <a:fillRect/>
                    </a:stretch>
                  </pic:blipFill>
                  <pic:spPr>
                    <a:xfrm>
                      <a:off x="0" y="0"/>
                      <a:ext cx="6115050" cy="4586605"/>
                    </a:xfrm>
                    <a:prstGeom prst="rect">
                      <a:avLst/>
                    </a:prstGeom>
                  </pic:spPr>
                </pic:pic>
              </a:graphicData>
            </a:graphic>
          </wp:inline>
        </w:drawing>
      </w:r>
    </w:p>
    <w:p w14:paraId="575CCECF" w14:textId="77777777" w:rsidR="00DE3EE8" w:rsidRPr="002B7E6B" w:rsidRDefault="00DE3EE8" w:rsidP="00DE3EE8">
      <w:pPr>
        <w:widowControl/>
        <w:spacing w:before="120" w:after="120" w:line="259" w:lineRule="auto"/>
        <w:rPr>
          <w:sz w:val="22"/>
          <w:szCs w:val="22"/>
        </w:rPr>
      </w:pPr>
      <w:r w:rsidRPr="002B7E6B">
        <w:rPr>
          <w:sz w:val="22"/>
          <w:szCs w:val="22"/>
        </w:rPr>
        <w:t xml:space="preserve">Figure 1.  Surface (SST) and bottom temperature (Bottom Temp) anomalies compared to the 20-year averages of those temperatures collected on the Aleutian Islands </w:t>
      </w:r>
      <w:proofErr w:type="gramStart"/>
      <w:r w:rsidRPr="002B7E6B">
        <w:rPr>
          <w:sz w:val="22"/>
          <w:szCs w:val="22"/>
        </w:rPr>
        <w:t>summer bottom trawl survey</w:t>
      </w:r>
      <w:proofErr w:type="gramEnd"/>
      <w:r w:rsidRPr="002B7E6B">
        <w:rPr>
          <w:sz w:val="22"/>
          <w:szCs w:val="22"/>
        </w:rPr>
        <w:t xml:space="preserve"> aboard chartered commercial fishing vessels.</w:t>
      </w:r>
    </w:p>
    <w:p w14:paraId="1E76BF3B" w14:textId="77777777" w:rsidR="00DE3EE8" w:rsidRPr="002B7E6B" w:rsidRDefault="00DE3EE8" w:rsidP="00DE3EE8">
      <w:pPr>
        <w:widowControl/>
        <w:spacing w:after="160" w:line="259" w:lineRule="auto"/>
        <w:rPr>
          <w:sz w:val="22"/>
          <w:szCs w:val="22"/>
        </w:rPr>
      </w:pPr>
    </w:p>
    <w:p w14:paraId="4C9300B7" w14:textId="77777777" w:rsidR="00DE3EE8" w:rsidRPr="002B7E6B" w:rsidRDefault="00DE3EE8" w:rsidP="00DE3EE8">
      <w:pPr>
        <w:widowControl/>
        <w:spacing w:after="160" w:line="259" w:lineRule="auto"/>
        <w:jc w:val="center"/>
        <w:rPr>
          <w:rFonts w:eastAsia="Calibri"/>
          <w:sz w:val="22"/>
          <w:szCs w:val="22"/>
        </w:rPr>
      </w:pPr>
      <w:r w:rsidRPr="002B7E6B">
        <w:rPr>
          <w:rFonts w:eastAsia="Calibri"/>
          <w:noProof/>
          <w:sz w:val="22"/>
          <w:szCs w:val="22"/>
        </w:rPr>
        <w:lastRenderedPageBreak/>
        <w:drawing>
          <wp:inline distT="0" distB="0" distL="0" distR="0" wp14:anchorId="67593E31" wp14:editId="65B3BCA8">
            <wp:extent cx="5098143" cy="3939282"/>
            <wp:effectExtent l="0" t="0" r="762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I_station_map.jpg"/>
                    <pic:cNvPicPr/>
                  </pic:nvPicPr>
                  <pic:blipFill>
                    <a:blip r:embed="rId24">
                      <a:extLst>
                        <a:ext uri="{28A0092B-C50C-407E-A947-70E740481C1C}">
                          <a14:useLocalDpi xmlns:a14="http://schemas.microsoft.com/office/drawing/2010/main" val="0"/>
                        </a:ext>
                      </a:extLst>
                    </a:blip>
                    <a:stretch>
                      <a:fillRect/>
                    </a:stretch>
                  </pic:blipFill>
                  <pic:spPr>
                    <a:xfrm>
                      <a:off x="0" y="0"/>
                      <a:ext cx="5105493" cy="3944962"/>
                    </a:xfrm>
                    <a:prstGeom prst="rect">
                      <a:avLst/>
                    </a:prstGeom>
                  </pic:spPr>
                </pic:pic>
              </a:graphicData>
            </a:graphic>
          </wp:inline>
        </w:drawing>
      </w:r>
    </w:p>
    <w:p w14:paraId="3E8F54DB" w14:textId="77777777" w:rsidR="00DE3EE8" w:rsidRPr="002B7E6B" w:rsidRDefault="00DE3EE8" w:rsidP="00DE3EE8">
      <w:pPr>
        <w:keepNext/>
        <w:widowControl/>
        <w:spacing w:after="160" w:line="259" w:lineRule="auto"/>
        <w:rPr>
          <w:sz w:val="22"/>
          <w:szCs w:val="22"/>
        </w:rPr>
      </w:pPr>
    </w:p>
    <w:p w14:paraId="1BB73060" w14:textId="77777777" w:rsidR="00DE3EE8" w:rsidRPr="002B7E6B" w:rsidRDefault="00DE3EE8" w:rsidP="00DE3EE8">
      <w:pPr>
        <w:widowControl/>
        <w:spacing w:before="120" w:after="120" w:line="259" w:lineRule="auto"/>
        <w:rPr>
          <w:sz w:val="22"/>
          <w:szCs w:val="22"/>
        </w:rPr>
      </w:pPr>
      <w:r w:rsidRPr="002B7E6B">
        <w:rPr>
          <w:sz w:val="22"/>
          <w:szCs w:val="22"/>
        </w:rPr>
        <w:t>Figure 2.  Planned station allocation (N = 420) for the 2022 Aleutian Islands biennial summer bottom trawl Survey; 398 stations were successfully trawled.</w:t>
      </w:r>
    </w:p>
    <w:p w14:paraId="5DC78C0B" w14:textId="77777777" w:rsidR="00DE3EE8" w:rsidRPr="002B7E6B" w:rsidRDefault="00DE3EE8" w:rsidP="00DE3EE8">
      <w:pPr>
        <w:widowControl/>
        <w:spacing w:before="120" w:after="120" w:line="259" w:lineRule="auto"/>
        <w:rPr>
          <w:sz w:val="22"/>
          <w:szCs w:val="22"/>
        </w:rPr>
      </w:pPr>
      <w:r w:rsidRPr="002B7E6B">
        <w:rPr>
          <w:noProof/>
          <w:sz w:val="22"/>
          <w:szCs w:val="22"/>
        </w:rPr>
        <w:lastRenderedPageBreak/>
        <w:drawing>
          <wp:inline distT="0" distB="0" distL="0" distR="0" wp14:anchorId="3B597796" wp14:editId="724D8750">
            <wp:extent cx="6115050" cy="458660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tchComposition.jpg"/>
                    <pic:cNvPicPr/>
                  </pic:nvPicPr>
                  <pic:blipFill>
                    <a:blip r:embed="rId25">
                      <a:extLst>
                        <a:ext uri="{28A0092B-C50C-407E-A947-70E740481C1C}">
                          <a14:useLocalDpi xmlns:a14="http://schemas.microsoft.com/office/drawing/2010/main" val="0"/>
                        </a:ext>
                      </a:extLst>
                    </a:blip>
                    <a:stretch>
                      <a:fillRect/>
                    </a:stretch>
                  </pic:blipFill>
                  <pic:spPr>
                    <a:xfrm>
                      <a:off x="0" y="0"/>
                      <a:ext cx="6115050" cy="4586605"/>
                    </a:xfrm>
                    <a:prstGeom prst="rect">
                      <a:avLst/>
                    </a:prstGeom>
                  </pic:spPr>
                </pic:pic>
              </a:graphicData>
            </a:graphic>
          </wp:inline>
        </w:drawing>
      </w:r>
    </w:p>
    <w:p w14:paraId="4B54728A" w14:textId="77777777" w:rsidR="00DE3EE8" w:rsidRPr="002B7E6B" w:rsidRDefault="00DE3EE8" w:rsidP="00DE3EE8">
      <w:pPr>
        <w:widowControl/>
        <w:spacing w:before="120" w:after="120" w:line="259" w:lineRule="auto"/>
        <w:rPr>
          <w:sz w:val="22"/>
          <w:szCs w:val="22"/>
        </w:rPr>
      </w:pPr>
      <w:r w:rsidRPr="002B7E6B">
        <w:rPr>
          <w:sz w:val="22"/>
          <w:szCs w:val="22"/>
        </w:rPr>
        <w:t xml:space="preserve">Figure 3. Catch composition of the most abundant fishes from the 2022 Aleutian Islands </w:t>
      </w:r>
      <w:proofErr w:type="gramStart"/>
      <w:r w:rsidRPr="002B7E6B">
        <w:rPr>
          <w:sz w:val="22"/>
          <w:szCs w:val="22"/>
        </w:rPr>
        <w:t>summer bottom trawl survey</w:t>
      </w:r>
      <w:proofErr w:type="gramEnd"/>
      <w:r w:rsidRPr="002B7E6B">
        <w:rPr>
          <w:sz w:val="22"/>
          <w:szCs w:val="22"/>
        </w:rPr>
        <w:t>.</w:t>
      </w:r>
    </w:p>
    <w:p w14:paraId="560D4372" w14:textId="77777777" w:rsidR="005A5ABD" w:rsidRDefault="005A5ABD" w:rsidP="005A5ABD">
      <w:pPr>
        <w:rPr>
          <w:sz w:val="22"/>
          <w:szCs w:val="22"/>
        </w:rPr>
      </w:pPr>
    </w:p>
    <w:p w14:paraId="50535EBD" w14:textId="29665666" w:rsidR="005A5ABD" w:rsidRPr="002B7E6B" w:rsidRDefault="005A5ABD" w:rsidP="005A5ABD">
      <w:pPr>
        <w:rPr>
          <w:sz w:val="22"/>
          <w:szCs w:val="22"/>
        </w:rPr>
      </w:pPr>
      <w:r w:rsidRPr="002B7E6B">
        <w:rPr>
          <w:sz w:val="22"/>
          <w:szCs w:val="22"/>
        </w:rPr>
        <w:t>Literature Cited:</w:t>
      </w:r>
    </w:p>
    <w:p w14:paraId="01BAEB3B" w14:textId="55E155B0" w:rsidR="00DE3EE8" w:rsidRDefault="00DE3EE8" w:rsidP="00DE3EE8">
      <w:pPr>
        <w:widowControl/>
        <w:spacing w:after="160" w:line="259" w:lineRule="auto"/>
        <w:rPr>
          <w:sz w:val="22"/>
          <w:szCs w:val="22"/>
          <w:highlight w:val="yellow"/>
        </w:rPr>
      </w:pPr>
    </w:p>
    <w:p w14:paraId="40A122A5" w14:textId="20AD5D53" w:rsidR="005A5ABD" w:rsidRPr="002B7E6B" w:rsidRDefault="005A5ABD" w:rsidP="005A5ABD">
      <w:pPr>
        <w:widowControl/>
        <w:spacing w:after="160" w:line="259" w:lineRule="auto"/>
        <w:ind w:left="720" w:hanging="720"/>
        <w:rPr>
          <w:sz w:val="22"/>
          <w:szCs w:val="22"/>
          <w:highlight w:val="yellow"/>
        </w:rPr>
      </w:pPr>
      <w:proofErr w:type="gramStart"/>
      <w:r w:rsidRPr="005A5ABD">
        <w:rPr>
          <w:sz w:val="22"/>
          <w:szCs w:val="22"/>
        </w:rPr>
        <w:t>von</w:t>
      </w:r>
      <w:proofErr w:type="gramEnd"/>
      <w:r w:rsidRPr="005A5ABD">
        <w:rPr>
          <w:sz w:val="22"/>
          <w:szCs w:val="22"/>
        </w:rPr>
        <w:t xml:space="preserve"> Szalay, P. G., and N. W. Raring. 2018. Data Report: 2017 Gulf of Alaska bottom trawl survey. U.S. Dep. Commer., NOAA Tech. Memo. NMFS-AFSC-374, 260 p.</w:t>
      </w:r>
    </w:p>
    <w:p w14:paraId="7ADEFAC4" w14:textId="77777777" w:rsidR="00DE3EE8" w:rsidRPr="002B7E6B" w:rsidRDefault="00DE3EE8" w:rsidP="00DE3EE8">
      <w:pPr>
        <w:pStyle w:val="Heading5"/>
        <w:rPr>
          <w:sz w:val="22"/>
          <w:szCs w:val="22"/>
          <w:highlight w:val="yellow"/>
        </w:rPr>
      </w:pPr>
      <w:bookmarkStart w:id="19" w:name="_heading=h.2jxsxqh" w:colFirst="0" w:colLast="0"/>
      <w:bookmarkEnd w:id="19"/>
    </w:p>
    <w:p w14:paraId="57472438" w14:textId="52F55045" w:rsidR="00DE3EE8" w:rsidRPr="00744885" w:rsidRDefault="00DE3EE8" w:rsidP="00744885">
      <w:pPr>
        <w:pStyle w:val="Heading5"/>
      </w:pPr>
      <w:bookmarkStart w:id="20" w:name="_Toc131503798"/>
      <w:r w:rsidRPr="00744885">
        <w:t xml:space="preserve">Winter </w:t>
      </w:r>
      <w:r w:rsidR="00744885">
        <w:t>a</w:t>
      </w:r>
      <w:r w:rsidRPr="00744885">
        <w:t>coustic-</w:t>
      </w:r>
      <w:r w:rsidR="00744885">
        <w:t>t</w:t>
      </w:r>
      <w:r w:rsidRPr="00744885">
        <w:t xml:space="preserve">rawl </w:t>
      </w:r>
      <w:r w:rsidR="00744885">
        <w:t>s</w:t>
      </w:r>
      <w:r w:rsidRPr="00744885">
        <w:t>urvey</w:t>
      </w:r>
      <w:r w:rsidR="00744885" w:rsidRPr="00744885">
        <w:t xml:space="preserve"> of pre-</w:t>
      </w:r>
      <w:r w:rsidR="00744885">
        <w:t>s</w:t>
      </w:r>
      <w:r w:rsidR="00744885" w:rsidRPr="00744885">
        <w:t xml:space="preserve">pawning </w:t>
      </w:r>
      <w:r w:rsidR="00744885">
        <w:t>w</w:t>
      </w:r>
      <w:r w:rsidR="00744885" w:rsidRPr="00744885">
        <w:t xml:space="preserve">alleye </w:t>
      </w:r>
      <w:r w:rsidR="00744885">
        <w:t>p</w:t>
      </w:r>
      <w:r w:rsidR="00744885" w:rsidRPr="00744885">
        <w:t>ollock</w:t>
      </w:r>
      <w:r w:rsidRPr="00744885">
        <w:t xml:space="preserve"> in the Gulf of Alaska </w:t>
      </w:r>
      <w:r w:rsidR="00744885" w:rsidRPr="00744885">
        <w:t>–</w:t>
      </w:r>
      <w:r w:rsidRPr="00744885">
        <w:t xml:space="preserve"> MACE</w:t>
      </w:r>
      <w:bookmarkEnd w:id="20"/>
    </w:p>
    <w:p w14:paraId="37A85B8C" w14:textId="77777777" w:rsidR="00744885" w:rsidRPr="00744885" w:rsidRDefault="00744885" w:rsidP="00744885"/>
    <w:p w14:paraId="64D83CCD" w14:textId="3413F4A4" w:rsidR="00744885" w:rsidRPr="00744885" w:rsidRDefault="00744885" w:rsidP="00744885">
      <w:pPr>
        <w:spacing w:after="240"/>
        <w:rPr>
          <w:rFonts w:eastAsia="Calibri"/>
          <w:sz w:val="22"/>
          <w:szCs w:val="22"/>
        </w:rPr>
      </w:pPr>
      <w:r w:rsidRPr="00744885">
        <w:rPr>
          <w:rFonts w:eastAsia="Calibri"/>
          <w:sz w:val="22"/>
          <w:szCs w:val="22"/>
        </w:rPr>
        <w:t>Scientists from the Alaska Fisheries Science Center conducted acoustic-trawl surveys in the Gulf of Alaska during late winter 2022 to estimate the distribution and abundance of pre-spawning walleye pollock (</w:t>
      </w:r>
      <w:r w:rsidRPr="00744885">
        <w:rPr>
          <w:rFonts w:eastAsia="Calibri"/>
          <w:i/>
          <w:sz w:val="22"/>
          <w:szCs w:val="22"/>
        </w:rPr>
        <w:t>Gadus chalcogrammus</w:t>
      </w:r>
      <w:r w:rsidRPr="00744885">
        <w:rPr>
          <w:rFonts w:eastAsia="Calibri"/>
          <w:sz w:val="22"/>
          <w:szCs w:val="22"/>
        </w:rPr>
        <w:t xml:space="preserve">, hereafter pollock). Historical surveys have frequently included the Shumagin Islands, Sanak Trough, Morzhovoi Bay, and Pavlof Bay as part of the Shumagin survey, and Shelikof Strait, the continental shelf break near Chirikof Island, and Marmot Bay as part of the Shelikof survey. Due to the continuation of the global COVID-19 pandemic in 2022 as well as vessel mechanical issues, only Shelikof Strait </w:t>
      </w:r>
      <w:proofErr w:type="gramStart"/>
      <w:r w:rsidRPr="00744885">
        <w:rPr>
          <w:rFonts w:eastAsia="Calibri"/>
          <w:sz w:val="22"/>
          <w:szCs w:val="22"/>
        </w:rPr>
        <w:t>was successfully surveyed</w:t>
      </w:r>
      <w:proofErr w:type="gramEnd"/>
      <w:r w:rsidRPr="00744885">
        <w:rPr>
          <w:rFonts w:eastAsia="Calibri"/>
          <w:sz w:val="22"/>
          <w:szCs w:val="22"/>
        </w:rPr>
        <w:t xml:space="preserve">. The Shelikof Strait area </w:t>
      </w:r>
      <w:proofErr w:type="gramStart"/>
      <w:r w:rsidRPr="00744885">
        <w:rPr>
          <w:rFonts w:eastAsia="Calibri"/>
          <w:sz w:val="22"/>
          <w:szCs w:val="22"/>
        </w:rPr>
        <w:t>has been surveyed</w:t>
      </w:r>
      <w:proofErr w:type="gramEnd"/>
      <w:r w:rsidRPr="00744885">
        <w:rPr>
          <w:rFonts w:eastAsia="Calibri"/>
          <w:sz w:val="22"/>
          <w:szCs w:val="22"/>
        </w:rPr>
        <w:t xml:space="preserve"> annually in winter since 1981 (except in 1982, 1989, and 2011). The timing of the survey </w:t>
      </w:r>
      <w:proofErr w:type="gramStart"/>
      <w:r w:rsidRPr="00744885">
        <w:rPr>
          <w:rFonts w:eastAsia="Calibri"/>
          <w:sz w:val="22"/>
          <w:szCs w:val="22"/>
        </w:rPr>
        <w:t>has been advanced</w:t>
      </w:r>
      <w:proofErr w:type="gramEnd"/>
      <w:r w:rsidRPr="00744885">
        <w:rPr>
          <w:rFonts w:eastAsia="Calibri"/>
          <w:sz w:val="22"/>
          <w:szCs w:val="22"/>
        </w:rPr>
        <w:t xml:space="preserve"> by a few days in each survey since 2019 because of the relatively high percentages of spawning </w:t>
      </w:r>
      <w:r w:rsidRPr="00744885">
        <w:rPr>
          <w:rFonts w:eastAsia="Calibri"/>
          <w:sz w:val="22"/>
          <w:szCs w:val="22"/>
        </w:rPr>
        <w:lastRenderedPageBreak/>
        <w:t>and spent female pollock observed in the 2017, 2018, and 2019 surveys. The 2022 Shelikof Strait survey (DY2204) occurred March 09</w:t>
      </w:r>
      <w:r w:rsidR="0024271A">
        <w:rPr>
          <w:rFonts w:eastAsia="Calibri"/>
          <w:sz w:val="22"/>
          <w:szCs w:val="22"/>
        </w:rPr>
        <w:t xml:space="preserve"> – </w:t>
      </w:r>
      <w:r w:rsidRPr="00744885">
        <w:rPr>
          <w:rFonts w:eastAsia="Calibri"/>
          <w:sz w:val="22"/>
          <w:szCs w:val="22"/>
        </w:rPr>
        <w:t>16, 2022.</w:t>
      </w:r>
    </w:p>
    <w:p w14:paraId="56A17071" w14:textId="77777777" w:rsidR="00744885" w:rsidRPr="00744885" w:rsidRDefault="00744885" w:rsidP="00744885">
      <w:pPr>
        <w:spacing w:after="240"/>
        <w:rPr>
          <w:rFonts w:eastAsia="Calibri"/>
          <w:sz w:val="22"/>
          <w:szCs w:val="22"/>
        </w:rPr>
      </w:pPr>
      <w:r w:rsidRPr="00744885">
        <w:rPr>
          <w:rFonts w:eastAsia="Calibri"/>
          <w:sz w:val="22"/>
          <w:szCs w:val="22"/>
        </w:rPr>
        <w:t xml:space="preserve">The surveys </w:t>
      </w:r>
      <w:proofErr w:type="gramStart"/>
      <w:r w:rsidRPr="00744885">
        <w:rPr>
          <w:rFonts w:eastAsia="Calibri"/>
          <w:sz w:val="22"/>
          <w:szCs w:val="22"/>
        </w:rPr>
        <w:t>were conducted</w:t>
      </w:r>
      <w:proofErr w:type="gramEnd"/>
      <w:r w:rsidRPr="00744885">
        <w:rPr>
          <w:rFonts w:eastAsia="Calibri"/>
          <w:sz w:val="22"/>
          <w:szCs w:val="22"/>
        </w:rPr>
        <w:t xml:space="preserve"> with the NOAA ship </w:t>
      </w:r>
      <w:r w:rsidRPr="00744885">
        <w:rPr>
          <w:rFonts w:eastAsia="Calibri"/>
          <w:i/>
          <w:sz w:val="22"/>
          <w:szCs w:val="22"/>
        </w:rPr>
        <w:t>Oscar Dyson</w:t>
      </w:r>
      <w:r w:rsidRPr="00744885">
        <w:rPr>
          <w:rFonts w:eastAsia="Calibri"/>
          <w:sz w:val="22"/>
          <w:szCs w:val="22"/>
        </w:rPr>
        <w:t xml:space="preserve">, a 64-m stern trawler equipped for fisheries and oceanographic research. Midwater and near-bottom acoustic backscatter at 38 kHz </w:t>
      </w:r>
      <w:proofErr w:type="gramStart"/>
      <w:r w:rsidRPr="00744885">
        <w:rPr>
          <w:rFonts w:eastAsia="Calibri"/>
          <w:sz w:val="22"/>
          <w:szCs w:val="22"/>
        </w:rPr>
        <w:t>was sampled</w:t>
      </w:r>
      <w:proofErr w:type="gramEnd"/>
      <w:r w:rsidRPr="00744885">
        <w:rPr>
          <w:rFonts w:eastAsia="Calibri"/>
          <w:sz w:val="22"/>
          <w:szCs w:val="22"/>
        </w:rPr>
        <w:t xml:space="preserve"> to estimate the abundance of pollock using an LFS1421 trawl with a trawl-mounted stereo camera (CamTrawl), and a poly Nor’eastern (PNE) bottom trawl. Backscatter data were also collected at </w:t>
      </w:r>
      <w:proofErr w:type="gramStart"/>
      <w:r w:rsidRPr="00744885">
        <w:rPr>
          <w:rFonts w:eastAsia="Calibri"/>
          <w:sz w:val="22"/>
          <w:szCs w:val="22"/>
        </w:rPr>
        <w:t>4</w:t>
      </w:r>
      <w:proofErr w:type="gramEnd"/>
      <w:r w:rsidRPr="00744885">
        <w:rPr>
          <w:rFonts w:eastAsia="Calibri"/>
          <w:sz w:val="22"/>
          <w:szCs w:val="22"/>
        </w:rPr>
        <w:t xml:space="preserve"> other frequencies (18-, 70-, 120-, and 200-kHz) to support multifrequency species classification techniques. </w:t>
      </w:r>
    </w:p>
    <w:p w14:paraId="0A639571" w14:textId="77777777" w:rsidR="00744885" w:rsidRPr="00744885" w:rsidRDefault="00744885" w:rsidP="00744885">
      <w:pPr>
        <w:spacing w:after="240"/>
        <w:rPr>
          <w:rFonts w:eastAsia="Calibri"/>
          <w:sz w:val="22"/>
          <w:szCs w:val="22"/>
        </w:rPr>
      </w:pPr>
      <w:r w:rsidRPr="00744885">
        <w:rPr>
          <w:rFonts w:eastAsia="Calibri"/>
          <w:sz w:val="22"/>
          <w:szCs w:val="22"/>
        </w:rPr>
        <w:t>Acoustic backscatter in Shelikof Strait was measured along 1,525.8 km (823.9 nmi) of transects spaced mainly 13.9 km (7.5 nmi) apart, with spacing varying from 11.3 km to 15.6 km (6.1 to 8.4 nmi) in the survey area. Pollock and eulachon (</w:t>
      </w:r>
      <w:r w:rsidRPr="00744885">
        <w:rPr>
          <w:rFonts w:eastAsia="Calibri"/>
          <w:i/>
          <w:sz w:val="22"/>
          <w:szCs w:val="22"/>
        </w:rPr>
        <w:t>Thaleichthys pacificus</w:t>
      </w:r>
      <w:r w:rsidRPr="00744885">
        <w:rPr>
          <w:rFonts w:eastAsia="Calibri"/>
          <w:sz w:val="22"/>
          <w:szCs w:val="22"/>
        </w:rPr>
        <w:t xml:space="preserve">) were the most abundant species in the 19 LFS1421 hauls, contributing 91.5% and 5.8% of the total catch by weight and 57.5% and 23% of the total catch by numbers, respectively. Pollock and eulachon were also the most abundant species in one PNE haul, contributing 95.8% and 3.7% of the total catch by weight and 44.7% and 35.8% of the total catch by numbers, respectively. </w:t>
      </w:r>
    </w:p>
    <w:p w14:paraId="2968C33A" w14:textId="77777777" w:rsidR="00744885" w:rsidRPr="00744885" w:rsidRDefault="00744885" w:rsidP="00744885">
      <w:pPr>
        <w:spacing w:after="240"/>
        <w:rPr>
          <w:rFonts w:eastAsia="Calibri"/>
          <w:sz w:val="22"/>
          <w:szCs w:val="22"/>
        </w:rPr>
      </w:pPr>
      <w:r w:rsidRPr="00744885">
        <w:rPr>
          <w:rFonts w:eastAsia="Calibri"/>
          <w:sz w:val="22"/>
          <w:szCs w:val="22"/>
        </w:rPr>
        <w:t xml:space="preserve">Adult pollock </w:t>
      </w:r>
      <w:proofErr w:type="gramStart"/>
      <w:r w:rsidRPr="00744885">
        <w:rPr>
          <w:rFonts w:eastAsia="Calibri"/>
          <w:sz w:val="22"/>
          <w:szCs w:val="22"/>
        </w:rPr>
        <w:t>were detected</w:t>
      </w:r>
      <w:proofErr w:type="gramEnd"/>
      <w:r w:rsidRPr="00744885">
        <w:rPr>
          <w:rFonts w:eastAsia="Calibri"/>
          <w:sz w:val="22"/>
          <w:szCs w:val="22"/>
        </w:rPr>
        <w:t xml:space="preserve"> throughout the Strait, with the largest aggregations concentrated in the center of the sea valley south of Cape Igvak. Compared to previous years, adult pollock were notably less abundant along the Alaska Peninsula side of the Strait between Cape Nukshak and Cape Kekurnoi where large numbers of pre-spawning fish </w:t>
      </w:r>
      <w:proofErr w:type="gramStart"/>
      <w:r w:rsidRPr="00744885">
        <w:rPr>
          <w:rFonts w:eastAsia="Calibri"/>
          <w:sz w:val="22"/>
          <w:szCs w:val="22"/>
        </w:rPr>
        <w:t>have been observed</w:t>
      </w:r>
      <w:proofErr w:type="gramEnd"/>
      <w:r w:rsidRPr="00744885">
        <w:rPr>
          <w:rFonts w:eastAsia="Calibri"/>
          <w:sz w:val="22"/>
          <w:szCs w:val="22"/>
        </w:rPr>
        <w:t xml:space="preserve"> during most previous Shelikof surveys. Juvenile pollock (&lt; 30 cm FL and largely comprised of age-2 fish from 2020 year class)—typically found in large midwater aggregations shallower than but in proximity to adult aggregations in the middle portion of the Strait in prior surveys—were observed near the ends of transects in the southern portion of the Strait distinctly separated from adult aggregations. Most adult pollock were detected between depths of 215–275 m, while most juvenile pollock were between depths of 95–175 m. Pollock 10</w:t>
      </w:r>
      <w:r w:rsidRPr="00744885">
        <w:rPr>
          <w:sz w:val="22"/>
          <w:szCs w:val="22"/>
        </w:rPr>
        <w:t>–</w:t>
      </w:r>
      <w:r w:rsidRPr="00744885">
        <w:rPr>
          <w:rFonts w:eastAsia="Calibri"/>
          <w:sz w:val="22"/>
          <w:szCs w:val="22"/>
        </w:rPr>
        <w:t>16 cm FL, indicative of age-1 pollock, accounted for 1.7 % of the numbers and ≤ 0.1% of the biomass of all pollock observed in Shelikof Strait. Pollock 17</w:t>
      </w:r>
      <w:r w:rsidRPr="00744885">
        <w:rPr>
          <w:sz w:val="22"/>
          <w:szCs w:val="22"/>
        </w:rPr>
        <w:t>–</w:t>
      </w:r>
      <w:r w:rsidRPr="00744885">
        <w:rPr>
          <w:rFonts w:eastAsia="Calibri"/>
          <w:sz w:val="22"/>
          <w:szCs w:val="22"/>
        </w:rPr>
        <w:t xml:space="preserve">29 cm FL, indicative of age-2s, accounted for 29.0% by numbers and 2.7% by biomass of all pollock. Pollock ≥ 30 cm FL accounted for 69.3% and 97.3% of the numbers and biomass, respectively.  The maturity composition of females &gt; 40 cm FL (n = 377) was 1% immature, 13% developing, 80% pre-spawning, 6% spawning, and 0% spent, while the maturity composition of males &gt; 40 cm FL (n = 315) was 1% immature, 7% developing, 35% pre-spawning, 56% spawning, and 1% spent. </w:t>
      </w:r>
    </w:p>
    <w:p w14:paraId="3316643C" w14:textId="77777777" w:rsidR="00744885" w:rsidRPr="00744885" w:rsidRDefault="00744885" w:rsidP="00744885">
      <w:pPr>
        <w:spacing w:after="240"/>
        <w:rPr>
          <w:rFonts w:eastAsia="Calibri"/>
          <w:sz w:val="22"/>
          <w:szCs w:val="22"/>
        </w:rPr>
      </w:pPr>
      <w:r w:rsidRPr="00744885">
        <w:rPr>
          <w:rFonts w:eastAsia="Calibri"/>
          <w:sz w:val="22"/>
          <w:szCs w:val="22"/>
        </w:rPr>
        <w:t xml:space="preserve">The abundance estimate of 666.6 million pollock weighing 365,408.7 t (relative estimation error 10.35%) was 69.3% of that observed in 2021 (526,974 t) and 51.6% of the historical mean of 708,800 t. These estimates </w:t>
      </w:r>
      <w:proofErr w:type="gramStart"/>
      <w:r w:rsidRPr="00744885">
        <w:rPr>
          <w:rFonts w:eastAsia="Calibri"/>
          <w:sz w:val="22"/>
          <w:szCs w:val="22"/>
        </w:rPr>
        <w:t>were based</w:t>
      </w:r>
      <w:proofErr w:type="gramEnd"/>
      <w:r w:rsidRPr="00744885">
        <w:rPr>
          <w:rFonts w:eastAsia="Calibri"/>
          <w:sz w:val="22"/>
          <w:szCs w:val="22"/>
        </w:rPr>
        <w:t xml:space="preserve"> on an analysis where length-frequency distributions of all species were assigned to observed backscatter using biological data and species compositions of the hauls nearest that backscatter. It also included a correction for escapement of fishes and other catch from the survey trawl (i.e., net selectivity).</w:t>
      </w:r>
    </w:p>
    <w:p w14:paraId="66EBE45F" w14:textId="3BBD922C" w:rsidR="00DE3EE8" w:rsidRPr="002B7E6B" w:rsidRDefault="00DE3EE8" w:rsidP="00DE3EE8">
      <w:pPr>
        <w:spacing w:before="240" w:after="240"/>
        <w:rPr>
          <w:i/>
          <w:sz w:val="22"/>
          <w:szCs w:val="22"/>
        </w:rPr>
      </w:pPr>
      <w:r w:rsidRPr="002B7E6B">
        <w:rPr>
          <w:i/>
          <w:sz w:val="22"/>
          <w:szCs w:val="22"/>
        </w:rPr>
        <w:t xml:space="preserve">For more information, contact MACE Program Manager, Sandra Parker-Stetter, </w:t>
      </w:r>
      <w:hyperlink r:id="rId26">
        <w:r w:rsidRPr="002B7E6B">
          <w:rPr>
            <w:i/>
            <w:color w:val="1155CC"/>
            <w:sz w:val="22"/>
            <w:szCs w:val="22"/>
            <w:u w:val="single"/>
          </w:rPr>
          <w:t>sandy.parker-stetter@noaa.gov</w:t>
        </w:r>
      </w:hyperlink>
      <w:r w:rsidRPr="002B7E6B">
        <w:rPr>
          <w:i/>
          <w:sz w:val="22"/>
          <w:szCs w:val="22"/>
        </w:rPr>
        <w:t>.</w:t>
      </w:r>
    </w:p>
    <w:p w14:paraId="02A504E1" w14:textId="77777777" w:rsidR="00DE3EE8" w:rsidRPr="002B7E6B" w:rsidRDefault="00DE3EE8" w:rsidP="00DE3EE8">
      <w:pPr>
        <w:spacing w:before="240" w:after="240"/>
        <w:rPr>
          <w:i/>
          <w:sz w:val="22"/>
          <w:szCs w:val="22"/>
        </w:rPr>
      </w:pPr>
    </w:p>
    <w:p w14:paraId="0FB8E297" w14:textId="26FA5789" w:rsidR="00DE3EE8" w:rsidRPr="00744885" w:rsidRDefault="00DE3EE8" w:rsidP="00744885">
      <w:pPr>
        <w:pStyle w:val="Heading5"/>
      </w:pPr>
      <w:bookmarkStart w:id="21" w:name="_Toc131503799"/>
      <w:r w:rsidRPr="00744885">
        <w:t>Summer acoustic</w:t>
      </w:r>
      <w:r w:rsidR="00744885" w:rsidRPr="00744885">
        <w:t>-trawl survey of walleye pollock in the eastern</w:t>
      </w:r>
      <w:r w:rsidRPr="00744885">
        <w:t xml:space="preserve"> Bering Sea</w:t>
      </w:r>
      <w:r w:rsidR="0024271A" w:rsidRPr="002B7E6B">
        <w:rPr>
          <w:sz w:val="22"/>
          <w:szCs w:val="22"/>
        </w:rPr>
        <w:t xml:space="preserve"> – </w:t>
      </w:r>
      <w:r w:rsidRPr="00744885">
        <w:t>MACE</w:t>
      </w:r>
      <w:bookmarkEnd w:id="21"/>
      <w:r w:rsidRPr="00744885">
        <w:t xml:space="preserve"> </w:t>
      </w:r>
    </w:p>
    <w:p w14:paraId="2485124A" w14:textId="77777777" w:rsidR="00744885" w:rsidRPr="00744885" w:rsidRDefault="00744885" w:rsidP="00744885">
      <w:pPr>
        <w:spacing w:before="240" w:after="240"/>
        <w:rPr>
          <w:rFonts w:eastAsia="Calibri"/>
          <w:sz w:val="22"/>
          <w:szCs w:val="22"/>
        </w:rPr>
      </w:pPr>
      <w:r w:rsidRPr="00744885">
        <w:rPr>
          <w:rFonts w:eastAsia="Calibri"/>
          <w:sz w:val="22"/>
          <w:szCs w:val="22"/>
        </w:rPr>
        <w:t xml:space="preserve">The MACE Program conducted an acoustic-trawl survey of Eastern Bering Sea shelf age-1 and older walleye pollock (“pollock”; </w:t>
      </w:r>
      <w:r w:rsidRPr="00744885">
        <w:rPr>
          <w:rFonts w:eastAsia="Calibri"/>
          <w:i/>
          <w:sz w:val="22"/>
          <w:szCs w:val="22"/>
        </w:rPr>
        <w:t>Gadus chalcogrammus</w:t>
      </w:r>
      <w:r w:rsidRPr="00744885">
        <w:rPr>
          <w:rFonts w:eastAsia="Calibri"/>
          <w:sz w:val="22"/>
          <w:szCs w:val="22"/>
        </w:rPr>
        <w:t xml:space="preserve">) between 2 June and 5 August 2022.  Midwater </w:t>
      </w:r>
      <w:r w:rsidRPr="00744885">
        <w:rPr>
          <w:rFonts w:eastAsia="Calibri"/>
          <w:sz w:val="22"/>
          <w:szCs w:val="22"/>
        </w:rPr>
        <w:lastRenderedPageBreak/>
        <w:t xml:space="preserve">abundance and distribution </w:t>
      </w:r>
      <w:proofErr w:type="gramStart"/>
      <w:r w:rsidRPr="00744885">
        <w:rPr>
          <w:rFonts w:eastAsia="Calibri"/>
          <w:sz w:val="22"/>
          <w:szCs w:val="22"/>
        </w:rPr>
        <w:t>were assessed</w:t>
      </w:r>
      <w:proofErr w:type="gramEnd"/>
      <w:r w:rsidRPr="00744885">
        <w:rPr>
          <w:rFonts w:eastAsia="Calibri"/>
          <w:sz w:val="22"/>
          <w:szCs w:val="22"/>
        </w:rPr>
        <w:t xml:space="preserve"> from Bristol Bay to the U.S.-Russia Convention Line using acoustic-trawl survey methods aboard the NOAA ship </w:t>
      </w:r>
      <w:r w:rsidRPr="00744885">
        <w:rPr>
          <w:rFonts w:eastAsia="Calibri"/>
          <w:i/>
          <w:sz w:val="22"/>
          <w:szCs w:val="22"/>
        </w:rPr>
        <w:t>Oscar Dyson</w:t>
      </w:r>
      <w:r w:rsidRPr="00744885">
        <w:rPr>
          <w:rFonts w:eastAsia="Calibri"/>
          <w:sz w:val="22"/>
          <w:szCs w:val="22"/>
        </w:rPr>
        <w:t>, a 64-m stern trawler equipped for fisheries and oceanographic research.  This survey has been conducted since 1979</w:t>
      </w:r>
      <w:proofErr w:type="gramStart"/>
      <w:r w:rsidRPr="00744885">
        <w:rPr>
          <w:rFonts w:eastAsia="Calibri"/>
          <w:sz w:val="22"/>
          <w:szCs w:val="22"/>
        </w:rPr>
        <w:t>;</w:t>
      </w:r>
      <w:proofErr w:type="gramEnd"/>
      <w:r w:rsidRPr="00744885">
        <w:rPr>
          <w:rFonts w:eastAsia="Calibri"/>
          <w:sz w:val="22"/>
          <w:szCs w:val="22"/>
        </w:rPr>
        <w:t xml:space="preserve"> triennially through 1994, and biennially or annually since then. The survey design covered the EBS shelf between roughly the 50-60 m and 200 m isobaths, from 162° W to the U.S.–Russian Convention line. The adjoining Russian portion of the EBS shelf was not </w:t>
      </w:r>
      <w:proofErr w:type="gramStart"/>
      <w:r w:rsidRPr="00744885">
        <w:rPr>
          <w:rFonts w:eastAsia="Calibri"/>
          <w:sz w:val="22"/>
          <w:szCs w:val="22"/>
        </w:rPr>
        <w:t>surveyed</w:t>
      </w:r>
      <w:proofErr w:type="gramEnd"/>
      <w:r w:rsidRPr="00744885">
        <w:rPr>
          <w:rFonts w:eastAsia="Calibri"/>
          <w:sz w:val="22"/>
          <w:szCs w:val="22"/>
        </w:rPr>
        <w:t xml:space="preserve"> as permission to survey that region was not granted in 2022.  The survey design initially consisted of 28 north-south oriented parallel transects spaced 20 nmi apart over the Bering Sea shelf from 162° W (west of Port Moller, Alaska) to about 178° 20 E (i.e., the “core area”), surveyed over 3 legs. The initial plan </w:t>
      </w:r>
      <w:proofErr w:type="gramStart"/>
      <w:r w:rsidRPr="00744885">
        <w:rPr>
          <w:rFonts w:eastAsia="Calibri"/>
          <w:sz w:val="22"/>
          <w:szCs w:val="22"/>
        </w:rPr>
        <w:t>was amended</w:t>
      </w:r>
      <w:proofErr w:type="gramEnd"/>
      <w:r w:rsidRPr="00744885">
        <w:rPr>
          <w:rFonts w:eastAsia="Calibri"/>
          <w:sz w:val="22"/>
          <w:szCs w:val="22"/>
        </w:rPr>
        <w:t xml:space="preserve"> with the following three changes:  </w:t>
      </w:r>
    </w:p>
    <w:p w14:paraId="201B65F8" w14:textId="77777777" w:rsidR="00744885" w:rsidRPr="00744885" w:rsidRDefault="00744885" w:rsidP="00744885">
      <w:pPr>
        <w:spacing w:before="240" w:after="240"/>
        <w:ind w:left="540"/>
        <w:rPr>
          <w:rFonts w:eastAsia="Calibri"/>
          <w:sz w:val="22"/>
          <w:szCs w:val="22"/>
        </w:rPr>
      </w:pPr>
      <w:r w:rsidRPr="00744885">
        <w:rPr>
          <w:rFonts w:eastAsia="Calibri"/>
          <w:sz w:val="22"/>
          <w:szCs w:val="22"/>
        </w:rPr>
        <w:t xml:space="preserve">1) due to </w:t>
      </w:r>
      <w:r w:rsidRPr="00744885">
        <w:rPr>
          <w:rFonts w:eastAsia="Calibri"/>
          <w:i/>
          <w:sz w:val="22"/>
          <w:szCs w:val="22"/>
        </w:rPr>
        <w:t>Oscar Dyson</w:t>
      </w:r>
      <w:r w:rsidRPr="00744885">
        <w:rPr>
          <w:rFonts w:eastAsia="Calibri"/>
          <w:sz w:val="22"/>
          <w:szCs w:val="22"/>
        </w:rPr>
        <w:t xml:space="preserve"> potentially only being able to provide sufficient crew for survey operations on 2 of the legs, the odd transects were dropped, resulting in 14 north-south oriented parallel transects spaced 40 nmi apart over the core area, surveyed over 2 legs. Near the end of Leg 2, there was enough time remaining to increase sampling density, so the NW core area was sampled at 20 nmi resolution over 5 transects (i.e., transects 25-28 in the initial plan);</w:t>
      </w:r>
    </w:p>
    <w:p w14:paraId="5623A0B3" w14:textId="77777777" w:rsidR="00744885" w:rsidRPr="00744885" w:rsidRDefault="00744885" w:rsidP="00744885">
      <w:pPr>
        <w:spacing w:before="240" w:after="240"/>
        <w:ind w:left="540"/>
        <w:rPr>
          <w:rFonts w:eastAsia="Calibri"/>
          <w:sz w:val="22"/>
          <w:szCs w:val="22"/>
        </w:rPr>
      </w:pPr>
      <w:proofErr w:type="gramStart"/>
      <w:r w:rsidRPr="00744885">
        <w:rPr>
          <w:rFonts w:eastAsia="Calibri"/>
          <w:sz w:val="22"/>
          <w:szCs w:val="22"/>
        </w:rPr>
        <w:t>2) ultimately, the Dyson was able to provide crew for Leg 3, so a northern extension beyond the core survey area (i.e., “northern extension”) was conducted, based on observations of pollock extending north of the core survey area in 2016 and 2018 (Honkalehto et al. 2018, McCarthy et al. 2022), saildrone observations (Mordy et al. 2017), and analysis of fish backscatter data collected in this northern region from the NOAA summer EBS bottom trawl survey in 2017.</w:t>
      </w:r>
      <w:proofErr w:type="gramEnd"/>
      <w:r w:rsidRPr="00744885">
        <w:rPr>
          <w:rFonts w:eastAsia="Calibri"/>
          <w:sz w:val="22"/>
          <w:szCs w:val="22"/>
        </w:rPr>
        <w:t xml:space="preserve"> This was done by extending the 11 eastern core transects (i.e., those transects whose northern terminus did not end at the US-Russian convention line) northward to water depths of ~40 m; and, </w:t>
      </w:r>
    </w:p>
    <w:p w14:paraId="2FD8E96A" w14:textId="77777777" w:rsidR="00744885" w:rsidRPr="00744885" w:rsidRDefault="00744885" w:rsidP="00744885">
      <w:pPr>
        <w:spacing w:before="240" w:after="240"/>
        <w:ind w:left="540"/>
        <w:rPr>
          <w:rFonts w:eastAsia="Calibri"/>
          <w:sz w:val="22"/>
          <w:szCs w:val="22"/>
        </w:rPr>
      </w:pPr>
      <w:r w:rsidRPr="00744885">
        <w:rPr>
          <w:rFonts w:eastAsia="Calibri"/>
          <w:sz w:val="22"/>
          <w:szCs w:val="22"/>
        </w:rPr>
        <w:t xml:space="preserve">3) </w:t>
      </w:r>
      <w:proofErr w:type="gramStart"/>
      <w:r w:rsidRPr="00744885">
        <w:rPr>
          <w:rFonts w:eastAsia="Calibri"/>
          <w:sz w:val="22"/>
          <w:szCs w:val="22"/>
        </w:rPr>
        <w:t>two</w:t>
      </w:r>
      <w:proofErr w:type="gramEnd"/>
      <w:r w:rsidRPr="00744885">
        <w:rPr>
          <w:rFonts w:eastAsia="Calibri"/>
          <w:sz w:val="22"/>
          <w:szCs w:val="22"/>
        </w:rPr>
        <w:t xml:space="preserve"> cross-shelf transects were surveyed enroute back to port at the end of the survey to examine spatial variability of pollock in the core area. Results of this cross-transect work will be reported elsewhere. </w:t>
      </w:r>
    </w:p>
    <w:p w14:paraId="2F7F610C" w14:textId="77777777" w:rsidR="00744885" w:rsidRPr="00744885" w:rsidRDefault="00744885" w:rsidP="00744885">
      <w:pPr>
        <w:spacing w:before="240" w:after="240"/>
        <w:rPr>
          <w:rFonts w:eastAsia="Calibri"/>
          <w:sz w:val="22"/>
          <w:szCs w:val="22"/>
        </w:rPr>
      </w:pPr>
      <w:r w:rsidRPr="00744885">
        <w:rPr>
          <w:rFonts w:eastAsia="Calibri"/>
          <w:sz w:val="22"/>
          <w:szCs w:val="22"/>
        </w:rPr>
        <w:t xml:space="preserve">The primary survey objective was to collect daytime 38 kHz acoustic backscatter and trawl data to estimate the abundance of pollock.  An estimate of the distribution and abundance of euphausiids (“krill”, mainly </w:t>
      </w:r>
      <w:r w:rsidRPr="00744885">
        <w:rPr>
          <w:rFonts w:eastAsia="Calibri"/>
          <w:i/>
          <w:sz w:val="22"/>
          <w:szCs w:val="22"/>
        </w:rPr>
        <w:t>Thysanoessa</w:t>
      </w:r>
      <w:r w:rsidRPr="00744885">
        <w:rPr>
          <w:rFonts w:eastAsia="Calibri"/>
          <w:sz w:val="22"/>
          <w:szCs w:val="22"/>
        </w:rPr>
        <w:t xml:space="preserve"> spp.) </w:t>
      </w:r>
      <w:proofErr w:type="gramStart"/>
      <w:r w:rsidRPr="00744885">
        <w:rPr>
          <w:rFonts w:eastAsia="Calibri"/>
          <w:sz w:val="22"/>
          <w:szCs w:val="22"/>
        </w:rPr>
        <w:t>was also produced</w:t>
      </w:r>
      <w:proofErr w:type="gramEnd"/>
      <w:r w:rsidRPr="00744885">
        <w:rPr>
          <w:rFonts w:eastAsia="Calibri"/>
          <w:sz w:val="22"/>
          <w:szCs w:val="22"/>
        </w:rPr>
        <w:t xml:space="preserve">. Sampling devices used during the survey include an LFS1421 trawl (LFS) rigged with pocket nets to estimate fish escapement and a trawl-mounted stereo camera (CamTrawl) designed to identify species and determine size and density of animals as they pass by the camera during a haul; an 83-112 Eastern bottom trawl without roller gear; and a Methot trawl. Additional survey sampling included conductivity-temperature-depth (CTD) measurements to characterize the Bering Sea shelf temperature conditions. Two moorings </w:t>
      </w:r>
      <w:proofErr w:type="gramStart"/>
      <w:r w:rsidRPr="00744885">
        <w:rPr>
          <w:rFonts w:eastAsia="Calibri"/>
          <w:sz w:val="22"/>
          <w:szCs w:val="22"/>
        </w:rPr>
        <w:t>were also retrieved and/or deployed for the National Marine Mammal Laboratory (NMML) researchers during the survey</w:t>
      </w:r>
      <w:proofErr w:type="gramEnd"/>
      <w:r w:rsidRPr="00744885">
        <w:rPr>
          <w:rFonts w:eastAsia="Calibri"/>
          <w:sz w:val="22"/>
          <w:szCs w:val="22"/>
        </w:rPr>
        <w:t>.</w:t>
      </w:r>
    </w:p>
    <w:p w14:paraId="51040930" w14:textId="77777777" w:rsidR="00744885" w:rsidRPr="00744885" w:rsidRDefault="00744885" w:rsidP="00744885">
      <w:pPr>
        <w:spacing w:before="240" w:after="240"/>
        <w:rPr>
          <w:rFonts w:eastAsia="Calibri"/>
          <w:sz w:val="22"/>
          <w:szCs w:val="22"/>
        </w:rPr>
      </w:pPr>
      <w:r w:rsidRPr="00744885">
        <w:rPr>
          <w:rFonts w:eastAsia="Calibri"/>
          <w:sz w:val="22"/>
          <w:szCs w:val="22"/>
        </w:rPr>
        <w:t xml:space="preserve">Biological data and specimens </w:t>
      </w:r>
      <w:proofErr w:type="gramStart"/>
      <w:r w:rsidRPr="00744885">
        <w:rPr>
          <w:rFonts w:eastAsia="Calibri"/>
          <w:sz w:val="22"/>
          <w:szCs w:val="22"/>
        </w:rPr>
        <w:t>were collected</w:t>
      </w:r>
      <w:proofErr w:type="gramEnd"/>
      <w:r w:rsidRPr="00744885">
        <w:rPr>
          <w:rFonts w:eastAsia="Calibri"/>
          <w:sz w:val="22"/>
          <w:szCs w:val="22"/>
        </w:rPr>
        <w:t xml:space="preserve"> from 43 and 16 LFS trawl hauls in the core area and northern extension, respectively. Additional specimens were collected from </w:t>
      </w:r>
      <w:proofErr w:type="gramStart"/>
      <w:r w:rsidRPr="00744885">
        <w:rPr>
          <w:rFonts w:eastAsia="Calibri"/>
          <w:sz w:val="22"/>
          <w:szCs w:val="22"/>
        </w:rPr>
        <w:t>2</w:t>
      </w:r>
      <w:proofErr w:type="gramEnd"/>
      <w:r w:rsidRPr="00744885">
        <w:rPr>
          <w:rFonts w:eastAsia="Calibri"/>
          <w:sz w:val="22"/>
          <w:szCs w:val="22"/>
        </w:rPr>
        <w:t xml:space="preserve"> and 1 bottom trawls in the core area and northern extension, respectively. All of these hauls targeted backscatter believed to be pollock during a daily 12-hour daytime window for species classification and length-frequency distribution. Four Methot tows targeted backscatter believed to be euphausiids.  CamTrawl image data were successfully collected for all LFS hauls. Among midwater hauls in the core area, pollock was the most abundant species by weight (89.0%) and by number (93.8%), followed by Pacific ocean perch (</w:t>
      </w:r>
      <w:r w:rsidRPr="00744885">
        <w:rPr>
          <w:rFonts w:eastAsia="Calibri"/>
          <w:i/>
          <w:sz w:val="22"/>
          <w:szCs w:val="22"/>
        </w:rPr>
        <w:t>Sebastes alutus</w:t>
      </w:r>
      <w:r w:rsidRPr="00744885">
        <w:rPr>
          <w:rFonts w:eastAsia="Calibri"/>
          <w:sz w:val="22"/>
          <w:szCs w:val="22"/>
        </w:rPr>
        <w:t>; 5.4% by weight and 2.4% by number) and northern sea nettle jellyfish (</w:t>
      </w:r>
      <w:r w:rsidRPr="00744885">
        <w:rPr>
          <w:rFonts w:eastAsia="Calibri"/>
          <w:i/>
          <w:sz w:val="22"/>
          <w:szCs w:val="22"/>
        </w:rPr>
        <w:t>Chrysaora melanaster</w:t>
      </w:r>
      <w:r w:rsidRPr="00744885">
        <w:rPr>
          <w:rFonts w:eastAsia="Calibri"/>
          <w:sz w:val="22"/>
          <w:szCs w:val="22"/>
        </w:rPr>
        <w:t xml:space="preserve">; 5.2% by weight and 3.2% by number). Among bottom trawls done in the core area, pollock was the most abundant species by weight (82.9%) and by number (89.3%), followed by northern sea nettle jellyfish (9.8% by weight and 3.8% by number). Among midwater hauls in the northern extension, pollock was the most abundant species by weight (48.4%) followed by northern sea nettle jellyfish (25.4%), but pollock born earlier in 2022 (“age-0 pollock”) was the most abundant organism by number </w:t>
      </w:r>
      <w:r w:rsidRPr="00744885">
        <w:rPr>
          <w:rFonts w:eastAsia="Calibri"/>
          <w:sz w:val="22"/>
          <w:szCs w:val="22"/>
        </w:rPr>
        <w:lastRenderedPageBreak/>
        <w:t>(99.7%). In the bottom trawl done in the northern extension, yellowfin sole (</w:t>
      </w:r>
      <w:r w:rsidRPr="00744885">
        <w:rPr>
          <w:rFonts w:eastAsia="Calibri"/>
          <w:i/>
          <w:sz w:val="22"/>
          <w:szCs w:val="22"/>
        </w:rPr>
        <w:t>Limonda aspera</w:t>
      </w:r>
      <w:r w:rsidRPr="00744885">
        <w:rPr>
          <w:rFonts w:eastAsia="Calibri"/>
          <w:sz w:val="22"/>
          <w:szCs w:val="22"/>
        </w:rPr>
        <w:t>) was the most abundant species by weight (9.9%) followed by pollock (4.1%), but again, age-0 pollock was the most abundant organism by number (93.1%).</w:t>
      </w:r>
    </w:p>
    <w:p w14:paraId="3C9A39E2" w14:textId="30788A21" w:rsidR="00744885" w:rsidRPr="00744885" w:rsidRDefault="00744885" w:rsidP="00744885">
      <w:pPr>
        <w:spacing w:before="240" w:after="240"/>
        <w:rPr>
          <w:rFonts w:eastAsia="Calibri"/>
          <w:sz w:val="22"/>
          <w:szCs w:val="22"/>
        </w:rPr>
      </w:pPr>
      <w:r w:rsidRPr="00744885">
        <w:rPr>
          <w:rFonts w:eastAsia="Calibri"/>
          <w:sz w:val="22"/>
          <w:szCs w:val="22"/>
        </w:rPr>
        <w:t>Temperature measurements during the 2022 survey produced an estimated mean SST of 7.4 (range 3.4°-10.1°C). The estimate was similar to that since 2014 (mean SST range 6.4°- 12.4°C), and warmer than sea surface temperatures in previous cold years 2006-2012 (SST means between 4.9°</w:t>
      </w:r>
      <w:r w:rsidR="0024271A">
        <w:rPr>
          <w:rFonts w:eastAsia="Calibri"/>
          <w:sz w:val="22"/>
          <w:szCs w:val="22"/>
        </w:rPr>
        <w:t xml:space="preserve"> – </w:t>
      </w:r>
      <w:r w:rsidRPr="00744885">
        <w:rPr>
          <w:rFonts w:eastAsia="Calibri"/>
          <w:sz w:val="22"/>
          <w:szCs w:val="22"/>
        </w:rPr>
        <w:t>6.8°C). Temperature profiles from conductivity-temperature-depth (CTD) casts and trawling indicated bottom water temperatures characteristic of the ‘cold pool’ (&lt; 2°C) on the shelf north and west of the Pribilof Islands.</w:t>
      </w:r>
    </w:p>
    <w:p w14:paraId="6145D951" w14:textId="77777777" w:rsidR="00744885" w:rsidRPr="00744885" w:rsidRDefault="00744885" w:rsidP="00744885">
      <w:pPr>
        <w:spacing w:before="240" w:after="240"/>
        <w:rPr>
          <w:rFonts w:eastAsia="Calibri"/>
          <w:sz w:val="22"/>
          <w:szCs w:val="22"/>
        </w:rPr>
      </w:pPr>
      <w:r w:rsidRPr="00744885">
        <w:rPr>
          <w:rFonts w:eastAsia="Calibri"/>
          <w:sz w:val="22"/>
          <w:szCs w:val="22"/>
        </w:rPr>
        <w:t xml:space="preserve">About 55% of the summed acoustic backscatter observed in the core survey area between 16 m below the surface and 3 m off bottom (the midwater layer) during the 2022 survey </w:t>
      </w:r>
      <w:proofErr w:type="gramStart"/>
      <w:r w:rsidRPr="00744885">
        <w:rPr>
          <w:rFonts w:eastAsia="Calibri"/>
          <w:sz w:val="22"/>
          <w:szCs w:val="22"/>
        </w:rPr>
        <w:t>was attributed</w:t>
      </w:r>
      <w:proofErr w:type="gramEnd"/>
      <w:r w:rsidRPr="00744885">
        <w:rPr>
          <w:rFonts w:eastAsia="Calibri"/>
          <w:sz w:val="22"/>
          <w:szCs w:val="22"/>
        </w:rPr>
        <w:t xml:space="preserve"> to pollock. This was higher than the percentage of pollock observed in 2018 (35%), less than that observed in 2010 (82%), and similar to that observed in between (2016 (52%), 2014 (45%) and 2012 (56%). The remaining non-pollock midwater backscatter </w:t>
      </w:r>
      <w:proofErr w:type="gramStart"/>
      <w:r w:rsidRPr="00744885">
        <w:rPr>
          <w:rFonts w:eastAsia="Calibri"/>
          <w:sz w:val="22"/>
          <w:szCs w:val="22"/>
        </w:rPr>
        <w:t>was attributed</w:t>
      </w:r>
      <w:proofErr w:type="gramEnd"/>
      <w:r w:rsidRPr="00744885">
        <w:rPr>
          <w:rFonts w:eastAsia="Calibri"/>
          <w:sz w:val="22"/>
          <w:szCs w:val="22"/>
        </w:rPr>
        <w:t xml:space="preserve"> to an undifferentiated plankton-fishes mixture (33%), or in a few isolated areas, to other fishes (0.05%). In the northern extension area, about 43% of the backscatter </w:t>
      </w:r>
      <w:proofErr w:type="gramStart"/>
      <w:r w:rsidRPr="00744885">
        <w:rPr>
          <w:rFonts w:eastAsia="Calibri"/>
          <w:sz w:val="22"/>
          <w:szCs w:val="22"/>
        </w:rPr>
        <w:t>was attributed</w:t>
      </w:r>
      <w:proofErr w:type="gramEnd"/>
      <w:r w:rsidRPr="00744885">
        <w:rPr>
          <w:rFonts w:eastAsia="Calibri"/>
          <w:sz w:val="22"/>
          <w:szCs w:val="22"/>
        </w:rPr>
        <w:t xml:space="preserve"> to age-1+ pollock. Pollock </w:t>
      </w:r>
      <w:proofErr w:type="gramStart"/>
      <w:r w:rsidRPr="00744885">
        <w:rPr>
          <w:rFonts w:eastAsia="Calibri"/>
          <w:sz w:val="22"/>
          <w:szCs w:val="22"/>
        </w:rPr>
        <w:t>were observed</w:t>
      </w:r>
      <w:proofErr w:type="gramEnd"/>
      <w:r w:rsidRPr="00744885">
        <w:rPr>
          <w:rFonts w:eastAsia="Calibri"/>
          <w:sz w:val="22"/>
          <w:szCs w:val="22"/>
        </w:rPr>
        <w:t xml:space="preserve"> in a variety of aggregations including near-bottom layers, small dense schools (cherry balls) in midwater, and diffuse aggregations of individual fish.  The near-bottom analysis (Lauffenburger et al. 2017) attributed ~ 78% of the backscatter in the near-bottom zone (0.5-3.0 m above the seafloor) in the core survey area to pollock, and ~86% of the backscatter in the near-bottom of the northern extension area to pollock.</w:t>
      </w:r>
    </w:p>
    <w:p w14:paraId="04C77E36" w14:textId="77777777" w:rsidR="00744885" w:rsidRPr="00744885" w:rsidRDefault="00744885" w:rsidP="00744885">
      <w:pPr>
        <w:spacing w:before="240" w:after="240"/>
        <w:rPr>
          <w:rFonts w:eastAsia="Calibri"/>
          <w:sz w:val="22"/>
          <w:szCs w:val="22"/>
        </w:rPr>
      </w:pPr>
      <w:r w:rsidRPr="00744885">
        <w:rPr>
          <w:rFonts w:eastAsia="Calibri"/>
          <w:sz w:val="22"/>
          <w:szCs w:val="22"/>
        </w:rPr>
        <w:t xml:space="preserve">Estimated numbers and biomass of age-1+ pollock in midwater to within 0.5 m of the bottom along the U.S. Bering Sea shelf in the core survey area were 9.67 billion fish weighing 3.83 million metric tons (t). This 2022 biomass estimate represents just over a 50% increase from the estimate of 5.57 billion fish with a biomass of 2.50 million t in 2018, the last time a standard acoustic-trawl survey </w:t>
      </w:r>
      <w:proofErr w:type="gramStart"/>
      <w:r w:rsidRPr="00744885">
        <w:rPr>
          <w:rFonts w:eastAsia="Calibri"/>
          <w:sz w:val="22"/>
          <w:szCs w:val="22"/>
        </w:rPr>
        <w:t>was conducted</w:t>
      </w:r>
      <w:proofErr w:type="gramEnd"/>
      <w:r w:rsidRPr="00744885">
        <w:rPr>
          <w:rFonts w:eastAsia="Calibri"/>
          <w:sz w:val="22"/>
          <w:szCs w:val="22"/>
        </w:rPr>
        <w:t xml:space="preserve"> on the eastern Bering Sea shelf. This is a 6% increase over the estimate of 3.6 million tons in 2020 made by the acoustics-only Saildrone survey (De Robertis et al. 2021). The relative estimation error for the core area U.S. EEZ pollock biomass estimate for the entire water column was 0.068, which was almost double that of 2018 (0.039), and is largely a result of increasing the transect spacing by 100% in most of the core area in 2022. Pollock east of 170° W numbered 2.99 billion fish and weighed 1.36 million t (36% of the total biomass found in the core survey area, and 31% of the biomass found shelf-wide, including the northern extension). Four year-old pollock composed 59% of the biomass east of 170° W. Pollock abundance west of 170° W was 6.68 billion fish weighing 2.47 million t (64% of total </w:t>
      </w:r>
      <w:proofErr w:type="gramStart"/>
      <w:r w:rsidRPr="00744885">
        <w:rPr>
          <w:rFonts w:eastAsia="Calibri"/>
          <w:sz w:val="22"/>
          <w:szCs w:val="22"/>
        </w:rPr>
        <w:t>core survey area biomass</w:t>
      </w:r>
      <w:proofErr w:type="gramEnd"/>
      <w:r w:rsidRPr="00744885">
        <w:rPr>
          <w:rFonts w:eastAsia="Calibri"/>
          <w:sz w:val="22"/>
          <w:szCs w:val="22"/>
        </w:rPr>
        <w:t xml:space="preserve"> and 57% of the shelf-wide biomass, including the northern extension). Four year-old pollock composed 68% of the biomass west of 170° W. Very few 1 and 2 year old pollock were observed in the core area (they composed 1.5% of the core survey area biomass). Pollock biomass increased inside the SCA from 0.23 million t in 2018 to 0.54 million t in 2022. The pollock biomass within the SCA in 2022 was the same as it was in 2016 (0.54 million t).  Estimates for the entire core area and the SCA correlate well (r</w:t>
      </w:r>
      <w:r w:rsidRPr="00744885">
        <w:rPr>
          <w:rFonts w:eastAsia="Calibri"/>
          <w:sz w:val="22"/>
          <w:szCs w:val="22"/>
          <w:vertAlign w:val="superscript"/>
        </w:rPr>
        <w:t>2</w:t>
      </w:r>
      <w:r w:rsidRPr="00744885">
        <w:rPr>
          <w:rFonts w:eastAsia="Calibri"/>
          <w:sz w:val="22"/>
          <w:szCs w:val="22"/>
        </w:rPr>
        <w:t xml:space="preserve"> = 0.72) throughout the 1994-2022 time series.  The pollock estimate in the northern extension area was 76.6 million fish weighing 0.54 million metric tons, contributing an additional 14% by number and weight compared with the amount of pollock estimated within the core survey area. In the northern extension, fish were sparsely but evenly distributed between the 50- and 100-m isobaths.  </w:t>
      </w:r>
    </w:p>
    <w:p w14:paraId="7441833A" w14:textId="77777777" w:rsidR="00744885" w:rsidRPr="00744885" w:rsidRDefault="00744885" w:rsidP="00744885">
      <w:pPr>
        <w:spacing w:before="240" w:after="240"/>
        <w:rPr>
          <w:rFonts w:eastAsia="Calibri"/>
          <w:sz w:val="22"/>
          <w:szCs w:val="22"/>
        </w:rPr>
      </w:pPr>
      <w:r w:rsidRPr="00744885">
        <w:rPr>
          <w:rFonts w:eastAsia="Calibri"/>
          <w:sz w:val="22"/>
          <w:szCs w:val="22"/>
        </w:rPr>
        <w:t xml:space="preserve">Pollock length compositions differed slightly between the east and west core area.  East of 170° W, pollock in the core area ranged between 30 and 50 cm FL with a mode of 40 cm. West of 170° W, pollock in the core area ranged between 30 and 50 cm FL with a mode of 36 cm.  Very few fish smaller than 30 cm </w:t>
      </w:r>
      <w:proofErr w:type="gramStart"/>
      <w:r w:rsidRPr="00744885">
        <w:rPr>
          <w:rFonts w:eastAsia="Calibri"/>
          <w:sz w:val="22"/>
          <w:szCs w:val="22"/>
        </w:rPr>
        <w:t>were observed</w:t>
      </w:r>
      <w:proofErr w:type="gramEnd"/>
      <w:r w:rsidRPr="00744885">
        <w:rPr>
          <w:rFonts w:eastAsia="Calibri"/>
          <w:sz w:val="22"/>
          <w:szCs w:val="22"/>
        </w:rPr>
        <w:t xml:space="preserve"> in the core area. Pollock in the northern extension ranged between 35 and 60 cm FL with a mode of 50 cm.</w:t>
      </w:r>
    </w:p>
    <w:p w14:paraId="0D73AB06" w14:textId="77777777" w:rsidR="00744885" w:rsidRPr="00744885" w:rsidRDefault="00744885" w:rsidP="00744885">
      <w:pPr>
        <w:spacing w:before="240" w:after="240"/>
        <w:rPr>
          <w:rFonts w:eastAsia="Calibri"/>
          <w:sz w:val="22"/>
          <w:szCs w:val="22"/>
        </w:rPr>
      </w:pPr>
      <w:r w:rsidRPr="00744885">
        <w:rPr>
          <w:rFonts w:eastAsia="Calibri"/>
          <w:sz w:val="22"/>
          <w:szCs w:val="22"/>
        </w:rPr>
        <w:t>Literature Cited (for summer EBS survey)</w:t>
      </w:r>
    </w:p>
    <w:p w14:paraId="2974BB6E" w14:textId="77777777" w:rsidR="00744885" w:rsidRPr="00744885" w:rsidRDefault="00744885" w:rsidP="00744885">
      <w:pPr>
        <w:spacing w:before="240" w:after="240"/>
        <w:ind w:left="720" w:hanging="720"/>
        <w:rPr>
          <w:rFonts w:eastAsia="Calibri"/>
          <w:sz w:val="22"/>
          <w:szCs w:val="22"/>
          <w:highlight w:val="white"/>
        </w:rPr>
      </w:pPr>
      <w:r w:rsidRPr="00744885">
        <w:rPr>
          <w:rFonts w:eastAsia="Calibri"/>
          <w:sz w:val="22"/>
          <w:szCs w:val="22"/>
        </w:rPr>
        <w:lastRenderedPageBreak/>
        <w:t xml:space="preserve">De Robertis, A., M. Levine, N. Lauffenburger, T. Honkalehto, J. Ianelli, C. Monnahan, R. Towler, D. Jones, S. Stienessen, and D. McKelvey. 2021. Uncrewed surface vehicle (USV) survey of walleye pollock, </w:t>
      </w:r>
      <w:r w:rsidRPr="00744885">
        <w:rPr>
          <w:rFonts w:eastAsia="Calibri"/>
          <w:i/>
          <w:sz w:val="22"/>
          <w:szCs w:val="22"/>
        </w:rPr>
        <w:t>Gadus chalcogrammus</w:t>
      </w:r>
      <w:r w:rsidRPr="00744885">
        <w:rPr>
          <w:rFonts w:eastAsia="Calibri"/>
          <w:sz w:val="22"/>
          <w:szCs w:val="22"/>
        </w:rPr>
        <w:t xml:space="preserve">, in response to the cancellation of ship-based surveys. ICES J. Mar. Sci. </w:t>
      </w:r>
      <w:r w:rsidRPr="00744885">
        <w:rPr>
          <w:rFonts w:eastAsia="Calibri"/>
          <w:sz w:val="22"/>
          <w:szCs w:val="22"/>
          <w:highlight w:val="white"/>
        </w:rPr>
        <w:t>https://doi.org/10.1093/icesjms/fsab155</w:t>
      </w:r>
    </w:p>
    <w:p w14:paraId="0C52DEBD" w14:textId="181AA661" w:rsidR="00744885" w:rsidRPr="00744885" w:rsidRDefault="00744885" w:rsidP="00744885">
      <w:pPr>
        <w:spacing w:before="240" w:after="240"/>
        <w:ind w:left="720" w:hanging="720"/>
        <w:rPr>
          <w:rFonts w:eastAsia="Calibri"/>
          <w:sz w:val="22"/>
          <w:szCs w:val="22"/>
        </w:rPr>
      </w:pPr>
      <w:r w:rsidRPr="00744885">
        <w:rPr>
          <w:rFonts w:eastAsia="Calibri"/>
          <w:sz w:val="22"/>
          <w:szCs w:val="22"/>
        </w:rPr>
        <w:t>Honkalehto, T., A. McCarthy, and N. Lauffenburger. 2018. Results of the acoustic-trawl survey of walleye pollock (</w:t>
      </w:r>
      <w:r w:rsidRPr="00744885">
        <w:rPr>
          <w:rFonts w:eastAsia="Calibri"/>
          <w:i/>
          <w:sz w:val="22"/>
          <w:szCs w:val="22"/>
        </w:rPr>
        <w:t>Gadus chalcogrammus</w:t>
      </w:r>
      <w:r w:rsidRPr="00744885">
        <w:rPr>
          <w:rFonts w:eastAsia="Calibri"/>
          <w:sz w:val="22"/>
          <w:szCs w:val="22"/>
        </w:rPr>
        <w:t>) on the U.S. Bering Sea shelf in June</w:t>
      </w:r>
      <w:r w:rsidR="0024271A">
        <w:rPr>
          <w:rFonts w:eastAsia="Calibri"/>
          <w:sz w:val="22"/>
          <w:szCs w:val="22"/>
        </w:rPr>
        <w:t xml:space="preserve"> – </w:t>
      </w:r>
      <w:r w:rsidRPr="00744885">
        <w:rPr>
          <w:rFonts w:eastAsia="Calibri"/>
          <w:sz w:val="22"/>
          <w:szCs w:val="22"/>
        </w:rPr>
        <w:t>August 2016 (DY1608). AFSC Processed Rep. 2018-03, 78 p. Alaska Fish. Sci. Cent., NOAA, Natl. Mar. Fish. Serv., 7600 Sand Point Way NE, Seattle WA 98115.</w:t>
      </w:r>
    </w:p>
    <w:p w14:paraId="6237AE88" w14:textId="77777777" w:rsidR="00744885" w:rsidRPr="00744885" w:rsidRDefault="00744885" w:rsidP="00744885">
      <w:pPr>
        <w:spacing w:before="240" w:after="240"/>
        <w:ind w:left="720" w:hanging="720"/>
        <w:rPr>
          <w:rFonts w:eastAsia="Calibri"/>
          <w:sz w:val="22"/>
          <w:szCs w:val="22"/>
        </w:rPr>
      </w:pPr>
      <w:r w:rsidRPr="00744885">
        <w:rPr>
          <w:rFonts w:eastAsia="Calibri"/>
          <w:sz w:val="22"/>
          <w:szCs w:val="22"/>
        </w:rPr>
        <w:t>Lauffenburger, N., A. De Robertis, S. Kotwicki. 2017. Combining bottom trawls and acoustics in a diverse semipelagic environment: What is the contribution of walleye-pollock (</w:t>
      </w:r>
      <w:r w:rsidRPr="00744885">
        <w:rPr>
          <w:rFonts w:eastAsia="Calibri"/>
          <w:i/>
          <w:sz w:val="22"/>
          <w:szCs w:val="22"/>
        </w:rPr>
        <w:t>Gadus chalcogrammus</w:t>
      </w:r>
      <w:r w:rsidRPr="00744885">
        <w:rPr>
          <w:rFonts w:eastAsia="Calibri"/>
          <w:sz w:val="22"/>
          <w:szCs w:val="22"/>
        </w:rPr>
        <w:t xml:space="preserve">) to near-bottom acoustic backscatter in the eastern Bering </w:t>
      </w:r>
      <w:proofErr w:type="gramStart"/>
      <w:r w:rsidRPr="00744885">
        <w:rPr>
          <w:rFonts w:eastAsia="Calibri"/>
          <w:sz w:val="22"/>
          <w:szCs w:val="22"/>
        </w:rPr>
        <w:t>Sea.</w:t>
      </w:r>
      <w:proofErr w:type="gramEnd"/>
      <w:r w:rsidRPr="00744885">
        <w:rPr>
          <w:rFonts w:eastAsia="Calibri"/>
          <w:sz w:val="22"/>
          <w:szCs w:val="22"/>
        </w:rPr>
        <w:t xml:space="preserve"> Can. J. Fish. Aquat. Sci. 74:256-264.</w:t>
      </w:r>
    </w:p>
    <w:p w14:paraId="0D2F8840" w14:textId="77777777" w:rsidR="00744885" w:rsidRPr="00744885" w:rsidRDefault="00744885" w:rsidP="00744885">
      <w:pPr>
        <w:spacing w:before="240" w:after="240"/>
        <w:ind w:left="720" w:hanging="720"/>
        <w:rPr>
          <w:rFonts w:eastAsia="Calibri"/>
          <w:sz w:val="22"/>
          <w:szCs w:val="22"/>
        </w:rPr>
      </w:pPr>
      <w:r w:rsidRPr="00744885">
        <w:rPr>
          <w:rFonts w:eastAsia="Calibri"/>
          <w:sz w:val="22"/>
          <w:szCs w:val="22"/>
        </w:rPr>
        <w:t>McCarthy, A., T. Honkalehto, N. Lauffenburger, and A. De Robertis. 2020. Results of the acoustic-trawl survey of walleye pollock (</w:t>
      </w:r>
      <w:r w:rsidRPr="00744885">
        <w:rPr>
          <w:rFonts w:eastAsia="Calibri"/>
          <w:i/>
          <w:sz w:val="22"/>
          <w:szCs w:val="22"/>
        </w:rPr>
        <w:t>Gadus chalcogrammus</w:t>
      </w:r>
      <w:r w:rsidRPr="00744885">
        <w:rPr>
          <w:rFonts w:eastAsia="Calibri"/>
          <w:sz w:val="22"/>
          <w:szCs w:val="22"/>
        </w:rPr>
        <w:t xml:space="preserve">) on the U. S. Bering Sea shelf in June – August 2018 (DY1807). AFSC Processed Rep. 2020-07, 83 p. Alaska Fish. Sci. Cent., NOAA, Natl. Mar. Fish. Serv., 7600 Sand Point Way NE, Seattle, WA 98115. </w:t>
      </w:r>
    </w:p>
    <w:p w14:paraId="738AC7DA" w14:textId="77777777" w:rsidR="00744885" w:rsidRPr="00744885" w:rsidRDefault="00744885" w:rsidP="00744885">
      <w:pPr>
        <w:spacing w:before="240" w:after="240"/>
        <w:ind w:left="720" w:hanging="720"/>
        <w:rPr>
          <w:rFonts w:eastAsia="Calibri"/>
          <w:sz w:val="22"/>
          <w:szCs w:val="22"/>
        </w:rPr>
      </w:pPr>
      <w:r w:rsidRPr="00744885">
        <w:rPr>
          <w:rFonts w:eastAsia="Calibri"/>
          <w:sz w:val="22"/>
          <w:szCs w:val="22"/>
        </w:rPr>
        <w:t>Mordy, C., Cokelet, E., De Robertis, A., Jenkins, R., Kuhn, C. E., Lawrence-Slavas, N., Brerchok, C., et al. 2017. Saildrone Surveys of Oceanography, Fish and Marine Mammals in the Bering Sea. Oceanography, 30(2):113-116.</w:t>
      </w:r>
    </w:p>
    <w:p w14:paraId="0C4EEFF7" w14:textId="0E38578B" w:rsidR="00DE3EE8" w:rsidRPr="002B7E6B" w:rsidRDefault="00DE3EE8" w:rsidP="00DE3EE8">
      <w:pPr>
        <w:spacing w:before="240" w:after="240"/>
        <w:rPr>
          <w:i/>
          <w:sz w:val="22"/>
          <w:szCs w:val="22"/>
        </w:rPr>
      </w:pPr>
      <w:r w:rsidRPr="002B7E6B">
        <w:rPr>
          <w:i/>
          <w:sz w:val="22"/>
          <w:szCs w:val="22"/>
        </w:rPr>
        <w:t xml:space="preserve">For more information, contact MACE Program Manager, Sandra Parker-Stetter, </w:t>
      </w:r>
      <w:hyperlink r:id="rId27">
        <w:r w:rsidRPr="002B7E6B">
          <w:rPr>
            <w:i/>
            <w:color w:val="1155CC"/>
            <w:sz w:val="22"/>
            <w:szCs w:val="22"/>
            <w:u w:val="single"/>
          </w:rPr>
          <w:t>sandy.parker-stetter@noaa.gov</w:t>
        </w:r>
      </w:hyperlink>
      <w:r w:rsidRPr="002B7E6B">
        <w:rPr>
          <w:i/>
          <w:sz w:val="22"/>
          <w:szCs w:val="22"/>
        </w:rPr>
        <w:t>.</w:t>
      </w:r>
    </w:p>
    <w:p w14:paraId="4B589200" w14:textId="77777777" w:rsidR="00DE3EE8" w:rsidRPr="002B7E6B" w:rsidRDefault="00DE3EE8" w:rsidP="00DE3EE8">
      <w:pPr>
        <w:spacing w:before="240" w:after="240"/>
        <w:rPr>
          <w:i/>
          <w:sz w:val="22"/>
          <w:szCs w:val="22"/>
        </w:rPr>
      </w:pPr>
    </w:p>
    <w:p w14:paraId="1FE5D77A" w14:textId="73E50F56" w:rsidR="00DE3EE8" w:rsidRPr="002B7E6B" w:rsidRDefault="00DE3EE8" w:rsidP="00DE3EE8">
      <w:pPr>
        <w:pStyle w:val="Heading5"/>
        <w:spacing w:before="240" w:after="240"/>
        <w:rPr>
          <w:sz w:val="22"/>
          <w:szCs w:val="22"/>
        </w:rPr>
      </w:pPr>
      <w:bookmarkStart w:id="22" w:name="_Toc131503800"/>
      <w:r w:rsidRPr="002B7E6B">
        <w:rPr>
          <w:sz w:val="22"/>
          <w:szCs w:val="22"/>
        </w:rPr>
        <w:t>Summer acoustic</w:t>
      </w:r>
      <w:r w:rsidR="0092772A">
        <w:rPr>
          <w:sz w:val="22"/>
          <w:szCs w:val="22"/>
        </w:rPr>
        <w:t xml:space="preserve"> vessel of opportunity (AVO) index for midwater Bering Sea </w:t>
      </w:r>
      <w:r w:rsidRPr="002B7E6B">
        <w:rPr>
          <w:sz w:val="22"/>
          <w:szCs w:val="22"/>
        </w:rPr>
        <w:t>pollock</w:t>
      </w:r>
      <w:r w:rsidR="0024271A">
        <w:rPr>
          <w:sz w:val="22"/>
          <w:szCs w:val="22"/>
        </w:rPr>
        <w:t xml:space="preserve"> – </w:t>
      </w:r>
      <w:r w:rsidRPr="002B7E6B">
        <w:rPr>
          <w:sz w:val="22"/>
          <w:szCs w:val="22"/>
        </w:rPr>
        <w:t>MACE</w:t>
      </w:r>
      <w:bookmarkEnd w:id="22"/>
    </w:p>
    <w:p w14:paraId="2BCBBF3F" w14:textId="77777777" w:rsidR="0092772A" w:rsidRPr="0092772A" w:rsidRDefault="0092772A" w:rsidP="0092772A">
      <w:pPr>
        <w:spacing w:before="240" w:after="240"/>
        <w:rPr>
          <w:rFonts w:eastAsia="Calibri"/>
          <w:sz w:val="22"/>
          <w:szCs w:val="22"/>
        </w:rPr>
      </w:pPr>
      <w:r w:rsidRPr="0092772A">
        <w:rPr>
          <w:rFonts w:eastAsia="Calibri"/>
          <w:sz w:val="22"/>
          <w:szCs w:val="22"/>
        </w:rPr>
        <w:t xml:space="preserve">Acoustic backscatter data (Simrad ES60, 38 kHz) were collected aboard two fishing vessels chartered for the AFSC summer 2022 EBS bottom trawl surveys (F/V </w:t>
      </w:r>
      <w:r w:rsidRPr="0092772A">
        <w:rPr>
          <w:rFonts w:eastAsia="Calibri"/>
          <w:i/>
          <w:sz w:val="22"/>
          <w:szCs w:val="22"/>
        </w:rPr>
        <w:t>Alaska Knight,</w:t>
      </w:r>
      <w:r w:rsidRPr="0092772A">
        <w:rPr>
          <w:rFonts w:eastAsia="Calibri"/>
          <w:sz w:val="22"/>
          <w:szCs w:val="22"/>
        </w:rPr>
        <w:t xml:space="preserve"> F/V </w:t>
      </w:r>
      <w:r w:rsidRPr="0092772A">
        <w:rPr>
          <w:rFonts w:eastAsia="Calibri"/>
          <w:i/>
          <w:sz w:val="22"/>
          <w:szCs w:val="22"/>
        </w:rPr>
        <w:t>Vesteraalen</w:t>
      </w:r>
      <w:r w:rsidRPr="0092772A">
        <w:rPr>
          <w:rFonts w:eastAsia="Calibri"/>
          <w:sz w:val="22"/>
          <w:szCs w:val="22"/>
        </w:rPr>
        <w:t xml:space="preserve">).  These Acoustic Vessels of Opportunity (AVO) data </w:t>
      </w:r>
      <w:proofErr w:type="gramStart"/>
      <w:r w:rsidRPr="0092772A">
        <w:rPr>
          <w:rFonts w:eastAsia="Calibri"/>
          <w:sz w:val="22"/>
          <w:szCs w:val="22"/>
        </w:rPr>
        <w:t>were processed</w:t>
      </w:r>
      <w:proofErr w:type="gramEnd"/>
      <w:r w:rsidRPr="0092772A">
        <w:rPr>
          <w:rFonts w:eastAsia="Calibri"/>
          <w:sz w:val="22"/>
          <w:szCs w:val="22"/>
        </w:rPr>
        <w:t xml:space="preserve"> according to Honkalehto et al. (2011) to provide an index of age-1+ midwater walleye pollock (</w:t>
      </w:r>
      <w:r w:rsidRPr="0092772A">
        <w:rPr>
          <w:rFonts w:eastAsia="Calibri"/>
          <w:i/>
          <w:sz w:val="22"/>
          <w:szCs w:val="22"/>
        </w:rPr>
        <w:t>Gadus chalcogrammu</w:t>
      </w:r>
      <w:r w:rsidRPr="0092772A">
        <w:rPr>
          <w:rFonts w:eastAsia="Calibri"/>
          <w:sz w:val="22"/>
          <w:szCs w:val="22"/>
        </w:rPr>
        <w:t xml:space="preserve">s) abundance for summer 2022.  The </w:t>
      </w:r>
      <w:proofErr w:type="gramStart"/>
      <w:r w:rsidRPr="0092772A">
        <w:rPr>
          <w:rFonts w:eastAsia="Calibri"/>
          <w:sz w:val="22"/>
          <w:szCs w:val="22"/>
        </w:rPr>
        <w:t>2022 AVO</w:t>
      </w:r>
      <w:proofErr w:type="gramEnd"/>
      <w:r w:rsidRPr="0092772A">
        <w:rPr>
          <w:rFonts w:eastAsia="Calibri"/>
          <w:sz w:val="22"/>
          <w:szCs w:val="22"/>
        </w:rPr>
        <w:t xml:space="preserve"> index of midwater pollock abundance on the eastern Bering Sea shelf was the highest on record, with an increase of 60% from 2019 and an increase of 16% from 2021 (no AVO estimate was made in 2020 due to the covid-19 driven cancellation of the bottom trawl survey). The AFSC biennial acoustic-trawl (AT) survey conducted using NOAA Ship </w:t>
      </w:r>
      <w:r w:rsidRPr="0092772A">
        <w:rPr>
          <w:rFonts w:eastAsia="Calibri"/>
          <w:i/>
          <w:sz w:val="22"/>
          <w:szCs w:val="22"/>
        </w:rPr>
        <w:t>Oscar Dyson</w:t>
      </w:r>
      <w:r w:rsidRPr="0092772A">
        <w:rPr>
          <w:rFonts w:eastAsia="Calibri"/>
          <w:sz w:val="22"/>
          <w:szCs w:val="22"/>
        </w:rPr>
        <w:t xml:space="preserve"> in summer 2022 increased by 6% from the Saildrone survey estimate made in 2020.  The correlation between the AVO index and the AT survey biomass decreased (r</w:t>
      </w:r>
      <w:r w:rsidRPr="0092772A">
        <w:rPr>
          <w:rFonts w:eastAsia="Calibri"/>
          <w:sz w:val="22"/>
          <w:szCs w:val="22"/>
          <w:vertAlign w:val="superscript"/>
        </w:rPr>
        <w:t>2</w:t>
      </w:r>
      <w:r w:rsidRPr="0092772A">
        <w:rPr>
          <w:rFonts w:eastAsia="Calibri"/>
          <w:sz w:val="22"/>
          <w:szCs w:val="22"/>
        </w:rPr>
        <w:t>= 0.68, n= 10 surveys, vs. r</w:t>
      </w:r>
      <w:r w:rsidRPr="0092772A">
        <w:rPr>
          <w:rFonts w:eastAsia="Calibri"/>
          <w:sz w:val="22"/>
          <w:szCs w:val="22"/>
          <w:vertAlign w:val="superscript"/>
        </w:rPr>
        <w:t>2</w:t>
      </w:r>
      <w:r w:rsidRPr="0092772A">
        <w:rPr>
          <w:rFonts w:eastAsia="Calibri"/>
          <w:sz w:val="22"/>
          <w:szCs w:val="22"/>
        </w:rPr>
        <w:t>= 0.76, n=</w:t>
      </w:r>
      <w:proofErr w:type="gramStart"/>
      <w:r w:rsidRPr="0092772A">
        <w:rPr>
          <w:rFonts w:eastAsia="Calibri"/>
          <w:sz w:val="22"/>
          <w:szCs w:val="22"/>
        </w:rPr>
        <w:t>9</w:t>
      </w:r>
      <w:proofErr w:type="gramEnd"/>
      <w:r w:rsidRPr="0092772A">
        <w:rPr>
          <w:rFonts w:eastAsia="Calibri"/>
          <w:sz w:val="22"/>
          <w:szCs w:val="22"/>
        </w:rPr>
        <w:t xml:space="preserve"> surveys for the period 2006-2018).  The percentage of pollock backscatter east of the Pribilof Islands was 17%.  Although this is larger than the percentages in summers 2010-2012 (range 4-9%), it is similar to 2021 (18%) and to the historical average since 2006 of 15%.</w:t>
      </w:r>
    </w:p>
    <w:p w14:paraId="0D7F352F" w14:textId="77777777" w:rsidR="0092772A" w:rsidRPr="0092772A" w:rsidRDefault="0092772A" w:rsidP="0092772A">
      <w:pPr>
        <w:spacing w:before="240" w:after="240"/>
        <w:rPr>
          <w:rFonts w:eastAsia="Calibri"/>
          <w:i/>
          <w:sz w:val="22"/>
          <w:szCs w:val="22"/>
        </w:rPr>
      </w:pPr>
      <w:r w:rsidRPr="0092772A">
        <w:rPr>
          <w:rFonts w:eastAsia="Calibri"/>
          <w:i/>
          <w:sz w:val="22"/>
          <w:szCs w:val="22"/>
        </w:rPr>
        <w:t>Literature Cited (for summer AVO)</w:t>
      </w:r>
    </w:p>
    <w:p w14:paraId="6427F236" w14:textId="77777777" w:rsidR="0092772A" w:rsidRPr="0092772A" w:rsidRDefault="0092772A" w:rsidP="0092772A">
      <w:pPr>
        <w:spacing w:before="240" w:after="240"/>
        <w:ind w:left="720" w:hanging="720"/>
        <w:rPr>
          <w:rFonts w:eastAsia="Calibri"/>
          <w:sz w:val="22"/>
          <w:szCs w:val="22"/>
        </w:rPr>
      </w:pPr>
      <w:r w:rsidRPr="0092772A">
        <w:rPr>
          <w:rFonts w:eastAsia="Calibri"/>
          <w:sz w:val="22"/>
          <w:szCs w:val="22"/>
        </w:rPr>
        <w:t>Honkalehto, T.H., P.H. Ressler, R.H. Towler, and C.D. Wilson. 2011. Using acoustic data from fishing vessels to estimate walleye pollock abundance in the eastern Bering Sea. Canadian Journal of Fisheries and Aquatic Sciences 68(7): 1231–1242</w:t>
      </w:r>
    </w:p>
    <w:p w14:paraId="2B2E7B0B" w14:textId="4E57579E" w:rsidR="00DE3EE8" w:rsidRPr="002B7E6B" w:rsidRDefault="00DE3EE8" w:rsidP="00DE3EE8">
      <w:pPr>
        <w:spacing w:before="240" w:after="240"/>
        <w:rPr>
          <w:i/>
          <w:sz w:val="22"/>
          <w:szCs w:val="22"/>
        </w:rPr>
      </w:pPr>
      <w:r w:rsidRPr="002B7E6B">
        <w:rPr>
          <w:i/>
          <w:sz w:val="22"/>
          <w:szCs w:val="22"/>
        </w:rPr>
        <w:lastRenderedPageBreak/>
        <w:t xml:space="preserve">For more information, contact MACE Program Manager, Sandra Parker-Stetter, </w:t>
      </w:r>
      <w:hyperlink r:id="rId28">
        <w:r w:rsidRPr="002B7E6B">
          <w:rPr>
            <w:i/>
            <w:color w:val="1155CC"/>
            <w:sz w:val="22"/>
            <w:szCs w:val="22"/>
            <w:u w:val="single"/>
          </w:rPr>
          <w:t>sandy.parker-stetter@noaa.gov</w:t>
        </w:r>
      </w:hyperlink>
      <w:r w:rsidRPr="002B7E6B">
        <w:rPr>
          <w:i/>
          <w:sz w:val="22"/>
          <w:szCs w:val="22"/>
        </w:rPr>
        <w:t>.</w:t>
      </w:r>
    </w:p>
    <w:p w14:paraId="31330E8B" w14:textId="77777777" w:rsidR="00DE3EE8" w:rsidRPr="002B7E6B" w:rsidRDefault="00DE3EE8" w:rsidP="00DE3EE8">
      <w:pPr>
        <w:spacing w:before="240" w:after="240"/>
        <w:rPr>
          <w:i/>
          <w:sz w:val="22"/>
          <w:szCs w:val="22"/>
        </w:rPr>
      </w:pPr>
    </w:p>
    <w:p w14:paraId="0EC1B128" w14:textId="77777777" w:rsidR="00DE3EE8" w:rsidRPr="002B7E6B" w:rsidRDefault="00DE3EE8" w:rsidP="00DE3EE8">
      <w:pPr>
        <w:pStyle w:val="Heading5"/>
        <w:spacing w:before="240" w:after="240"/>
        <w:rPr>
          <w:sz w:val="22"/>
          <w:szCs w:val="22"/>
        </w:rPr>
      </w:pPr>
      <w:bookmarkStart w:id="23" w:name="_Toc131503801"/>
      <w:r w:rsidRPr="002B7E6B">
        <w:rPr>
          <w:sz w:val="22"/>
          <w:szCs w:val="22"/>
        </w:rPr>
        <w:t>Longline Survey – ABL</w:t>
      </w:r>
      <w:bookmarkEnd w:id="23"/>
    </w:p>
    <w:p w14:paraId="37B60A06" w14:textId="77777777" w:rsidR="00DE3EE8" w:rsidRPr="002B7E6B" w:rsidRDefault="00DE3EE8" w:rsidP="00DE3EE8">
      <w:pPr>
        <w:widowControl/>
        <w:spacing w:after="240"/>
        <w:rPr>
          <w:rFonts w:eastAsia="Calibri"/>
          <w:sz w:val="22"/>
          <w:szCs w:val="22"/>
        </w:rPr>
      </w:pPr>
      <w:r w:rsidRPr="002B7E6B">
        <w:rPr>
          <w:sz w:val="22"/>
          <w:szCs w:val="22"/>
        </w:rPr>
        <w:t xml:space="preserve">The AFSC has conducted an annual longline survey of sablefish and other groundfish in Alaska from 1987 to 2022. The survey is a joint effort involving the AFSC’s Auke Bay Laboratory and Resource Assessment and Conservation Engineering (RACE) Divisions. It replicates as closely as practical the Japan-U.S. cooperative longline survey conducted from 1978 to 1994 and samples gullies not previously sampled during the cooperative longline survey. In 2022, the 45th annual longline survey sampled the upper continental slope of the Gulf of Alaska and the eastern Aleutian Islands. One hundred forty-six longline sets </w:t>
      </w:r>
      <w:proofErr w:type="gramStart"/>
      <w:r w:rsidRPr="002B7E6B">
        <w:rPr>
          <w:sz w:val="22"/>
          <w:szCs w:val="22"/>
        </w:rPr>
        <w:t>were made</w:t>
      </w:r>
      <w:proofErr w:type="gramEnd"/>
      <w:r w:rsidRPr="002B7E6B">
        <w:rPr>
          <w:sz w:val="22"/>
          <w:szCs w:val="22"/>
        </w:rPr>
        <w:t xml:space="preserve"> from June 3 – August 26 by the chartered fishing vessel </w:t>
      </w:r>
      <w:r w:rsidRPr="002B7E6B">
        <w:rPr>
          <w:i/>
          <w:sz w:val="22"/>
          <w:szCs w:val="22"/>
        </w:rPr>
        <w:t>Alaskan Leader</w:t>
      </w:r>
      <w:r w:rsidRPr="002B7E6B">
        <w:rPr>
          <w:sz w:val="22"/>
          <w:szCs w:val="22"/>
        </w:rPr>
        <w:t xml:space="preserve">. In the Gulf of Alaska, total groundline set each day was 18 km (9.7 </w:t>
      </w:r>
      <w:proofErr w:type="gramStart"/>
      <w:r w:rsidRPr="002B7E6B">
        <w:rPr>
          <w:sz w:val="22"/>
          <w:szCs w:val="22"/>
        </w:rPr>
        <w:t>nmi</w:t>
      </w:r>
      <w:proofErr w:type="gramEnd"/>
      <w:r w:rsidRPr="002B7E6B">
        <w:rPr>
          <w:sz w:val="22"/>
          <w:szCs w:val="22"/>
        </w:rPr>
        <w:t xml:space="preserve">) and consisted of 180 skates with a total of 8,100 hooks. In the eastern Aleutian Islands, 16 km (8.6 </w:t>
      </w:r>
      <w:proofErr w:type="gramStart"/>
      <w:r w:rsidRPr="002B7E6B">
        <w:rPr>
          <w:sz w:val="22"/>
          <w:szCs w:val="22"/>
        </w:rPr>
        <w:t>nmi</w:t>
      </w:r>
      <w:proofErr w:type="gramEnd"/>
      <w:r w:rsidRPr="002B7E6B">
        <w:rPr>
          <w:sz w:val="22"/>
          <w:szCs w:val="22"/>
        </w:rPr>
        <w:t>) of groundline was set, consisting of 160 skates with a total of 7,200 hooks.</w:t>
      </w:r>
    </w:p>
    <w:p w14:paraId="5DAB4E63" w14:textId="77777777" w:rsidR="00DE3EE8" w:rsidRPr="002B7E6B" w:rsidRDefault="00DE3EE8" w:rsidP="00DE3EE8">
      <w:pPr>
        <w:widowControl/>
        <w:spacing w:after="240"/>
        <w:rPr>
          <w:sz w:val="22"/>
          <w:szCs w:val="22"/>
        </w:rPr>
      </w:pPr>
      <w:r w:rsidRPr="002B7E6B">
        <w:rPr>
          <w:sz w:val="22"/>
          <w:szCs w:val="22"/>
        </w:rPr>
        <w:t>Sablefish (</w:t>
      </w:r>
      <w:r w:rsidRPr="002B7E6B">
        <w:rPr>
          <w:i/>
          <w:sz w:val="22"/>
          <w:szCs w:val="22"/>
        </w:rPr>
        <w:t>Anoplopoma fimbria</w:t>
      </w:r>
      <w:r w:rsidRPr="002B7E6B">
        <w:rPr>
          <w:sz w:val="22"/>
          <w:szCs w:val="22"/>
        </w:rPr>
        <w:t>) was the most frequently caught species, followed by giant grenadier (</w:t>
      </w:r>
      <w:r w:rsidRPr="002B7E6B">
        <w:rPr>
          <w:i/>
          <w:sz w:val="22"/>
          <w:szCs w:val="22"/>
        </w:rPr>
        <w:t>Albatrossia pectoralis</w:t>
      </w:r>
      <w:r w:rsidRPr="002B7E6B">
        <w:rPr>
          <w:sz w:val="22"/>
          <w:szCs w:val="22"/>
        </w:rPr>
        <w:t>), shortspine thornyhead (</w:t>
      </w:r>
      <w:r w:rsidRPr="002B7E6B">
        <w:rPr>
          <w:i/>
          <w:sz w:val="22"/>
          <w:szCs w:val="22"/>
        </w:rPr>
        <w:t>Sebastolobus alascanus</w:t>
      </w:r>
      <w:r w:rsidRPr="002B7E6B">
        <w:rPr>
          <w:sz w:val="22"/>
          <w:szCs w:val="22"/>
        </w:rPr>
        <w:t>), Pacific cod (</w:t>
      </w:r>
      <w:r w:rsidRPr="002B7E6B">
        <w:rPr>
          <w:i/>
          <w:sz w:val="22"/>
          <w:szCs w:val="22"/>
        </w:rPr>
        <w:t>Gadus macrocephalus</w:t>
      </w:r>
      <w:r w:rsidRPr="002B7E6B">
        <w:rPr>
          <w:sz w:val="22"/>
          <w:szCs w:val="22"/>
        </w:rPr>
        <w:t>), rougheye/blackspotted rockfish (</w:t>
      </w:r>
      <w:r w:rsidRPr="002B7E6B">
        <w:rPr>
          <w:i/>
          <w:sz w:val="22"/>
          <w:szCs w:val="22"/>
        </w:rPr>
        <w:t>Sebastes aleutianus/S. melanostictus</w:t>
      </w:r>
      <w:r w:rsidRPr="002B7E6B">
        <w:rPr>
          <w:sz w:val="22"/>
          <w:szCs w:val="22"/>
        </w:rPr>
        <w:t>), and Pacific halibut (</w:t>
      </w:r>
      <w:r w:rsidRPr="002B7E6B">
        <w:rPr>
          <w:i/>
          <w:sz w:val="22"/>
          <w:szCs w:val="22"/>
        </w:rPr>
        <w:t>Hippoglossus stenolepis</w:t>
      </w:r>
      <w:r w:rsidRPr="002B7E6B">
        <w:rPr>
          <w:sz w:val="22"/>
          <w:szCs w:val="22"/>
        </w:rPr>
        <w:t xml:space="preserve">). </w:t>
      </w:r>
      <w:proofErr w:type="gramStart"/>
      <w:r w:rsidRPr="002B7E6B">
        <w:rPr>
          <w:sz w:val="22"/>
          <w:szCs w:val="22"/>
        </w:rPr>
        <w:t>A total of 179,709</w:t>
      </w:r>
      <w:proofErr w:type="gramEnd"/>
      <w:r w:rsidRPr="002B7E6B">
        <w:rPr>
          <w:sz w:val="22"/>
          <w:szCs w:val="22"/>
        </w:rPr>
        <w:t xml:space="preserve"> sablefish, with an estimated total round weight of 421,223 kg (928,638 lb) were caught during the survey. This represents increases of 10,096 fish and 28,326 kg (62,448 lb) of sablefish over the 2021 survey catch. The number of sablefish caught in 2022 is the highest number recorded in the time series. Sablefish (5,422), shortspine thornyhead (434), and Greenland turbot (</w:t>
      </w:r>
      <w:r w:rsidRPr="002B7E6B">
        <w:rPr>
          <w:i/>
          <w:sz w:val="22"/>
          <w:szCs w:val="22"/>
        </w:rPr>
        <w:t>Reinhardtius hippoglossoides</w:t>
      </w:r>
      <w:r w:rsidRPr="002B7E6B">
        <w:rPr>
          <w:sz w:val="22"/>
          <w:szCs w:val="22"/>
        </w:rPr>
        <w:t xml:space="preserve">, 3) </w:t>
      </w:r>
      <w:proofErr w:type="gramStart"/>
      <w:r w:rsidRPr="002B7E6B">
        <w:rPr>
          <w:sz w:val="22"/>
          <w:szCs w:val="22"/>
        </w:rPr>
        <w:t>were tagged with external Floy tags and released during the survey</w:t>
      </w:r>
      <w:proofErr w:type="gramEnd"/>
      <w:r w:rsidRPr="002B7E6B">
        <w:rPr>
          <w:sz w:val="22"/>
          <w:szCs w:val="22"/>
        </w:rPr>
        <w:t xml:space="preserve">. Length-weight data and otoliths </w:t>
      </w:r>
      <w:proofErr w:type="gramStart"/>
      <w:r w:rsidRPr="002B7E6B">
        <w:rPr>
          <w:sz w:val="22"/>
          <w:szCs w:val="22"/>
        </w:rPr>
        <w:t>were collected</w:t>
      </w:r>
      <w:proofErr w:type="gramEnd"/>
      <w:r w:rsidRPr="002B7E6B">
        <w:rPr>
          <w:sz w:val="22"/>
          <w:szCs w:val="22"/>
        </w:rPr>
        <w:t xml:space="preserve"> from 3,777 sablefish. Killer whales (</w:t>
      </w:r>
      <w:r w:rsidRPr="002B7E6B">
        <w:rPr>
          <w:i/>
          <w:sz w:val="22"/>
          <w:szCs w:val="22"/>
        </w:rPr>
        <w:t>Orcinus orca</w:t>
      </w:r>
      <w:r w:rsidRPr="002B7E6B">
        <w:rPr>
          <w:sz w:val="22"/>
          <w:szCs w:val="22"/>
        </w:rPr>
        <w:t xml:space="preserve">), depredating on the catch, occurred at one station in the eastern Aleutian Islands and four stations in the western Gulf of Alaska. Sperm whales </w:t>
      </w:r>
      <w:r w:rsidRPr="002B7E6B">
        <w:rPr>
          <w:i/>
          <w:sz w:val="22"/>
          <w:szCs w:val="22"/>
        </w:rPr>
        <w:t xml:space="preserve">(Physeter macrocephalus) </w:t>
      </w:r>
      <w:r w:rsidRPr="002B7E6B">
        <w:rPr>
          <w:sz w:val="22"/>
          <w:szCs w:val="22"/>
        </w:rPr>
        <w:t xml:space="preserve">were present during survey operations at 13 stations and were observed depredating on the gear at </w:t>
      </w:r>
      <w:proofErr w:type="gramStart"/>
      <w:r w:rsidRPr="002B7E6B">
        <w:rPr>
          <w:sz w:val="22"/>
          <w:szCs w:val="22"/>
        </w:rPr>
        <w:t>2</w:t>
      </w:r>
      <w:proofErr w:type="gramEnd"/>
      <w:r w:rsidRPr="002B7E6B">
        <w:rPr>
          <w:sz w:val="22"/>
          <w:szCs w:val="22"/>
        </w:rPr>
        <w:t xml:space="preserve"> stations in the central Gulf of Alaska, one station in the West Yakutat region, and 6 stations in the East Yakutat/Southeast region.</w:t>
      </w:r>
    </w:p>
    <w:p w14:paraId="0FEB0D60" w14:textId="77777777" w:rsidR="00DE3EE8" w:rsidRPr="002B7E6B" w:rsidRDefault="00DE3EE8" w:rsidP="00DE3EE8">
      <w:pPr>
        <w:widowControl/>
        <w:spacing w:after="240"/>
        <w:rPr>
          <w:sz w:val="22"/>
          <w:szCs w:val="22"/>
        </w:rPr>
      </w:pPr>
      <w:r w:rsidRPr="002B7E6B">
        <w:rPr>
          <w:sz w:val="22"/>
          <w:szCs w:val="22"/>
        </w:rPr>
        <w:t xml:space="preserve">In 2020, no AFSC staff participated onboard the survey vessel and in 2021, AFSC staff participated on four of the six legs. In 2022, COVID-19 precautions, including 3-day shelter-in-place isolation periods at each port of departure, allowed AFSC staff to participate on each of the six legs of the survey. In 2022, several special projects continued, including 3 days of comparisons between hook and line and slinky pots to investigate gear selectivity and catch efficiency. Spiny dogfish samples continued to </w:t>
      </w:r>
      <w:proofErr w:type="gramStart"/>
      <w:r w:rsidRPr="002B7E6B">
        <w:rPr>
          <w:sz w:val="22"/>
          <w:szCs w:val="22"/>
        </w:rPr>
        <w:t>be collected</w:t>
      </w:r>
      <w:proofErr w:type="gramEnd"/>
      <w:r w:rsidRPr="002B7E6B">
        <w:rPr>
          <w:sz w:val="22"/>
          <w:szCs w:val="22"/>
        </w:rPr>
        <w:t xml:space="preserve"> for refining ageing and maturity determination methods. A second year of sablefish eyeball collections from across the survey region </w:t>
      </w:r>
      <w:proofErr w:type="gramStart"/>
      <w:r w:rsidRPr="002B7E6B">
        <w:rPr>
          <w:sz w:val="22"/>
          <w:szCs w:val="22"/>
        </w:rPr>
        <w:t>was completed</w:t>
      </w:r>
      <w:proofErr w:type="gramEnd"/>
      <w:r w:rsidRPr="002B7E6B">
        <w:rPr>
          <w:sz w:val="22"/>
          <w:szCs w:val="22"/>
        </w:rPr>
        <w:t xml:space="preserve"> to examine isotopic growth layers of the eye lens of adult sablefish to obtain individual chronologies (young-of-year to time of collection) of their dietary and migratory behavior. Temperature profiles were collected that continue a time series starting in 2005 and show a continuation of above-average temperature in the AI and a slight increase in subsurface temperature for 2022 from 2021 in all GOA areas.  </w:t>
      </w:r>
    </w:p>
    <w:p w14:paraId="476CD472" w14:textId="77777777" w:rsidR="00DE3EE8" w:rsidRPr="002B7E6B" w:rsidRDefault="00DE3EE8" w:rsidP="00DE3EE8">
      <w:pPr>
        <w:widowControl/>
        <w:spacing w:after="240"/>
        <w:rPr>
          <w:sz w:val="22"/>
          <w:szCs w:val="22"/>
        </w:rPr>
      </w:pPr>
      <w:r w:rsidRPr="002B7E6B">
        <w:rPr>
          <w:sz w:val="22"/>
          <w:szCs w:val="22"/>
        </w:rPr>
        <w:t xml:space="preserve">Longline survey catch and effort data summaries are available through the Alaska Fisheries Science Center’s website: </w:t>
      </w:r>
      <w:hyperlink r:id="rId29">
        <w:r w:rsidRPr="002B7E6B">
          <w:rPr>
            <w:color w:val="0000FF"/>
            <w:sz w:val="22"/>
            <w:szCs w:val="22"/>
            <w:u w:val="single"/>
          </w:rPr>
          <w:t>https://apps-afsc.fisheries.noaa.gov/maps/longline/Map.php</w:t>
        </w:r>
      </w:hyperlink>
      <w:r w:rsidRPr="002B7E6B">
        <w:rPr>
          <w:sz w:val="22"/>
          <w:szCs w:val="22"/>
        </w:rPr>
        <w:t>. Full access to the longline survey database is available through the Alaska Fisheries Information Network (AKFIN). Catch per unit effort (CPUE) information and relative population numbers (RPN) by depth strata and management regions are available for all species caught in the survey.</w:t>
      </w:r>
    </w:p>
    <w:p w14:paraId="351EF893" w14:textId="77777777" w:rsidR="00DE3EE8" w:rsidRPr="002B7E6B" w:rsidRDefault="00DE3EE8" w:rsidP="00DE3EE8">
      <w:pPr>
        <w:widowControl/>
        <w:spacing w:after="240"/>
        <w:rPr>
          <w:sz w:val="22"/>
          <w:szCs w:val="22"/>
        </w:rPr>
      </w:pPr>
      <w:r w:rsidRPr="002B7E6B">
        <w:rPr>
          <w:sz w:val="22"/>
          <w:szCs w:val="22"/>
        </w:rPr>
        <w:lastRenderedPageBreak/>
        <w:t>For more information, contact Pat Malecha (pat.malecha@noaa.gov). For data access, contact Cara Rodgveller (</w:t>
      </w:r>
      <w:hyperlink r:id="rId30">
        <w:r w:rsidRPr="002B7E6B">
          <w:rPr>
            <w:color w:val="0000FF"/>
            <w:sz w:val="22"/>
            <w:szCs w:val="22"/>
            <w:u w:val="single"/>
          </w:rPr>
          <w:t>cara.rodgveller@noaa.gov</w:t>
        </w:r>
      </w:hyperlink>
      <w:r w:rsidRPr="002B7E6B">
        <w:rPr>
          <w:sz w:val="22"/>
          <w:szCs w:val="22"/>
        </w:rPr>
        <w:t>).</w:t>
      </w:r>
    </w:p>
    <w:p w14:paraId="0032ED1B" w14:textId="77777777" w:rsidR="00DE3EE8" w:rsidRPr="002B7E6B" w:rsidRDefault="00DE3EE8" w:rsidP="00DE3EE8">
      <w:pPr>
        <w:keepNext/>
        <w:widowControl/>
        <w:spacing w:after="240"/>
        <w:rPr>
          <w:sz w:val="22"/>
          <w:szCs w:val="22"/>
        </w:rPr>
      </w:pPr>
      <w:r w:rsidRPr="002B7E6B">
        <w:rPr>
          <w:noProof/>
          <w:sz w:val="22"/>
          <w:szCs w:val="22"/>
        </w:rPr>
        <w:drawing>
          <wp:inline distT="0" distB="0" distL="0" distR="0" wp14:anchorId="234CEF64" wp14:editId="59889563">
            <wp:extent cx="5943600" cy="2476500"/>
            <wp:effectExtent l="0" t="0" r="0" b="0"/>
            <wp:docPr id="6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1"/>
                    <a:srcRect t="7692" b="8975"/>
                    <a:stretch>
                      <a:fillRect/>
                    </a:stretch>
                  </pic:blipFill>
                  <pic:spPr>
                    <a:xfrm>
                      <a:off x="0" y="0"/>
                      <a:ext cx="5943600" cy="2476500"/>
                    </a:xfrm>
                    <a:prstGeom prst="rect">
                      <a:avLst/>
                    </a:prstGeom>
                    <a:ln/>
                  </pic:spPr>
                </pic:pic>
              </a:graphicData>
            </a:graphic>
          </wp:inline>
        </w:drawing>
      </w:r>
    </w:p>
    <w:p w14:paraId="3CBEE626" w14:textId="77777777" w:rsidR="00DE3EE8" w:rsidRPr="002B7E6B" w:rsidRDefault="00DE3EE8" w:rsidP="00DE3EE8">
      <w:pPr>
        <w:widowControl/>
        <w:spacing w:after="200"/>
        <w:rPr>
          <w:sz w:val="22"/>
          <w:szCs w:val="22"/>
        </w:rPr>
      </w:pPr>
      <w:r w:rsidRPr="002B7E6B">
        <w:rPr>
          <w:sz w:val="22"/>
          <w:szCs w:val="22"/>
        </w:rPr>
        <w:t xml:space="preserve">Map of AFSC longline survey station locations. Bering Sea stations (yellow) </w:t>
      </w:r>
      <w:proofErr w:type="gramStart"/>
      <w:r w:rsidRPr="002B7E6B">
        <w:rPr>
          <w:sz w:val="22"/>
          <w:szCs w:val="22"/>
        </w:rPr>
        <w:t>are sampled</w:t>
      </w:r>
      <w:proofErr w:type="gramEnd"/>
      <w:r w:rsidRPr="002B7E6B">
        <w:rPr>
          <w:sz w:val="22"/>
          <w:szCs w:val="22"/>
        </w:rPr>
        <w:t xml:space="preserve"> in odd years, Aleutian Islands stations (red) are sampled in even years, and Gulf of Alaska (GOA) stations (gray) are sampled every year. Circles indicate stations included in abundance index calculations while triangles indicate stations that are not.</w:t>
      </w:r>
    </w:p>
    <w:p w14:paraId="02900246" w14:textId="1AF81DAF" w:rsidR="00DE3EE8" w:rsidRPr="00B92709" w:rsidRDefault="00DE3EE8" w:rsidP="00DE3EE8">
      <w:pPr>
        <w:widowControl/>
        <w:spacing w:before="200"/>
        <w:rPr>
          <w:i/>
          <w:sz w:val="22"/>
          <w:szCs w:val="22"/>
        </w:rPr>
      </w:pPr>
      <w:bookmarkStart w:id="24" w:name="_Toc131503802"/>
      <w:r w:rsidRPr="00B92709">
        <w:rPr>
          <w:rStyle w:val="Heading5Char"/>
        </w:rPr>
        <w:t>Northern Bering Sea Surface Trawl and Ecosystem Survey</w:t>
      </w:r>
      <w:r w:rsidR="0024271A" w:rsidRPr="00B92709">
        <w:rPr>
          <w:rStyle w:val="Heading5Char"/>
        </w:rPr>
        <w:t xml:space="preserve"> – </w:t>
      </w:r>
      <w:r w:rsidRPr="00B92709">
        <w:rPr>
          <w:rStyle w:val="Heading5Char"/>
        </w:rPr>
        <w:t>ABL</w:t>
      </w:r>
      <w:bookmarkEnd w:id="24"/>
      <w:r w:rsidR="0024271A" w:rsidRPr="00B92709">
        <w:rPr>
          <w:i/>
          <w:sz w:val="22"/>
          <w:szCs w:val="22"/>
        </w:rPr>
        <w:t xml:space="preserve"> – </w:t>
      </w:r>
      <w:r w:rsidRPr="00B92709">
        <w:rPr>
          <w:i/>
          <w:sz w:val="22"/>
          <w:szCs w:val="22"/>
        </w:rPr>
        <w:t>CARA CHECK</w:t>
      </w:r>
    </w:p>
    <w:p w14:paraId="69B3D759" w14:textId="77777777" w:rsidR="00DE3EE8" w:rsidRPr="002B7E6B" w:rsidRDefault="00DE3EE8" w:rsidP="00DE3EE8">
      <w:pPr>
        <w:widowControl/>
        <w:spacing w:before="200"/>
        <w:rPr>
          <w:sz w:val="22"/>
          <w:szCs w:val="22"/>
        </w:rPr>
      </w:pPr>
      <w:r w:rsidRPr="00B92709">
        <w:rPr>
          <w:sz w:val="22"/>
          <w:szCs w:val="22"/>
        </w:rPr>
        <w:t>The 2021 survey occurred at standard stations in the northern Bering Sea in 2021. Station sampling included phytoplankton, zooplankton, invertebrate nekton, fish, seabird, and marine mammals. The</w:t>
      </w:r>
      <w:r w:rsidRPr="002B7E6B">
        <w:rPr>
          <w:sz w:val="22"/>
          <w:szCs w:val="22"/>
        </w:rPr>
        <w:t xml:space="preserve"> average surface temperature (9.4°C) in 2021 was just above the overall average annual temperature (8.8°C) recorded during the survey from 2003 to 2021. The most abundant benthic fish species captured was yellowfin sole and they were present at nearshore stations throughout the survey. We plan to continue the survey on an annual basis to provide scientific support for salmon, groundfish, and crab resources in the northern Bering Sea.  </w:t>
      </w:r>
    </w:p>
    <w:p w14:paraId="335959B6" w14:textId="77777777" w:rsidR="00DE3EE8" w:rsidRPr="002B7E6B" w:rsidRDefault="00DE3EE8" w:rsidP="00DE3EE8">
      <w:pPr>
        <w:widowControl/>
        <w:spacing w:before="200"/>
        <w:rPr>
          <w:sz w:val="22"/>
          <w:szCs w:val="22"/>
        </w:rPr>
      </w:pPr>
    </w:p>
    <w:p w14:paraId="05D36693" w14:textId="77777777" w:rsidR="00DE3EE8" w:rsidRPr="002B7E6B" w:rsidRDefault="00DE3EE8" w:rsidP="00DE3EE8">
      <w:pPr>
        <w:widowControl/>
        <w:spacing w:before="200"/>
        <w:jc w:val="center"/>
        <w:rPr>
          <w:sz w:val="22"/>
          <w:szCs w:val="22"/>
        </w:rPr>
      </w:pPr>
      <w:r w:rsidRPr="002B7E6B">
        <w:rPr>
          <w:noProof/>
          <w:sz w:val="22"/>
          <w:szCs w:val="22"/>
        </w:rPr>
        <w:lastRenderedPageBreak/>
        <w:drawing>
          <wp:inline distT="0" distB="0" distL="0" distR="0" wp14:anchorId="67D7CA6F" wp14:editId="5C7DEB80">
            <wp:extent cx="3857396" cy="4408394"/>
            <wp:effectExtent l="0" t="0" r="0" b="0"/>
            <wp:docPr id="72"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32"/>
                    <a:srcRect/>
                    <a:stretch>
                      <a:fillRect/>
                    </a:stretch>
                  </pic:blipFill>
                  <pic:spPr>
                    <a:xfrm>
                      <a:off x="0" y="0"/>
                      <a:ext cx="3857396" cy="4408394"/>
                    </a:xfrm>
                    <a:prstGeom prst="rect">
                      <a:avLst/>
                    </a:prstGeom>
                    <a:ln/>
                  </pic:spPr>
                </pic:pic>
              </a:graphicData>
            </a:graphic>
          </wp:inline>
        </w:drawing>
      </w:r>
    </w:p>
    <w:p w14:paraId="1A12C582" w14:textId="77777777" w:rsidR="00DE3EE8" w:rsidRPr="002B7E6B" w:rsidRDefault="00DE3EE8" w:rsidP="00DE3EE8">
      <w:pPr>
        <w:widowControl/>
        <w:spacing w:before="200"/>
        <w:rPr>
          <w:sz w:val="22"/>
          <w:szCs w:val="22"/>
        </w:rPr>
      </w:pPr>
      <w:r w:rsidRPr="002B7E6B">
        <w:rPr>
          <w:sz w:val="22"/>
          <w:szCs w:val="22"/>
        </w:rPr>
        <w:t>Figure 1. Standard stations sampled during 2021 Northern Bering Sea Surface Trawl and Ecosystem Survey, August 27 to September 20, 2021.</w:t>
      </w:r>
    </w:p>
    <w:p w14:paraId="5D2FD73A" w14:textId="77777777" w:rsidR="00DE3EE8" w:rsidRPr="002B7E6B" w:rsidRDefault="00DE3EE8" w:rsidP="00DE3EE8">
      <w:pPr>
        <w:rPr>
          <w:sz w:val="22"/>
          <w:szCs w:val="22"/>
        </w:rPr>
      </w:pPr>
    </w:p>
    <w:p w14:paraId="0F60C575" w14:textId="77777777" w:rsidR="00DE3EE8" w:rsidRPr="002B7E6B" w:rsidRDefault="00DE3EE8" w:rsidP="00DE3EE8">
      <w:pPr>
        <w:rPr>
          <w:sz w:val="22"/>
          <w:szCs w:val="22"/>
        </w:rPr>
      </w:pPr>
    </w:p>
    <w:p w14:paraId="0E83D6E0" w14:textId="40EE307A" w:rsidR="00DE3EE8" w:rsidRPr="00C80760" w:rsidRDefault="00DE3EE8" w:rsidP="00C80760">
      <w:pPr>
        <w:pStyle w:val="Heading5"/>
      </w:pPr>
      <w:bookmarkStart w:id="25" w:name="_Toc131503803"/>
      <w:r w:rsidRPr="00C80760">
        <w:t>North Pacific Groundfish Observer Program (Observer Program)</w:t>
      </w:r>
      <w:r w:rsidR="0024271A">
        <w:t xml:space="preserve"> – </w:t>
      </w:r>
      <w:r w:rsidRPr="00C80760">
        <w:t>FMA</w:t>
      </w:r>
      <w:bookmarkEnd w:id="25"/>
      <w:r w:rsidRPr="00C80760">
        <w:t xml:space="preserve"> </w:t>
      </w:r>
    </w:p>
    <w:p w14:paraId="73751311" w14:textId="77777777" w:rsidR="00C80760" w:rsidRPr="00C80760" w:rsidRDefault="00C80760" w:rsidP="00C80760"/>
    <w:p w14:paraId="72D6F9C8" w14:textId="77777777" w:rsidR="00DE3EE8" w:rsidRPr="002B7E6B" w:rsidRDefault="00DE3EE8" w:rsidP="00DE3EE8">
      <w:pPr>
        <w:rPr>
          <w:sz w:val="22"/>
          <w:szCs w:val="22"/>
        </w:rPr>
      </w:pPr>
      <w:r w:rsidRPr="002B7E6B">
        <w:rPr>
          <w:sz w:val="22"/>
          <w:szCs w:val="22"/>
        </w:rPr>
        <w:t>The Fisheries Monitoring and Analysis (FMA) Division administers the North Pacific Observer Program (Observer Program) and Electronic Monitoring (EM) Program which play a vital role in the conservation and management of the Bering Sea, Aleutian Islands, and Gulf of Alaska groundfish and halibut fisheries.</w:t>
      </w:r>
    </w:p>
    <w:p w14:paraId="3C396684" w14:textId="77777777" w:rsidR="00DE3EE8" w:rsidRPr="002B7E6B" w:rsidRDefault="00DE3EE8" w:rsidP="00DE3EE8">
      <w:pPr>
        <w:rPr>
          <w:sz w:val="22"/>
          <w:szCs w:val="22"/>
        </w:rPr>
      </w:pPr>
    </w:p>
    <w:p w14:paraId="011EAF59" w14:textId="77777777" w:rsidR="00DE3EE8" w:rsidRPr="002B7E6B" w:rsidRDefault="00DE3EE8" w:rsidP="00DE3EE8">
      <w:pPr>
        <w:rPr>
          <w:sz w:val="22"/>
          <w:szCs w:val="22"/>
        </w:rPr>
      </w:pPr>
      <w:r w:rsidRPr="002B7E6B">
        <w:rPr>
          <w:sz w:val="22"/>
          <w:szCs w:val="22"/>
        </w:rPr>
        <w:t xml:space="preserve">FMA observers and EM systems collect fishery-dependent data onboard fishing vessels and at onshore processing plants that is used for in-season management, to characterize interactions with protected resources, and to contribute to assessments of fish stocks, provide data for fisheries and ecosystem research and fishing fleet behavior, and characterize fishing impacts on habitat. The Division ensures that the data collected by observers and through EM systems are of the highest quality possible by implementing rigorous quality control and quality assurance processes. </w:t>
      </w:r>
    </w:p>
    <w:p w14:paraId="11399132" w14:textId="77777777" w:rsidR="00DE3EE8" w:rsidRPr="002B7E6B" w:rsidRDefault="00DE3EE8" w:rsidP="00DE3EE8">
      <w:pPr>
        <w:rPr>
          <w:sz w:val="22"/>
          <w:szCs w:val="22"/>
        </w:rPr>
      </w:pPr>
    </w:p>
    <w:p w14:paraId="6883F6EA" w14:textId="77777777" w:rsidR="00DE3EE8" w:rsidRPr="002B7E6B" w:rsidRDefault="00DE3EE8" w:rsidP="00DE3EE8">
      <w:pPr>
        <w:rPr>
          <w:sz w:val="22"/>
          <w:szCs w:val="22"/>
        </w:rPr>
      </w:pPr>
      <w:r w:rsidRPr="002B7E6B">
        <w:rPr>
          <w:sz w:val="22"/>
          <w:szCs w:val="22"/>
        </w:rPr>
        <w:t xml:space="preserve">During </w:t>
      </w:r>
      <w:proofErr w:type="gramStart"/>
      <w:r w:rsidRPr="002B7E6B">
        <w:rPr>
          <w:sz w:val="22"/>
          <w:szCs w:val="22"/>
        </w:rPr>
        <w:t>2020</w:t>
      </w:r>
      <w:proofErr w:type="gramEnd"/>
      <w:r w:rsidRPr="002B7E6B">
        <w:rPr>
          <w:sz w:val="22"/>
          <w:szCs w:val="22"/>
        </w:rPr>
        <w:t xml:space="preserve"> the FMA Division was faced with enormous challenges in facilitating observer training and deployment. Data from observers is essential for managing federal fisheries and choosing </w:t>
      </w:r>
      <w:proofErr w:type="gramStart"/>
      <w:r w:rsidRPr="002B7E6B">
        <w:rPr>
          <w:sz w:val="22"/>
          <w:szCs w:val="22"/>
        </w:rPr>
        <w:t>to not deploy</w:t>
      </w:r>
      <w:proofErr w:type="gramEnd"/>
      <w:r w:rsidRPr="002B7E6B">
        <w:rPr>
          <w:sz w:val="22"/>
          <w:szCs w:val="22"/>
        </w:rPr>
        <w:t xml:space="preserve"> them was simply not an option. Training and equipping observers from the Seattle campus was challenging because the campus was closed to all but essential </w:t>
      </w:r>
      <w:proofErr w:type="gramStart"/>
      <w:r w:rsidRPr="002B7E6B">
        <w:rPr>
          <w:sz w:val="22"/>
          <w:szCs w:val="22"/>
        </w:rPr>
        <w:t>staff,</w:t>
      </w:r>
      <w:proofErr w:type="gramEnd"/>
      <w:r w:rsidRPr="002B7E6B">
        <w:rPr>
          <w:sz w:val="22"/>
          <w:szCs w:val="22"/>
        </w:rPr>
        <w:t xml:space="preserve"> and multiple layers of precaution were necessary due to the pandemic. Deployment of observers was difficult due to limits on travel, </w:t>
      </w:r>
      <w:r w:rsidRPr="002B7E6B">
        <w:rPr>
          <w:sz w:val="22"/>
          <w:szCs w:val="22"/>
        </w:rPr>
        <w:lastRenderedPageBreak/>
        <w:t xml:space="preserve">quarantine requirements, and the risk of infection. In addition, the challenges varied considerably during the year as the assessment of the pandemic, the state and national standards for preventing infection, and the fishing industry’s implementation of those standards changed. For further information regarding </w:t>
      </w:r>
      <w:proofErr w:type="gramStart"/>
      <w:r w:rsidRPr="002B7E6B">
        <w:rPr>
          <w:sz w:val="22"/>
          <w:szCs w:val="22"/>
        </w:rPr>
        <w:t>FMA</w:t>
      </w:r>
      <w:proofErr w:type="gramEnd"/>
      <w:r w:rsidRPr="002B7E6B">
        <w:rPr>
          <w:sz w:val="22"/>
          <w:szCs w:val="22"/>
        </w:rPr>
        <w:t xml:space="preserve"> activities please access the AFSC website or contact Jennifer Ferdinand at </w:t>
      </w:r>
      <w:hyperlink r:id="rId33">
        <w:r w:rsidRPr="002B7E6B">
          <w:rPr>
            <w:color w:val="1155CC"/>
            <w:sz w:val="22"/>
            <w:szCs w:val="22"/>
            <w:u w:val="single"/>
          </w:rPr>
          <w:t>Jennifer.Ferdinand@noaa.gov</w:t>
        </w:r>
      </w:hyperlink>
      <w:r w:rsidRPr="002B7E6B">
        <w:rPr>
          <w:sz w:val="22"/>
          <w:szCs w:val="22"/>
        </w:rPr>
        <w:t>.</w:t>
      </w:r>
    </w:p>
    <w:p w14:paraId="29A46CDA" w14:textId="77777777" w:rsidR="00DE3EE8" w:rsidRPr="002B7E6B" w:rsidRDefault="00DE3EE8" w:rsidP="00DE3EE8">
      <w:pPr>
        <w:rPr>
          <w:sz w:val="22"/>
          <w:szCs w:val="22"/>
        </w:rPr>
      </w:pPr>
    </w:p>
    <w:p w14:paraId="63A944C7" w14:textId="504D9069" w:rsidR="00DE3EE8" w:rsidRPr="002B7E6B" w:rsidRDefault="00DE3EE8" w:rsidP="002B7E6B">
      <w:pPr>
        <w:pStyle w:val="Heading2"/>
        <w:rPr>
          <w:rFonts w:cs="Times New Roman"/>
          <w:sz w:val="22"/>
          <w:szCs w:val="22"/>
          <w:shd w:val="clear" w:color="auto" w:fill="F3F3F3"/>
        </w:rPr>
      </w:pPr>
      <w:bookmarkStart w:id="26" w:name="_Toc131503804"/>
      <w:r w:rsidRPr="002B7E6B">
        <w:rPr>
          <w:rFonts w:cs="Times New Roman"/>
          <w:sz w:val="22"/>
          <w:szCs w:val="22"/>
          <w:shd w:val="clear" w:color="auto" w:fill="F3F3F3"/>
        </w:rPr>
        <w:t>III.</w:t>
      </w:r>
      <w:r w:rsidR="002C1E2B">
        <w:rPr>
          <w:rFonts w:cs="Times New Roman"/>
          <w:sz w:val="22"/>
          <w:szCs w:val="22"/>
          <w:shd w:val="clear" w:color="auto" w:fill="F3F3F3"/>
        </w:rPr>
        <w:tab/>
      </w:r>
      <w:r w:rsidRPr="002B7E6B">
        <w:rPr>
          <w:rFonts w:cs="Times New Roman"/>
          <w:sz w:val="22"/>
          <w:szCs w:val="22"/>
          <w:shd w:val="clear" w:color="auto" w:fill="F3F3F3"/>
        </w:rPr>
        <w:t>Reserves</w:t>
      </w:r>
      <w:bookmarkEnd w:id="26"/>
    </w:p>
    <w:p w14:paraId="6FC08452" w14:textId="77777777" w:rsidR="00DE3EE8" w:rsidRPr="002B7E6B" w:rsidRDefault="00DE3EE8" w:rsidP="00DE3EE8">
      <w:pPr>
        <w:rPr>
          <w:sz w:val="22"/>
          <w:szCs w:val="22"/>
          <w:shd w:val="clear" w:color="auto" w:fill="F3F3F3"/>
        </w:rPr>
      </w:pPr>
    </w:p>
    <w:p w14:paraId="47A12B8F" w14:textId="77777777" w:rsidR="00DE3EE8" w:rsidRPr="002B7E6B" w:rsidRDefault="00DE3EE8" w:rsidP="00DE3EE8">
      <w:pPr>
        <w:rPr>
          <w:sz w:val="22"/>
          <w:szCs w:val="22"/>
          <w:shd w:val="clear" w:color="auto" w:fill="F3F3F3"/>
        </w:rPr>
      </w:pPr>
    </w:p>
    <w:p w14:paraId="0D10EAD6" w14:textId="056F0FDD" w:rsidR="00DE3EE8" w:rsidRPr="002B7E6B" w:rsidRDefault="00DE3EE8" w:rsidP="002B7E6B">
      <w:pPr>
        <w:pStyle w:val="Heading2"/>
        <w:rPr>
          <w:rFonts w:cs="Times New Roman"/>
          <w:sz w:val="22"/>
          <w:szCs w:val="22"/>
          <w:shd w:val="clear" w:color="auto" w:fill="F3F3F3"/>
        </w:rPr>
      </w:pPr>
      <w:bookmarkStart w:id="27" w:name="_Toc131503805"/>
      <w:r w:rsidRPr="002B7E6B">
        <w:rPr>
          <w:rFonts w:cs="Times New Roman"/>
          <w:sz w:val="22"/>
          <w:szCs w:val="22"/>
          <w:shd w:val="clear" w:color="auto" w:fill="F3F3F3"/>
        </w:rPr>
        <w:t>IV.</w:t>
      </w:r>
      <w:r w:rsidR="002C1E2B">
        <w:rPr>
          <w:rFonts w:cs="Times New Roman"/>
          <w:sz w:val="22"/>
          <w:szCs w:val="22"/>
          <w:shd w:val="clear" w:color="auto" w:fill="F3F3F3"/>
        </w:rPr>
        <w:tab/>
      </w:r>
      <w:r w:rsidRPr="002B7E6B">
        <w:rPr>
          <w:rFonts w:cs="Times New Roman"/>
          <w:sz w:val="22"/>
          <w:szCs w:val="22"/>
          <w:shd w:val="clear" w:color="auto" w:fill="F3F3F3"/>
        </w:rPr>
        <w:t>Review of Agency Groundfish Research, Assessment, and Management</w:t>
      </w:r>
      <w:bookmarkEnd w:id="27"/>
    </w:p>
    <w:p w14:paraId="5D0DDE12" w14:textId="77777777" w:rsidR="00DE3EE8" w:rsidRPr="002B7E6B" w:rsidRDefault="00DE3EE8" w:rsidP="00DE3EE8">
      <w:pPr>
        <w:rPr>
          <w:sz w:val="22"/>
          <w:szCs w:val="22"/>
          <w:shd w:val="clear" w:color="auto" w:fill="F3F3F3"/>
        </w:rPr>
      </w:pPr>
    </w:p>
    <w:p w14:paraId="780D3991" w14:textId="77777777" w:rsidR="00DE3EE8" w:rsidRPr="002B7E6B" w:rsidRDefault="00DE3EE8" w:rsidP="00DE3EE8">
      <w:pPr>
        <w:rPr>
          <w:sz w:val="22"/>
          <w:szCs w:val="22"/>
        </w:rPr>
      </w:pPr>
      <w:r w:rsidRPr="002B7E6B">
        <w:rPr>
          <w:b/>
          <w:sz w:val="22"/>
          <w:szCs w:val="22"/>
        </w:rPr>
        <w:t>Note</w:t>
      </w:r>
      <w:r w:rsidRPr="002B7E6B">
        <w:rPr>
          <w:sz w:val="22"/>
          <w:szCs w:val="22"/>
        </w:rPr>
        <w:t xml:space="preserve">: Management of federal groundfish fisheries in Alaska </w:t>
      </w:r>
      <w:proofErr w:type="gramStart"/>
      <w:r w:rsidRPr="002B7E6B">
        <w:rPr>
          <w:sz w:val="22"/>
          <w:szCs w:val="22"/>
        </w:rPr>
        <w:t>is performed</w:t>
      </w:r>
      <w:proofErr w:type="gramEnd"/>
      <w:r w:rsidRPr="002B7E6B">
        <w:rPr>
          <w:sz w:val="22"/>
          <w:szCs w:val="22"/>
        </w:rPr>
        <w:t xml:space="preserve"> by the NPFMC with scientific guidance (research and stock assessments) from the AFSC and other institutions.  Assessments </w:t>
      </w:r>
      <w:proofErr w:type="gramStart"/>
      <w:r w:rsidRPr="002B7E6B">
        <w:rPr>
          <w:sz w:val="22"/>
          <w:szCs w:val="22"/>
        </w:rPr>
        <w:t>are conducted</w:t>
      </w:r>
      <w:proofErr w:type="gramEnd"/>
      <w:r w:rsidRPr="002B7E6B">
        <w:rPr>
          <w:sz w:val="22"/>
          <w:szCs w:val="22"/>
        </w:rPr>
        <w:t xml:space="preserve"> annually for major commercial groundfish stocks, with biennial or quadrennial assessments for most of the other stocks. Groundfish populations </w:t>
      </w:r>
      <w:proofErr w:type="gramStart"/>
      <w:r w:rsidRPr="002B7E6B">
        <w:rPr>
          <w:sz w:val="22"/>
          <w:szCs w:val="22"/>
        </w:rPr>
        <w:t>are typically divided</w:t>
      </w:r>
      <w:proofErr w:type="gramEnd"/>
      <w:r w:rsidRPr="002B7E6B">
        <w:rPr>
          <w:sz w:val="22"/>
          <w:szCs w:val="22"/>
        </w:rPr>
        <w:t xml:space="preserve"> into two geographic stocks: Bering Sea and Aleutian Islands (BSAI) and Gulf of Alaska (GOA). Some BSAI stocks </w:t>
      </w:r>
      <w:proofErr w:type="gramStart"/>
      <w:r w:rsidRPr="002B7E6B">
        <w:rPr>
          <w:sz w:val="22"/>
          <w:szCs w:val="22"/>
        </w:rPr>
        <w:t>are further divided</w:t>
      </w:r>
      <w:proofErr w:type="gramEnd"/>
      <w:r w:rsidRPr="002B7E6B">
        <w:rPr>
          <w:sz w:val="22"/>
          <w:szCs w:val="22"/>
        </w:rPr>
        <w:t xml:space="preserve"> into Eastern Bering Sea (EBS) and Aleutian Islands (AI). In the GOA, assessment and management for many stocks </w:t>
      </w:r>
      <w:proofErr w:type="gramStart"/>
      <w:r w:rsidRPr="002B7E6B">
        <w:rPr>
          <w:sz w:val="22"/>
          <w:szCs w:val="22"/>
        </w:rPr>
        <w:t>is structured</w:t>
      </w:r>
      <w:proofErr w:type="gramEnd"/>
      <w:r w:rsidRPr="002B7E6B">
        <w:rPr>
          <w:sz w:val="22"/>
          <w:szCs w:val="22"/>
        </w:rPr>
        <w:t xml:space="preserve"> around large-scale spatial divisions (western, central, and eastern GOA) although the application of these divisions varies by stock. Current and past stock assessment reports </w:t>
      </w:r>
      <w:proofErr w:type="gramStart"/>
      <w:r w:rsidRPr="002B7E6B">
        <w:rPr>
          <w:sz w:val="22"/>
          <w:szCs w:val="22"/>
        </w:rPr>
        <w:t>can be accessed</w:t>
      </w:r>
      <w:proofErr w:type="gramEnd"/>
      <w:r w:rsidRPr="002B7E6B">
        <w:rPr>
          <w:sz w:val="22"/>
          <w:szCs w:val="22"/>
        </w:rPr>
        <w:t xml:space="preserve"> on the AFSC website (</w:t>
      </w:r>
      <w:hyperlink r:id="rId34">
        <w:r w:rsidRPr="002B7E6B">
          <w:rPr>
            <w:color w:val="1155CC"/>
            <w:sz w:val="22"/>
            <w:szCs w:val="22"/>
            <w:u w:val="single"/>
          </w:rPr>
          <w:t>https://www.fisheries.noaa.gov/alaska/ population-assessments/north-pacific-groundfish-stock-assessments-and-fishery-evaluation</w:t>
        </w:r>
      </w:hyperlink>
      <w:r w:rsidRPr="002B7E6B">
        <w:rPr>
          <w:sz w:val="22"/>
          <w:szCs w:val="22"/>
        </w:rPr>
        <w:t>).</w:t>
      </w:r>
    </w:p>
    <w:p w14:paraId="2E66787F" w14:textId="77777777" w:rsidR="00DE3EE8" w:rsidRPr="002B7E6B" w:rsidRDefault="00DE3EE8" w:rsidP="00DE3EE8">
      <w:pPr>
        <w:rPr>
          <w:sz w:val="22"/>
          <w:szCs w:val="22"/>
        </w:rPr>
      </w:pPr>
    </w:p>
    <w:p w14:paraId="2C296DB0" w14:textId="736599AF" w:rsidR="00DE3EE8" w:rsidRDefault="00DE3EE8" w:rsidP="00DE3EE8">
      <w:pPr>
        <w:pStyle w:val="Heading3"/>
        <w:keepNext w:val="0"/>
        <w:keepLines w:val="0"/>
        <w:numPr>
          <w:ilvl w:val="0"/>
          <w:numId w:val="4"/>
        </w:numPr>
        <w:spacing w:before="0" w:after="0"/>
        <w:rPr>
          <w:rFonts w:cs="Times New Roman"/>
          <w:sz w:val="22"/>
          <w:szCs w:val="22"/>
        </w:rPr>
      </w:pPr>
      <w:bookmarkStart w:id="28" w:name="_heading=h.pgi2pcgo7zm8" w:colFirst="0" w:colLast="0"/>
      <w:bookmarkStart w:id="29" w:name="_Toc131503806"/>
      <w:bookmarkEnd w:id="28"/>
      <w:r w:rsidRPr="002B7E6B">
        <w:rPr>
          <w:rFonts w:cs="Times New Roman"/>
          <w:sz w:val="22"/>
          <w:szCs w:val="22"/>
        </w:rPr>
        <w:t>Multispecies assessment</w:t>
      </w:r>
      <w:bookmarkEnd w:id="29"/>
    </w:p>
    <w:p w14:paraId="1BC5C7E3" w14:textId="77777777" w:rsidR="008E1B78" w:rsidRPr="008E1B78" w:rsidRDefault="008E1B78" w:rsidP="008E1B78">
      <w:pPr>
        <w:rPr>
          <w:b/>
        </w:rPr>
      </w:pPr>
    </w:p>
    <w:p w14:paraId="4C61D2B3" w14:textId="77777777" w:rsidR="00DE3EE8" w:rsidRPr="002B7E6B" w:rsidRDefault="00DE3EE8" w:rsidP="008E1B78">
      <w:pPr>
        <w:numPr>
          <w:ilvl w:val="1"/>
          <w:numId w:val="4"/>
        </w:numPr>
        <w:ind w:left="360"/>
        <w:rPr>
          <w:sz w:val="22"/>
          <w:szCs w:val="22"/>
        </w:rPr>
      </w:pPr>
      <w:r w:rsidRPr="002B7E6B">
        <w:rPr>
          <w:sz w:val="22"/>
          <w:szCs w:val="22"/>
        </w:rPr>
        <w:t xml:space="preserve">Gulf of Alaska </w:t>
      </w:r>
    </w:p>
    <w:p w14:paraId="5FDD0E18" w14:textId="77777777" w:rsidR="00DE3EE8" w:rsidRPr="002B7E6B" w:rsidRDefault="00DE3EE8" w:rsidP="00DE3EE8">
      <w:pPr>
        <w:rPr>
          <w:sz w:val="22"/>
          <w:szCs w:val="22"/>
        </w:rPr>
      </w:pPr>
    </w:p>
    <w:p w14:paraId="3E728C3B" w14:textId="77777777" w:rsidR="00DE3EE8" w:rsidRPr="002B7E6B" w:rsidRDefault="00DE3EE8" w:rsidP="00DE3EE8">
      <w:pPr>
        <w:rPr>
          <w:sz w:val="22"/>
          <w:szCs w:val="22"/>
        </w:rPr>
      </w:pPr>
      <w:r w:rsidRPr="002B7E6B">
        <w:rPr>
          <w:sz w:val="22"/>
          <w:szCs w:val="22"/>
        </w:rPr>
        <w:t xml:space="preserve">Overfished or approaching an overfished condition is determined for all age-structured stock assessments by comparison of the stock level in relation to its MSY level according to the following two harvest scenarios (Note for Tier 3 stocks, the MSY level is defined as </w:t>
      </w:r>
      <w:proofErr w:type="gramStart"/>
      <w:r w:rsidRPr="002B7E6B">
        <w:rPr>
          <w:sz w:val="22"/>
          <w:szCs w:val="22"/>
        </w:rPr>
        <w:t>B35%</w:t>
      </w:r>
      <w:proofErr w:type="gramEnd"/>
      <w:r w:rsidRPr="002B7E6B">
        <w:rPr>
          <w:sz w:val="22"/>
          <w:szCs w:val="22"/>
        </w:rPr>
        <w:t>):</w:t>
      </w:r>
    </w:p>
    <w:p w14:paraId="4B7A8149" w14:textId="77777777" w:rsidR="00DE3EE8" w:rsidRPr="002B7E6B" w:rsidRDefault="00DE3EE8" w:rsidP="00DE3EE8">
      <w:pPr>
        <w:rPr>
          <w:sz w:val="22"/>
          <w:szCs w:val="22"/>
        </w:rPr>
      </w:pPr>
      <w:r w:rsidRPr="002B7E6B">
        <w:rPr>
          <w:sz w:val="22"/>
          <w:szCs w:val="22"/>
        </w:rPr>
        <w:t xml:space="preserve">Overfished (listed in each assessment as projection scenario 6): In all future years, F </w:t>
      </w:r>
      <w:proofErr w:type="gramStart"/>
      <w:r w:rsidRPr="002B7E6B">
        <w:rPr>
          <w:sz w:val="22"/>
          <w:szCs w:val="22"/>
        </w:rPr>
        <w:t>is set</w:t>
      </w:r>
      <w:proofErr w:type="gramEnd"/>
      <w:r w:rsidRPr="002B7E6B">
        <w:rPr>
          <w:sz w:val="22"/>
          <w:szCs w:val="22"/>
        </w:rPr>
        <w:t xml:space="preserve"> equal to FOFL. (Rationale: This scenario determines whether a stock is overfished. If the stock </w:t>
      </w:r>
      <w:proofErr w:type="gramStart"/>
      <w:r w:rsidRPr="002B7E6B">
        <w:rPr>
          <w:sz w:val="22"/>
          <w:szCs w:val="22"/>
        </w:rPr>
        <w:t>is expected</w:t>
      </w:r>
      <w:proofErr w:type="gramEnd"/>
      <w:r w:rsidRPr="002B7E6B">
        <w:rPr>
          <w:sz w:val="22"/>
          <w:szCs w:val="22"/>
        </w:rPr>
        <w:t xml:space="preserve"> to be 1) above its MSY level in 2022 or 2) above ½ of its MSY level in 2022 and above its MSY level in 2032 under this scenario, then the stock is not overfished.)</w:t>
      </w:r>
    </w:p>
    <w:p w14:paraId="35BE9CCB" w14:textId="77777777" w:rsidR="00DE3EE8" w:rsidRPr="002B7E6B" w:rsidRDefault="00DE3EE8" w:rsidP="00DE3EE8">
      <w:pPr>
        <w:rPr>
          <w:sz w:val="22"/>
          <w:szCs w:val="22"/>
        </w:rPr>
      </w:pPr>
    </w:p>
    <w:p w14:paraId="6C91F854" w14:textId="77777777" w:rsidR="00DE3EE8" w:rsidRPr="002B7E6B" w:rsidRDefault="00DE3EE8" w:rsidP="00DE3EE8">
      <w:pPr>
        <w:rPr>
          <w:sz w:val="22"/>
          <w:szCs w:val="22"/>
        </w:rPr>
      </w:pPr>
      <w:r w:rsidRPr="002B7E6B">
        <w:rPr>
          <w:sz w:val="22"/>
          <w:szCs w:val="22"/>
        </w:rPr>
        <w:t xml:space="preserve">Approaching an overfished condition (listed in each assessment as scenario 7): In 2023 and 2024, F is set equal to max FABC, and in all subsequent years, F </w:t>
      </w:r>
      <w:proofErr w:type="gramStart"/>
      <w:r w:rsidRPr="002B7E6B">
        <w:rPr>
          <w:sz w:val="22"/>
          <w:szCs w:val="22"/>
        </w:rPr>
        <w:t>is set</w:t>
      </w:r>
      <w:proofErr w:type="gramEnd"/>
      <w:r w:rsidRPr="002B7E6B">
        <w:rPr>
          <w:sz w:val="22"/>
          <w:szCs w:val="22"/>
        </w:rPr>
        <w:t xml:space="preserve"> equal to FOFL. (Rationale: This scenario determines whether a stock is approaching an overfished condition. If the stock is 1) above its MSY level in 2024 or 2) above 1/2 of its MSY level in 2024 and expected to be above its MSY level in 2034 under this scenario, then the stock is not approaching an overfished condition.)</w:t>
      </w:r>
    </w:p>
    <w:p w14:paraId="36F08D87" w14:textId="77777777" w:rsidR="00DE3EE8" w:rsidRPr="002B7E6B" w:rsidRDefault="00DE3EE8" w:rsidP="00DE3EE8">
      <w:pPr>
        <w:rPr>
          <w:sz w:val="22"/>
          <w:szCs w:val="22"/>
        </w:rPr>
      </w:pPr>
    </w:p>
    <w:p w14:paraId="457233CF" w14:textId="77777777" w:rsidR="00DE3EE8" w:rsidRPr="002B7E6B" w:rsidRDefault="00DE3EE8" w:rsidP="00DE3EE8">
      <w:pPr>
        <w:rPr>
          <w:sz w:val="22"/>
          <w:szCs w:val="22"/>
        </w:rPr>
      </w:pPr>
      <w:r w:rsidRPr="002B7E6B">
        <w:rPr>
          <w:sz w:val="22"/>
          <w:szCs w:val="22"/>
        </w:rPr>
        <w:t xml:space="preserve">The status of individual groundfish stocks managed under the FMP </w:t>
      </w:r>
      <w:proofErr w:type="gramStart"/>
      <w:r w:rsidRPr="002B7E6B">
        <w:rPr>
          <w:sz w:val="22"/>
          <w:szCs w:val="22"/>
        </w:rPr>
        <w:t>is summarized</w:t>
      </w:r>
      <w:proofErr w:type="gramEnd"/>
      <w:r w:rsidRPr="002B7E6B">
        <w:rPr>
          <w:sz w:val="22"/>
          <w:szCs w:val="22"/>
        </w:rPr>
        <w:t xml:space="preserve"> in this section. The spawning biomass estimates of pollock (W/C GOA), sablefish, Dover sole, flathead sole, rex sole, arrowtooth flounder, Pacific ocean perch, rougheye and blackspotted rockfish, northern rockfish, and dusky rockfish are above target stock size (Figure below). The spawning biomass of Pacific cod is below the proxy for BMSY. The target biomass levels for EGOA pollock, deep-water flatfish (excluding Dover sole), shallow-water flatfish, shortraker rockfish, other rockfish, demersal shelf rockfish, thornyhead rockfish, Atka mackerel, skates, octopus, and sharks are unknown.</w:t>
      </w:r>
    </w:p>
    <w:p w14:paraId="493A55C7" w14:textId="77777777" w:rsidR="00DE3EE8" w:rsidRPr="002B7E6B" w:rsidRDefault="00DE3EE8" w:rsidP="00DE3EE8">
      <w:pPr>
        <w:rPr>
          <w:sz w:val="22"/>
          <w:szCs w:val="22"/>
        </w:rPr>
      </w:pPr>
      <w:r w:rsidRPr="002B7E6B">
        <w:rPr>
          <w:noProof/>
          <w:sz w:val="22"/>
          <w:szCs w:val="22"/>
        </w:rPr>
        <w:lastRenderedPageBreak/>
        <w:drawing>
          <wp:inline distT="114300" distB="114300" distL="114300" distR="114300" wp14:anchorId="65C06BE8" wp14:editId="21F89E64">
            <wp:extent cx="6115050" cy="3911600"/>
            <wp:effectExtent l="0" t="0" r="0" b="0"/>
            <wp:docPr id="5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5"/>
                    <a:srcRect/>
                    <a:stretch>
                      <a:fillRect/>
                    </a:stretch>
                  </pic:blipFill>
                  <pic:spPr>
                    <a:xfrm>
                      <a:off x="0" y="0"/>
                      <a:ext cx="6115050" cy="3911600"/>
                    </a:xfrm>
                    <a:prstGeom prst="rect">
                      <a:avLst/>
                    </a:prstGeom>
                    <a:ln/>
                  </pic:spPr>
                </pic:pic>
              </a:graphicData>
            </a:graphic>
          </wp:inline>
        </w:drawing>
      </w:r>
    </w:p>
    <w:p w14:paraId="5DF99B5E" w14:textId="77777777" w:rsidR="00DE3EE8" w:rsidRPr="002B7E6B" w:rsidRDefault="00DE3EE8" w:rsidP="00DE3EE8">
      <w:pPr>
        <w:rPr>
          <w:sz w:val="22"/>
          <w:szCs w:val="22"/>
        </w:rPr>
      </w:pPr>
      <w:r w:rsidRPr="002B7E6B">
        <w:rPr>
          <w:sz w:val="22"/>
          <w:szCs w:val="22"/>
        </w:rPr>
        <w:t>Summary of Gulf of Alaska stock status next year (spawning biomass relative to BMSY; horizontal axis) and current year catch relative to fishing at FMSY (vertical axis). Note that sablefish is for Alaska-wide values including the BSAI catches.</w:t>
      </w:r>
    </w:p>
    <w:p w14:paraId="4BCA4A73" w14:textId="77777777" w:rsidR="00DE3EE8" w:rsidRPr="002B7E6B" w:rsidRDefault="00DE3EE8" w:rsidP="00DE3EE8">
      <w:pPr>
        <w:rPr>
          <w:sz w:val="22"/>
          <w:szCs w:val="22"/>
        </w:rPr>
      </w:pPr>
    </w:p>
    <w:p w14:paraId="2A970DCC" w14:textId="77777777" w:rsidR="00DE3EE8" w:rsidRPr="002B7E6B" w:rsidRDefault="00DE3EE8" w:rsidP="00DE3EE8">
      <w:pPr>
        <w:rPr>
          <w:sz w:val="22"/>
          <w:szCs w:val="22"/>
        </w:rPr>
      </w:pPr>
      <w:r w:rsidRPr="002B7E6B">
        <w:rPr>
          <w:sz w:val="22"/>
          <w:szCs w:val="22"/>
        </w:rPr>
        <w:t>Revised Stock Assessment Schedule</w:t>
      </w:r>
    </w:p>
    <w:p w14:paraId="7FF913C9" w14:textId="77777777" w:rsidR="00DE3EE8" w:rsidRPr="002B7E6B" w:rsidRDefault="00DE3EE8" w:rsidP="00DE3EE8">
      <w:pPr>
        <w:rPr>
          <w:sz w:val="22"/>
          <w:szCs w:val="22"/>
        </w:rPr>
      </w:pPr>
    </w:p>
    <w:p w14:paraId="11790D91" w14:textId="77777777" w:rsidR="00DE3EE8" w:rsidRPr="002B7E6B" w:rsidRDefault="00DE3EE8" w:rsidP="00DE3EE8">
      <w:pPr>
        <w:rPr>
          <w:sz w:val="22"/>
          <w:szCs w:val="22"/>
        </w:rPr>
      </w:pPr>
      <w:r w:rsidRPr="002B7E6B">
        <w:rPr>
          <w:sz w:val="22"/>
          <w:szCs w:val="22"/>
        </w:rPr>
        <w:t xml:space="preserve">Based on consideration of stock prioritization including assessment methods and data availability, some stocks </w:t>
      </w:r>
      <w:proofErr w:type="gramStart"/>
      <w:r w:rsidRPr="002B7E6B">
        <w:rPr>
          <w:sz w:val="22"/>
          <w:szCs w:val="22"/>
        </w:rPr>
        <w:t>are assessed</w:t>
      </w:r>
      <w:proofErr w:type="gramEnd"/>
      <w:r w:rsidRPr="002B7E6B">
        <w:rPr>
          <w:sz w:val="22"/>
          <w:szCs w:val="22"/>
        </w:rPr>
        <w:t xml:space="preserve"> on an annual basis while others are assessed less frequently. The following table provides an overview of the level of assessment presented in this year’s SAFE report, the Tier level and schedule, as well as the year of the next full assessment by stock.]\</w:t>
      </w:r>
      <w:r w:rsidRPr="002B7E6B">
        <w:rPr>
          <w:noProof/>
          <w:sz w:val="22"/>
          <w:szCs w:val="22"/>
        </w:rPr>
        <w:lastRenderedPageBreak/>
        <w:drawing>
          <wp:inline distT="114300" distB="114300" distL="114300" distR="114300" wp14:anchorId="59E12683" wp14:editId="2D8F54AB">
            <wp:extent cx="6115050" cy="4711700"/>
            <wp:effectExtent l="0" t="0" r="0" b="0"/>
            <wp:docPr id="6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6"/>
                    <a:srcRect/>
                    <a:stretch>
                      <a:fillRect/>
                    </a:stretch>
                  </pic:blipFill>
                  <pic:spPr>
                    <a:xfrm>
                      <a:off x="0" y="0"/>
                      <a:ext cx="6115050" cy="4711700"/>
                    </a:xfrm>
                    <a:prstGeom prst="rect">
                      <a:avLst/>
                    </a:prstGeom>
                    <a:ln/>
                  </pic:spPr>
                </pic:pic>
              </a:graphicData>
            </a:graphic>
          </wp:inline>
        </w:drawing>
      </w:r>
    </w:p>
    <w:p w14:paraId="6C0A3DC7" w14:textId="77777777" w:rsidR="00DE3EE8" w:rsidRPr="002B7E6B" w:rsidRDefault="00DE3EE8" w:rsidP="00DE3EE8">
      <w:pPr>
        <w:rPr>
          <w:sz w:val="22"/>
          <w:szCs w:val="22"/>
        </w:rPr>
      </w:pPr>
      <w:r w:rsidRPr="002B7E6B">
        <w:rPr>
          <w:sz w:val="22"/>
          <w:szCs w:val="22"/>
        </w:rPr>
        <w:t xml:space="preserve">For more information contact the Gulf of Alaska Plan Team Co-chair, Chris Lunsford, </w:t>
      </w:r>
      <w:proofErr w:type="gramStart"/>
      <w:r w:rsidRPr="002B7E6B">
        <w:rPr>
          <w:sz w:val="22"/>
          <w:szCs w:val="22"/>
        </w:rPr>
        <w:t>Chris.Lunsford@noaa.gov .</w:t>
      </w:r>
      <w:proofErr w:type="gramEnd"/>
      <w:r w:rsidRPr="002B7E6B">
        <w:rPr>
          <w:sz w:val="22"/>
          <w:szCs w:val="22"/>
        </w:rPr>
        <w:t xml:space="preserve"> Report: </w:t>
      </w:r>
      <w:hyperlink r:id="rId37">
        <w:r w:rsidRPr="002B7E6B">
          <w:rPr>
            <w:color w:val="1155CC"/>
            <w:sz w:val="22"/>
            <w:szCs w:val="22"/>
            <w:u w:val="single"/>
          </w:rPr>
          <w:t>https://meetings.npfmc.org/CommentReview/DownloadFile?p=b0e846bf-0674-4707-97ed-32f55af846aa.pdf&amp;fileName=C5%20GOA%20Groundfish%20SAFE%20Intro.pdf</w:t>
        </w:r>
      </w:hyperlink>
    </w:p>
    <w:p w14:paraId="5FF0EDC8" w14:textId="77777777" w:rsidR="00DE3EE8" w:rsidRPr="002B7E6B" w:rsidRDefault="00DE3EE8" w:rsidP="00DE3EE8">
      <w:pPr>
        <w:rPr>
          <w:sz w:val="22"/>
          <w:szCs w:val="22"/>
        </w:rPr>
      </w:pPr>
    </w:p>
    <w:p w14:paraId="38DF007A" w14:textId="77777777" w:rsidR="00DE3EE8" w:rsidRPr="002B7E6B" w:rsidRDefault="00DE3EE8" w:rsidP="00DE3EE8">
      <w:pPr>
        <w:rPr>
          <w:sz w:val="22"/>
          <w:szCs w:val="22"/>
        </w:rPr>
      </w:pPr>
    </w:p>
    <w:p w14:paraId="5E221499" w14:textId="77777777" w:rsidR="00DE3EE8" w:rsidRPr="002B7E6B" w:rsidRDefault="00DE3EE8" w:rsidP="00DE3EE8">
      <w:pPr>
        <w:rPr>
          <w:sz w:val="22"/>
          <w:szCs w:val="22"/>
        </w:rPr>
      </w:pPr>
    </w:p>
    <w:p w14:paraId="5C7D07F9" w14:textId="77777777" w:rsidR="00DE3EE8" w:rsidRPr="002B7E6B" w:rsidRDefault="00DE3EE8" w:rsidP="008E1B78">
      <w:pPr>
        <w:numPr>
          <w:ilvl w:val="1"/>
          <w:numId w:val="4"/>
        </w:numPr>
        <w:ind w:left="360"/>
        <w:rPr>
          <w:sz w:val="22"/>
          <w:szCs w:val="22"/>
        </w:rPr>
      </w:pPr>
      <w:r w:rsidRPr="002B7E6B">
        <w:rPr>
          <w:sz w:val="22"/>
          <w:szCs w:val="22"/>
        </w:rPr>
        <w:t>Bering Sea</w:t>
      </w:r>
    </w:p>
    <w:p w14:paraId="43A7C5DB" w14:textId="5B3EA3A8" w:rsidR="00DE3EE8" w:rsidRDefault="00DE3EE8" w:rsidP="008E1B78">
      <w:pPr>
        <w:rPr>
          <w:sz w:val="22"/>
          <w:szCs w:val="22"/>
        </w:rPr>
      </w:pPr>
    </w:p>
    <w:p w14:paraId="2989212E" w14:textId="77777777" w:rsidR="008E1B78" w:rsidRPr="008E1B78" w:rsidRDefault="008E1B78" w:rsidP="008E1B78">
      <w:pPr>
        <w:pStyle w:val="NormalWeb"/>
        <w:spacing w:before="0" w:beforeAutospacing="0" w:after="0" w:afterAutospacing="0"/>
        <w:rPr>
          <w:sz w:val="22"/>
          <w:szCs w:val="22"/>
        </w:rPr>
      </w:pPr>
      <w:r w:rsidRPr="008E1B78">
        <w:rPr>
          <w:color w:val="000000"/>
          <w:sz w:val="22"/>
          <w:szCs w:val="22"/>
        </w:rPr>
        <w:t xml:space="preserve">The status of individual groundfish stocks managed under the FMP </w:t>
      </w:r>
      <w:proofErr w:type="gramStart"/>
      <w:r w:rsidRPr="008E1B78">
        <w:rPr>
          <w:color w:val="000000"/>
          <w:sz w:val="22"/>
          <w:szCs w:val="22"/>
        </w:rPr>
        <w:t>is summarized</w:t>
      </w:r>
      <w:proofErr w:type="gramEnd"/>
      <w:r w:rsidRPr="008E1B78">
        <w:rPr>
          <w:color w:val="000000"/>
          <w:sz w:val="22"/>
          <w:szCs w:val="22"/>
        </w:rPr>
        <w:t xml:space="preserve"> in this section. The spawning biomass of all stocks are above target stock size.</w:t>
      </w:r>
    </w:p>
    <w:p w14:paraId="0CCAA959" w14:textId="77777777" w:rsidR="008E1B78" w:rsidRPr="008E1B78" w:rsidRDefault="008E1B78" w:rsidP="008E1B78">
      <w:pPr>
        <w:rPr>
          <w:sz w:val="22"/>
          <w:szCs w:val="22"/>
        </w:rPr>
      </w:pPr>
    </w:p>
    <w:p w14:paraId="55CF6152" w14:textId="3C2BF1E4" w:rsidR="008E1B78" w:rsidRPr="008E1B78" w:rsidRDefault="008E1B78" w:rsidP="008E1B78">
      <w:pPr>
        <w:pStyle w:val="NormalWeb"/>
        <w:spacing w:before="0" w:beforeAutospacing="0" w:after="0" w:afterAutospacing="0"/>
        <w:rPr>
          <w:sz w:val="22"/>
          <w:szCs w:val="22"/>
        </w:rPr>
      </w:pPr>
      <w:r w:rsidRPr="008E1B78">
        <w:rPr>
          <w:noProof/>
          <w:color w:val="000000"/>
          <w:sz w:val="22"/>
          <w:szCs w:val="22"/>
          <w:bdr w:val="none" w:sz="0" w:space="0" w:color="auto" w:frame="1"/>
        </w:rPr>
        <w:lastRenderedPageBreak/>
        <w:drawing>
          <wp:inline distT="0" distB="0" distL="0" distR="0" wp14:anchorId="58C56039" wp14:editId="023B68B1">
            <wp:extent cx="6112510" cy="3657600"/>
            <wp:effectExtent l="0" t="0" r="2540" b="0"/>
            <wp:docPr id="3" name="Picture 3" descr="https://lh6.googleusercontent.com/yejMegiPZl81yNUNVhIT_7rsZl01FhnRRVb7NfNFUwiyIpGRO6fV_0xjOGGezRBfNnydKTXU_XumM7WG6T0h5bEF_oZYaqLzVRY0gMw0e4B8wu5lDwej8SmfMaq-QLBHPeMc9qVj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6.googleusercontent.com/yejMegiPZl81yNUNVhIT_7rsZl01FhnRRVb7NfNFUwiyIpGRO6fV_0xjOGGezRBfNnydKTXU_XumM7WG6T0h5bEF_oZYaqLzVRY0gMw0e4B8wu5lDwej8SmfMaq-QLBHPeMc9qVjtI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12510" cy="3657600"/>
                    </a:xfrm>
                    <a:prstGeom prst="rect">
                      <a:avLst/>
                    </a:prstGeom>
                    <a:noFill/>
                    <a:ln>
                      <a:noFill/>
                    </a:ln>
                  </pic:spPr>
                </pic:pic>
              </a:graphicData>
            </a:graphic>
          </wp:inline>
        </w:drawing>
      </w:r>
    </w:p>
    <w:p w14:paraId="0FD56427" w14:textId="77777777" w:rsidR="008E1B78" w:rsidRPr="008E1B78" w:rsidRDefault="008E1B78" w:rsidP="008E1B78">
      <w:pPr>
        <w:pStyle w:val="NormalWeb"/>
        <w:spacing w:before="0" w:beforeAutospacing="0" w:after="0" w:afterAutospacing="0"/>
        <w:rPr>
          <w:sz w:val="22"/>
          <w:szCs w:val="22"/>
        </w:rPr>
      </w:pPr>
      <w:r w:rsidRPr="008E1B78">
        <w:rPr>
          <w:color w:val="000000"/>
          <w:sz w:val="22"/>
          <w:szCs w:val="22"/>
        </w:rPr>
        <w:t>Summary of Bering Sea and Aleutian Islands stock status next year (spawning biomass relative to BMSY; horizontal axis) and current year catch relative to fishing at FMSY (vertical axis). </w:t>
      </w:r>
    </w:p>
    <w:p w14:paraId="086FEC16" w14:textId="77777777" w:rsidR="008E1B78" w:rsidRPr="008E1B78" w:rsidRDefault="008E1B78" w:rsidP="008E1B78">
      <w:pPr>
        <w:rPr>
          <w:sz w:val="22"/>
          <w:szCs w:val="22"/>
        </w:rPr>
      </w:pPr>
    </w:p>
    <w:p w14:paraId="48C0B925" w14:textId="77777777" w:rsidR="008E1B78" w:rsidRPr="008E1B78" w:rsidRDefault="008E1B78" w:rsidP="008E1B78">
      <w:pPr>
        <w:pStyle w:val="NormalWeb"/>
        <w:spacing w:before="0" w:beforeAutospacing="0" w:after="0" w:afterAutospacing="0"/>
        <w:rPr>
          <w:sz w:val="22"/>
          <w:szCs w:val="22"/>
        </w:rPr>
      </w:pPr>
      <w:r w:rsidRPr="008E1B78">
        <w:rPr>
          <w:color w:val="000000"/>
          <w:sz w:val="22"/>
          <w:szCs w:val="22"/>
        </w:rPr>
        <w:t>Revised Stock Assessment Schedule</w:t>
      </w:r>
    </w:p>
    <w:p w14:paraId="248BA047" w14:textId="77777777" w:rsidR="008E1B78" w:rsidRPr="008E1B78" w:rsidRDefault="008E1B78" w:rsidP="008E1B78">
      <w:pPr>
        <w:rPr>
          <w:sz w:val="22"/>
          <w:szCs w:val="22"/>
        </w:rPr>
      </w:pPr>
    </w:p>
    <w:p w14:paraId="1B90837C" w14:textId="77777777" w:rsidR="008E1B78" w:rsidRPr="008E1B78" w:rsidRDefault="008E1B78" w:rsidP="008E1B78">
      <w:pPr>
        <w:pStyle w:val="NormalWeb"/>
        <w:spacing w:before="0" w:beforeAutospacing="0" w:after="0" w:afterAutospacing="0"/>
        <w:rPr>
          <w:sz w:val="22"/>
          <w:szCs w:val="22"/>
        </w:rPr>
      </w:pPr>
      <w:r w:rsidRPr="008E1B78">
        <w:rPr>
          <w:color w:val="000000"/>
          <w:sz w:val="22"/>
          <w:szCs w:val="22"/>
        </w:rPr>
        <w:t xml:space="preserve">Based on consideration of stock prioritization including assessment methods and data availability, some stocks </w:t>
      </w:r>
      <w:proofErr w:type="gramStart"/>
      <w:r w:rsidRPr="008E1B78">
        <w:rPr>
          <w:color w:val="000000"/>
          <w:sz w:val="22"/>
          <w:szCs w:val="22"/>
        </w:rPr>
        <w:t>are assessed</w:t>
      </w:r>
      <w:proofErr w:type="gramEnd"/>
      <w:r w:rsidRPr="008E1B78">
        <w:rPr>
          <w:color w:val="000000"/>
          <w:sz w:val="22"/>
          <w:szCs w:val="22"/>
        </w:rPr>
        <w:t xml:space="preserve"> on an annual basis while others are assessed less frequently. The following table provides an overview of the level of assessment presented in this year’s SAFE report, the Tier level and schedule, as well as the year of the next full assessment by stock.</w:t>
      </w:r>
    </w:p>
    <w:p w14:paraId="1210EEA9" w14:textId="61E47881" w:rsidR="008E1B78" w:rsidRPr="008E1B78" w:rsidRDefault="008E1B78" w:rsidP="008E1B78">
      <w:pPr>
        <w:pStyle w:val="NormalWeb"/>
        <w:spacing w:before="0" w:beforeAutospacing="0" w:after="0" w:afterAutospacing="0"/>
        <w:rPr>
          <w:sz w:val="22"/>
          <w:szCs w:val="22"/>
        </w:rPr>
      </w:pPr>
      <w:r w:rsidRPr="008E1B78">
        <w:rPr>
          <w:noProof/>
          <w:color w:val="000000"/>
          <w:sz w:val="22"/>
          <w:szCs w:val="22"/>
          <w:bdr w:val="none" w:sz="0" w:space="0" w:color="auto" w:frame="1"/>
        </w:rPr>
        <w:lastRenderedPageBreak/>
        <w:drawing>
          <wp:inline distT="0" distB="0" distL="0" distR="0" wp14:anchorId="2709442C" wp14:editId="0EE6173D">
            <wp:extent cx="6112510" cy="5867400"/>
            <wp:effectExtent l="0" t="0" r="2540" b="0"/>
            <wp:docPr id="2" name="Picture 2" descr="https://lh3.googleusercontent.com/43874BiimuKyXH8nYkUi3JnjkDv8KDmF1KB-VTF1cZsKnLHZ0Ff7idCt6pnSclVy7PKZDWFFoCLTdOCg2qHOMJSYev191L2uSIXz4jzfVCBStQIYBjtBFjyqjjXB0XmK7NXUQ1OvIf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3.googleusercontent.com/43874BiimuKyXH8nYkUi3JnjkDv8KDmF1KB-VTF1cZsKnLHZ0Ff7idCt6pnSclVy7PKZDWFFoCLTdOCg2qHOMJSYev191L2uSIXz4jzfVCBStQIYBjtBFjyqjjXB0XmK7NXUQ1OvIf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12510" cy="5867400"/>
                    </a:xfrm>
                    <a:prstGeom prst="rect">
                      <a:avLst/>
                    </a:prstGeom>
                    <a:noFill/>
                    <a:ln>
                      <a:noFill/>
                    </a:ln>
                  </pic:spPr>
                </pic:pic>
              </a:graphicData>
            </a:graphic>
          </wp:inline>
        </w:drawing>
      </w:r>
    </w:p>
    <w:p w14:paraId="14EFD996" w14:textId="77777777" w:rsidR="008E1B78" w:rsidRPr="008E1B78" w:rsidRDefault="008E1B78" w:rsidP="008E1B78">
      <w:pPr>
        <w:pStyle w:val="NormalWeb"/>
        <w:spacing w:before="0" w:beforeAutospacing="0" w:after="0" w:afterAutospacing="0"/>
        <w:rPr>
          <w:sz w:val="22"/>
          <w:szCs w:val="22"/>
        </w:rPr>
      </w:pPr>
    </w:p>
    <w:p w14:paraId="0D19437E" w14:textId="2EA08F3B" w:rsidR="008E1B78" w:rsidRPr="008E1B78" w:rsidRDefault="008E1B78" w:rsidP="008E1B78">
      <w:pPr>
        <w:rPr>
          <w:sz w:val="22"/>
          <w:szCs w:val="22"/>
        </w:rPr>
      </w:pPr>
      <w:r w:rsidRPr="008E1B78">
        <w:rPr>
          <w:color w:val="000000"/>
          <w:sz w:val="22"/>
          <w:szCs w:val="22"/>
        </w:rPr>
        <w:t xml:space="preserve">For more </w:t>
      </w:r>
      <w:proofErr w:type="gramStart"/>
      <w:r w:rsidRPr="008E1B78">
        <w:rPr>
          <w:color w:val="000000"/>
          <w:sz w:val="22"/>
          <w:szCs w:val="22"/>
        </w:rPr>
        <w:t>information</w:t>
      </w:r>
      <w:proofErr w:type="gramEnd"/>
      <w:r w:rsidRPr="008E1B78">
        <w:rPr>
          <w:color w:val="000000"/>
          <w:sz w:val="22"/>
          <w:szCs w:val="22"/>
        </w:rPr>
        <w:t xml:space="preserve"> contact the BSAI Plan Team Co-chairs, Kaleo Shotwell </w:t>
      </w:r>
      <w:hyperlink r:id="rId40" w:history="1">
        <w:r w:rsidRPr="008E1B78">
          <w:rPr>
            <w:rStyle w:val="Hyperlink"/>
            <w:color w:val="1155CC"/>
            <w:sz w:val="22"/>
            <w:szCs w:val="22"/>
          </w:rPr>
          <w:t>kalei.shotwell@noaa.gov</w:t>
        </w:r>
      </w:hyperlink>
      <w:r w:rsidRPr="008E1B78">
        <w:rPr>
          <w:color w:val="000000"/>
          <w:sz w:val="22"/>
          <w:szCs w:val="22"/>
        </w:rPr>
        <w:t xml:space="preserve"> and Steve Barbeaux steve.barbeaux@noaa.gov</w:t>
      </w:r>
    </w:p>
    <w:p w14:paraId="165E39B4" w14:textId="77777777" w:rsidR="00DE3EE8" w:rsidRPr="002B7E6B" w:rsidRDefault="00DE3EE8" w:rsidP="00DE3EE8">
      <w:pPr>
        <w:ind w:left="1440"/>
        <w:rPr>
          <w:sz w:val="22"/>
          <w:szCs w:val="22"/>
        </w:rPr>
      </w:pPr>
    </w:p>
    <w:p w14:paraId="049C62E6" w14:textId="3698F86C" w:rsidR="00DE3EE8" w:rsidRDefault="00DE3EE8" w:rsidP="008E1B78">
      <w:pPr>
        <w:numPr>
          <w:ilvl w:val="1"/>
          <w:numId w:val="4"/>
        </w:numPr>
        <w:ind w:left="360"/>
        <w:rPr>
          <w:sz w:val="22"/>
          <w:szCs w:val="22"/>
        </w:rPr>
      </w:pPr>
      <w:r w:rsidRPr="002B7E6B">
        <w:rPr>
          <w:sz w:val="22"/>
          <w:szCs w:val="22"/>
        </w:rPr>
        <w:t>Alaska-wide</w:t>
      </w:r>
    </w:p>
    <w:p w14:paraId="257F0E91" w14:textId="468AD060" w:rsidR="008E1B78" w:rsidRDefault="008E1B78" w:rsidP="008E1B78">
      <w:pPr>
        <w:rPr>
          <w:sz w:val="22"/>
          <w:szCs w:val="22"/>
        </w:rPr>
      </w:pPr>
    </w:p>
    <w:p w14:paraId="2EB25EB0" w14:textId="23AE1909" w:rsidR="00DE3EE8" w:rsidRPr="002B7E6B" w:rsidRDefault="00DE3EE8" w:rsidP="00DE3EE8">
      <w:pPr>
        <w:widowControl/>
        <w:rPr>
          <w:i/>
          <w:sz w:val="22"/>
          <w:szCs w:val="22"/>
        </w:rPr>
      </w:pPr>
      <w:r w:rsidRPr="002B7E6B">
        <w:rPr>
          <w:i/>
          <w:sz w:val="22"/>
          <w:szCs w:val="22"/>
        </w:rPr>
        <w:t>REMA</w:t>
      </w:r>
      <w:r w:rsidR="0024271A">
        <w:rPr>
          <w:i/>
          <w:sz w:val="22"/>
          <w:szCs w:val="22"/>
        </w:rPr>
        <w:t xml:space="preserve"> – </w:t>
      </w:r>
      <w:r w:rsidRPr="002B7E6B">
        <w:rPr>
          <w:i/>
          <w:sz w:val="22"/>
          <w:szCs w:val="22"/>
        </w:rPr>
        <w:t xml:space="preserve">An R package and consensus version of the random effects model for biomass-based stock assessment and apportionment at the Alaska Fisheries Science Center – ABL </w:t>
      </w:r>
    </w:p>
    <w:p w14:paraId="0BE75EE2" w14:textId="77777777" w:rsidR="00DE3EE8" w:rsidRPr="002B7E6B" w:rsidRDefault="00DE3EE8" w:rsidP="00DE3EE8">
      <w:pPr>
        <w:widowControl/>
        <w:rPr>
          <w:sz w:val="22"/>
          <w:szCs w:val="22"/>
        </w:rPr>
      </w:pPr>
    </w:p>
    <w:p w14:paraId="462FA884" w14:textId="77777777" w:rsidR="00DE3EE8" w:rsidRPr="002B7E6B" w:rsidRDefault="00DE3EE8" w:rsidP="00DE3EE8">
      <w:pPr>
        <w:widowControl/>
        <w:rPr>
          <w:sz w:val="22"/>
          <w:szCs w:val="22"/>
        </w:rPr>
      </w:pPr>
      <w:proofErr w:type="gramStart"/>
      <w:r w:rsidRPr="002B7E6B">
        <w:rPr>
          <w:sz w:val="22"/>
          <w:szCs w:val="22"/>
        </w:rPr>
        <w:t>The random effects (RE) model was developed by the North Pacific Fisheries Management Council (NPFMC) Groundfish Plan Team's (GPT) Survey Averaging working group and has been used at the Alaska Fisheries Science Center (AFSC) since 2013 to estimate biomass in data-limited groundfish and crab stock assessments (i.e., Tiers 4/5) and apportion estimates of Acceptable Biological Catch (ABC) by area (Oct 2013 Joint GPT minutes).</w:t>
      </w:r>
      <w:proofErr w:type="gramEnd"/>
      <w:r w:rsidRPr="002B7E6B">
        <w:rPr>
          <w:sz w:val="22"/>
          <w:szCs w:val="22"/>
        </w:rPr>
        <w:t xml:space="preserve"> The RE model was developed as a way to partition observation errors </w:t>
      </w:r>
      <w:r w:rsidRPr="002B7E6B">
        <w:rPr>
          <w:sz w:val="22"/>
          <w:szCs w:val="22"/>
        </w:rPr>
        <w:lastRenderedPageBreak/>
        <w:t xml:space="preserve">from survey biomass estimates with plausible process errors related to the true (but unobserved) population biomass. In this model, the process errors </w:t>
      </w:r>
      <w:proofErr w:type="gramStart"/>
      <w:r w:rsidRPr="002B7E6B">
        <w:rPr>
          <w:sz w:val="22"/>
          <w:szCs w:val="22"/>
        </w:rPr>
        <w:t>are treated</w:t>
      </w:r>
      <w:proofErr w:type="gramEnd"/>
      <w:r w:rsidRPr="002B7E6B">
        <w:rPr>
          <w:sz w:val="22"/>
          <w:szCs w:val="22"/>
        </w:rPr>
        <w:t xml:space="preserve"> as random effects, where the underlying state dynamics are modeled as a random walk.</w:t>
      </w:r>
    </w:p>
    <w:p w14:paraId="2D60B46F" w14:textId="77777777" w:rsidR="00DE3EE8" w:rsidRPr="002B7E6B" w:rsidRDefault="00DE3EE8" w:rsidP="00DE3EE8">
      <w:pPr>
        <w:widowControl/>
        <w:rPr>
          <w:sz w:val="22"/>
          <w:szCs w:val="22"/>
        </w:rPr>
      </w:pPr>
    </w:p>
    <w:p w14:paraId="71F6D00D" w14:textId="77777777" w:rsidR="00DE3EE8" w:rsidRPr="002B7E6B" w:rsidRDefault="00DE3EE8" w:rsidP="00DE3EE8">
      <w:pPr>
        <w:widowControl/>
        <w:rPr>
          <w:sz w:val="22"/>
          <w:szCs w:val="22"/>
        </w:rPr>
      </w:pPr>
      <w:r w:rsidRPr="002B7E6B">
        <w:rPr>
          <w:sz w:val="22"/>
          <w:szCs w:val="22"/>
        </w:rPr>
        <w:t xml:space="preserve">A comprehensive analysis of current methods revealed there were multiple versions of the original RE model code in use and several inconsistencies (Monnahan et al. 2021). We developed an R package to unify these variants and improve transparency and reproducibility of applications within assessments (Sullivan et al. 2022). The new R package rema </w:t>
      </w:r>
      <w:proofErr w:type="gramStart"/>
      <w:r w:rsidRPr="002B7E6B">
        <w:rPr>
          <w:sz w:val="22"/>
          <w:szCs w:val="22"/>
        </w:rPr>
        <w:t>was reviewed and recommended by the GPTs and NPFMC’s Scientific and Statistical Committee in 2022</w:t>
      </w:r>
      <w:proofErr w:type="gramEnd"/>
      <w:r w:rsidRPr="002B7E6B">
        <w:rPr>
          <w:sz w:val="22"/>
          <w:szCs w:val="22"/>
        </w:rPr>
        <w:t xml:space="preserve">. It was used for several stock assessments in 2022, including the Bering Sea and Aleutian Islands (BSAI) shortraker rockfish, BSAI other rockfish, and Gulf of Alaska thornyhead, and will be used for Tiers 4 and 5 assessments and area apportionments in the future. </w:t>
      </w:r>
    </w:p>
    <w:p w14:paraId="249878BD" w14:textId="77777777" w:rsidR="00DE3EE8" w:rsidRPr="002B7E6B" w:rsidRDefault="00DE3EE8" w:rsidP="00DE3EE8">
      <w:pPr>
        <w:widowControl/>
        <w:rPr>
          <w:sz w:val="22"/>
          <w:szCs w:val="22"/>
        </w:rPr>
      </w:pPr>
      <w:r w:rsidRPr="002B7E6B">
        <w:rPr>
          <w:sz w:val="22"/>
          <w:szCs w:val="22"/>
        </w:rPr>
        <w:t xml:space="preserve">Background information, model documentation, and code tutorials for the rema R package are available online: https://afsc-assessments.github.io/rema/ </w:t>
      </w:r>
    </w:p>
    <w:p w14:paraId="085CA170" w14:textId="77777777" w:rsidR="00DE3EE8" w:rsidRPr="002B7E6B" w:rsidRDefault="00DE3EE8" w:rsidP="00DE3EE8">
      <w:pPr>
        <w:widowControl/>
        <w:rPr>
          <w:sz w:val="22"/>
          <w:szCs w:val="22"/>
        </w:rPr>
      </w:pPr>
    </w:p>
    <w:p w14:paraId="64A9F0B2" w14:textId="77777777" w:rsidR="00DE3EE8" w:rsidRPr="002B7E6B" w:rsidRDefault="00DE3EE8" w:rsidP="00DE3EE8">
      <w:pPr>
        <w:widowControl/>
        <w:rPr>
          <w:sz w:val="22"/>
          <w:szCs w:val="22"/>
        </w:rPr>
      </w:pPr>
      <w:r w:rsidRPr="002B7E6B">
        <w:rPr>
          <w:sz w:val="22"/>
          <w:szCs w:val="22"/>
        </w:rPr>
        <w:t xml:space="preserve">For more </w:t>
      </w:r>
      <w:proofErr w:type="gramStart"/>
      <w:r w:rsidRPr="002B7E6B">
        <w:rPr>
          <w:sz w:val="22"/>
          <w:szCs w:val="22"/>
        </w:rPr>
        <w:t>information</w:t>
      </w:r>
      <w:proofErr w:type="gramEnd"/>
      <w:r w:rsidRPr="002B7E6B">
        <w:rPr>
          <w:sz w:val="22"/>
          <w:szCs w:val="22"/>
        </w:rPr>
        <w:t xml:space="preserve"> contact Jane Sullivan, ABL, at 907 789-6000 or jane.sullivan@noaa.gov</w:t>
      </w:r>
    </w:p>
    <w:p w14:paraId="6683C08B" w14:textId="77777777" w:rsidR="00DE3EE8" w:rsidRPr="002B7E6B" w:rsidRDefault="00DE3EE8" w:rsidP="00DE3EE8">
      <w:pPr>
        <w:rPr>
          <w:sz w:val="22"/>
          <w:szCs w:val="22"/>
        </w:rPr>
      </w:pPr>
    </w:p>
    <w:p w14:paraId="677E7334" w14:textId="77777777" w:rsidR="00DE3EE8" w:rsidRPr="002B7E6B" w:rsidRDefault="00DE3EE8" w:rsidP="00DE3EE8">
      <w:pPr>
        <w:ind w:left="360"/>
        <w:rPr>
          <w:sz w:val="22"/>
          <w:szCs w:val="22"/>
        </w:rPr>
      </w:pPr>
    </w:p>
    <w:p w14:paraId="79168281" w14:textId="77777777" w:rsidR="00DE3EE8" w:rsidRPr="002B7E6B" w:rsidRDefault="00DE3EE8" w:rsidP="00DE3EE8">
      <w:pPr>
        <w:pStyle w:val="Heading3"/>
        <w:keepNext w:val="0"/>
        <w:keepLines w:val="0"/>
        <w:numPr>
          <w:ilvl w:val="0"/>
          <w:numId w:val="4"/>
        </w:numPr>
        <w:spacing w:before="0" w:after="0"/>
        <w:rPr>
          <w:rFonts w:cs="Times New Roman"/>
          <w:sz w:val="22"/>
          <w:szCs w:val="22"/>
        </w:rPr>
      </w:pPr>
      <w:bookmarkStart w:id="30" w:name="_Toc131503807"/>
      <w:r w:rsidRPr="002B7E6B">
        <w:rPr>
          <w:rFonts w:cs="Times New Roman"/>
          <w:sz w:val="22"/>
          <w:szCs w:val="22"/>
        </w:rPr>
        <w:t>Hagfish</w:t>
      </w:r>
      <w:bookmarkEnd w:id="30"/>
    </w:p>
    <w:p w14:paraId="6F998F4A" w14:textId="77777777" w:rsidR="00DE3EE8" w:rsidRPr="002B7E6B" w:rsidRDefault="00DE3EE8" w:rsidP="00DE3EE8">
      <w:pPr>
        <w:ind w:left="720"/>
        <w:rPr>
          <w:sz w:val="22"/>
          <w:szCs w:val="22"/>
        </w:rPr>
      </w:pPr>
    </w:p>
    <w:p w14:paraId="711AF09B" w14:textId="77777777" w:rsidR="00DE3EE8" w:rsidRPr="002B7E6B" w:rsidRDefault="00DE3EE8" w:rsidP="00DE3EE8">
      <w:pPr>
        <w:rPr>
          <w:sz w:val="22"/>
          <w:szCs w:val="22"/>
        </w:rPr>
      </w:pPr>
      <w:r w:rsidRPr="002B7E6B">
        <w:rPr>
          <w:sz w:val="22"/>
          <w:szCs w:val="22"/>
        </w:rPr>
        <w:t xml:space="preserve">There are currently no state or federal commercial fisheries for hagfish in Alaska waters. </w:t>
      </w:r>
      <w:proofErr w:type="gramStart"/>
      <w:r w:rsidRPr="002B7E6B">
        <w:rPr>
          <w:sz w:val="22"/>
          <w:szCs w:val="22"/>
        </w:rPr>
        <w:t>However</w:t>
      </w:r>
      <w:proofErr w:type="gramEnd"/>
      <w:r w:rsidRPr="002B7E6B">
        <w:rPr>
          <w:sz w:val="22"/>
          <w:szCs w:val="22"/>
        </w:rPr>
        <w:t xml:space="preserve"> since 2017 the Alaska Department of Fish &amp; Game has been conducting research to explore the potential for small-scale hagfish fisheries.</w:t>
      </w:r>
    </w:p>
    <w:p w14:paraId="318D6BB6" w14:textId="77777777" w:rsidR="00DE3EE8" w:rsidRPr="002B7E6B" w:rsidRDefault="00DE3EE8" w:rsidP="00DE3EE8">
      <w:pPr>
        <w:rPr>
          <w:sz w:val="22"/>
          <w:szCs w:val="22"/>
        </w:rPr>
      </w:pPr>
    </w:p>
    <w:p w14:paraId="1969F345" w14:textId="77777777" w:rsidR="00DE3EE8" w:rsidRPr="002B7E6B" w:rsidRDefault="00DE3EE8" w:rsidP="00DE3EE8">
      <w:pPr>
        <w:pStyle w:val="Heading3"/>
        <w:keepNext w:val="0"/>
        <w:keepLines w:val="0"/>
        <w:numPr>
          <w:ilvl w:val="0"/>
          <w:numId w:val="4"/>
        </w:numPr>
        <w:spacing w:before="0" w:after="0"/>
        <w:rPr>
          <w:rFonts w:cs="Times New Roman"/>
          <w:sz w:val="22"/>
          <w:szCs w:val="22"/>
        </w:rPr>
      </w:pPr>
      <w:bookmarkStart w:id="31" w:name="_Toc131503808"/>
      <w:r w:rsidRPr="002B7E6B">
        <w:rPr>
          <w:rFonts w:cs="Times New Roman"/>
          <w:sz w:val="22"/>
          <w:szCs w:val="22"/>
        </w:rPr>
        <w:t>Dogfish and other sharks</w:t>
      </w:r>
      <w:bookmarkEnd w:id="31"/>
    </w:p>
    <w:p w14:paraId="10A662DB" w14:textId="4141DC41" w:rsidR="00DE3EE8" w:rsidRPr="002B7E6B" w:rsidRDefault="00DE3EE8" w:rsidP="00DE3EE8">
      <w:pPr>
        <w:pStyle w:val="Heading4"/>
        <w:numPr>
          <w:ilvl w:val="0"/>
          <w:numId w:val="5"/>
        </w:numPr>
        <w:ind w:left="720"/>
        <w:rPr>
          <w:szCs w:val="22"/>
        </w:rPr>
      </w:pPr>
      <w:bookmarkStart w:id="32" w:name="_Toc131503809"/>
      <w:r w:rsidRPr="002B7E6B">
        <w:rPr>
          <w:szCs w:val="22"/>
        </w:rPr>
        <w:t>Research</w:t>
      </w:r>
      <w:bookmarkEnd w:id="32"/>
    </w:p>
    <w:p w14:paraId="5A2B154B" w14:textId="77777777" w:rsidR="00DE3EE8" w:rsidRPr="002B7E6B" w:rsidRDefault="00DE3EE8" w:rsidP="00DE3EE8">
      <w:pPr>
        <w:rPr>
          <w:sz w:val="22"/>
          <w:szCs w:val="22"/>
        </w:rPr>
      </w:pPr>
    </w:p>
    <w:p w14:paraId="41DCBEC1" w14:textId="385AAC40" w:rsidR="00DE3EE8" w:rsidRPr="002B7E6B" w:rsidRDefault="00DE3EE8" w:rsidP="002140E8">
      <w:pPr>
        <w:pStyle w:val="Heading5"/>
      </w:pPr>
      <w:bookmarkStart w:id="33" w:name="_Toc131503810"/>
      <w:r w:rsidRPr="002B7E6B">
        <w:t>Population Genetics of Pacific Sleeper Sharks</w:t>
      </w:r>
      <w:r w:rsidR="0024271A">
        <w:t xml:space="preserve"> – </w:t>
      </w:r>
      <w:r w:rsidRPr="002B7E6B">
        <w:t>ABL</w:t>
      </w:r>
      <w:bookmarkEnd w:id="33"/>
    </w:p>
    <w:p w14:paraId="4C8ECA27" w14:textId="77777777" w:rsidR="00DE3EE8" w:rsidRPr="002B7E6B" w:rsidRDefault="00DE3EE8" w:rsidP="00DE3EE8">
      <w:pPr>
        <w:rPr>
          <w:i/>
          <w:sz w:val="22"/>
          <w:szCs w:val="22"/>
        </w:rPr>
      </w:pPr>
    </w:p>
    <w:p w14:paraId="1CEE246B" w14:textId="77777777" w:rsidR="00DE3EE8" w:rsidRPr="002B7E6B" w:rsidRDefault="00DE3EE8" w:rsidP="00DE3EE8">
      <w:pPr>
        <w:widowControl/>
        <w:rPr>
          <w:sz w:val="22"/>
          <w:szCs w:val="22"/>
        </w:rPr>
      </w:pPr>
      <w:r w:rsidRPr="002B7E6B">
        <w:rPr>
          <w:sz w:val="22"/>
          <w:szCs w:val="22"/>
        </w:rPr>
        <w:t>The purpose of this study is to investigate the population structure of Pacific sleeper sharks (</w:t>
      </w:r>
      <w:r w:rsidRPr="002B7E6B">
        <w:rPr>
          <w:i/>
          <w:sz w:val="22"/>
          <w:szCs w:val="22"/>
        </w:rPr>
        <w:t>Somniosus pacificus</w:t>
      </w:r>
      <w:r w:rsidRPr="002B7E6B">
        <w:rPr>
          <w:sz w:val="22"/>
          <w:szCs w:val="22"/>
        </w:rPr>
        <w:t xml:space="preserve">) in the eastern North Pacific Ocean. Tissue samples </w:t>
      </w:r>
      <w:proofErr w:type="gramStart"/>
      <w:r w:rsidRPr="002B7E6B">
        <w:rPr>
          <w:sz w:val="22"/>
          <w:szCs w:val="22"/>
        </w:rPr>
        <w:t>have been opportunistically collected</w:t>
      </w:r>
      <w:proofErr w:type="gramEnd"/>
      <w:r w:rsidRPr="002B7E6B">
        <w:rPr>
          <w:sz w:val="22"/>
          <w:szCs w:val="22"/>
        </w:rPr>
        <w:t xml:space="preserve"> from ~400 sharks from the West Coast, British Columbia, the Gulf of Alaska, and the Bering Sea. Samples of Greenland shark (</w:t>
      </w:r>
      <w:r w:rsidRPr="002B7E6B">
        <w:rPr>
          <w:i/>
          <w:sz w:val="22"/>
          <w:szCs w:val="22"/>
        </w:rPr>
        <w:t>S. microcephalus</w:t>
      </w:r>
      <w:r w:rsidRPr="002B7E6B">
        <w:rPr>
          <w:sz w:val="22"/>
          <w:szCs w:val="22"/>
        </w:rPr>
        <w:t>) and southern sleeper sharks (</w:t>
      </w:r>
      <w:r w:rsidRPr="002B7E6B">
        <w:rPr>
          <w:i/>
          <w:sz w:val="22"/>
          <w:szCs w:val="22"/>
        </w:rPr>
        <w:t>S. antarcticus</w:t>
      </w:r>
      <w:r w:rsidRPr="002B7E6B">
        <w:rPr>
          <w:sz w:val="22"/>
          <w:szCs w:val="22"/>
        </w:rPr>
        <w:t xml:space="preserve">) </w:t>
      </w:r>
      <w:proofErr w:type="gramStart"/>
      <w:r w:rsidRPr="002B7E6B">
        <w:rPr>
          <w:sz w:val="22"/>
          <w:szCs w:val="22"/>
        </w:rPr>
        <w:t>were also used</w:t>
      </w:r>
      <w:proofErr w:type="gramEnd"/>
      <w:r w:rsidRPr="002B7E6B">
        <w:rPr>
          <w:sz w:val="22"/>
          <w:szCs w:val="22"/>
        </w:rPr>
        <w:t xml:space="preserve"> in this study. We generated next-generation sequencing data using the reduced representation library method RADseq and conducted phylogenomic and population genomics analyses to provide novel information for use in stock assessments. Our results strongly support the species status of </w:t>
      </w:r>
      <w:r w:rsidRPr="002B7E6B">
        <w:rPr>
          <w:i/>
          <w:sz w:val="22"/>
          <w:szCs w:val="22"/>
        </w:rPr>
        <w:t xml:space="preserve">S. microcephalus </w:t>
      </w:r>
      <w:r w:rsidRPr="002B7E6B">
        <w:rPr>
          <w:sz w:val="22"/>
          <w:szCs w:val="22"/>
        </w:rPr>
        <w:t xml:space="preserve">(n = 79), but recover </w:t>
      </w:r>
      <w:r w:rsidRPr="002B7E6B">
        <w:rPr>
          <w:i/>
          <w:sz w:val="22"/>
          <w:szCs w:val="22"/>
        </w:rPr>
        <w:t>S. antarcticus</w:t>
      </w:r>
      <w:r w:rsidRPr="002B7E6B">
        <w:rPr>
          <w:sz w:val="22"/>
          <w:szCs w:val="22"/>
        </w:rPr>
        <w:t xml:space="preserve"> (N = 2) intermixed within the </w:t>
      </w:r>
      <w:r w:rsidRPr="002B7E6B">
        <w:rPr>
          <w:i/>
          <w:sz w:val="22"/>
          <w:szCs w:val="22"/>
        </w:rPr>
        <w:t>S. pacificus</w:t>
      </w:r>
      <w:r w:rsidRPr="002B7E6B">
        <w:rPr>
          <w:sz w:val="22"/>
          <w:szCs w:val="22"/>
        </w:rPr>
        <w:t xml:space="preserve"> (N = 170) clade. Population genomic analyses reveal genetic homogeneity within </w:t>
      </w:r>
      <w:r w:rsidRPr="002B7E6B">
        <w:rPr>
          <w:i/>
          <w:sz w:val="22"/>
          <w:szCs w:val="22"/>
        </w:rPr>
        <w:t>S. pacificus</w:t>
      </w:r>
      <w:r w:rsidRPr="002B7E6B">
        <w:rPr>
          <w:sz w:val="22"/>
          <w:szCs w:val="22"/>
        </w:rPr>
        <w:t xml:space="preserve"> and </w:t>
      </w:r>
      <w:r w:rsidRPr="002B7E6B">
        <w:rPr>
          <w:i/>
          <w:sz w:val="22"/>
          <w:szCs w:val="22"/>
        </w:rPr>
        <w:t>S. microcephalus</w:t>
      </w:r>
      <w:r w:rsidRPr="002B7E6B">
        <w:rPr>
          <w:sz w:val="22"/>
          <w:szCs w:val="22"/>
        </w:rPr>
        <w:t xml:space="preserve">, and estimates of effective population size suggest populations of hundreds of individuals. Kinship analysis identified two first-degree relative pairs within our dataset (one within each species). Overall, our research provides insight into the evolutionary relationships within the Somniosus Somniosus subgenus. Results </w:t>
      </w:r>
      <w:proofErr w:type="gramStart"/>
      <w:r w:rsidRPr="002B7E6B">
        <w:rPr>
          <w:sz w:val="22"/>
          <w:szCs w:val="22"/>
        </w:rPr>
        <w:t>were published</w:t>
      </w:r>
      <w:proofErr w:type="gramEnd"/>
      <w:r w:rsidRPr="002B7E6B">
        <w:rPr>
          <w:sz w:val="22"/>
          <w:szCs w:val="22"/>
        </w:rPr>
        <w:t xml:space="preserve"> in </w:t>
      </w:r>
      <w:hyperlink r:id="rId41">
        <w:r w:rsidRPr="002B7E6B">
          <w:rPr>
            <w:color w:val="0563C1"/>
            <w:sz w:val="22"/>
            <w:szCs w:val="22"/>
            <w:u w:val="single"/>
          </w:rPr>
          <w:t>Timm et al. 2022</w:t>
        </w:r>
      </w:hyperlink>
      <w:r w:rsidRPr="002B7E6B">
        <w:rPr>
          <w:sz w:val="22"/>
          <w:szCs w:val="22"/>
        </w:rPr>
        <w:t xml:space="preserve">. For more information, contact Cindy Tribuzio at (907) 789-6007 or </w:t>
      </w:r>
      <w:hyperlink r:id="rId42">
        <w:r w:rsidRPr="002B7E6B">
          <w:rPr>
            <w:color w:val="1155CC"/>
            <w:sz w:val="22"/>
            <w:szCs w:val="22"/>
            <w:u w:val="single"/>
          </w:rPr>
          <w:t>cindy.tribuzio@noaa.gov</w:t>
        </w:r>
      </w:hyperlink>
      <w:r w:rsidRPr="002B7E6B">
        <w:rPr>
          <w:sz w:val="22"/>
          <w:szCs w:val="22"/>
        </w:rPr>
        <w:t>.</w:t>
      </w:r>
    </w:p>
    <w:p w14:paraId="76F7E613" w14:textId="77777777" w:rsidR="00DE3EE8" w:rsidRPr="002B7E6B" w:rsidRDefault="00DE3EE8" w:rsidP="00DE3EE8">
      <w:pPr>
        <w:widowControl/>
        <w:rPr>
          <w:sz w:val="22"/>
          <w:szCs w:val="22"/>
        </w:rPr>
      </w:pPr>
    </w:p>
    <w:p w14:paraId="1F425280" w14:textId="77777777" w:rsidR="00DE3EE8" w:rsidRPr="002B7E6B" w:rsidRDefault="00DE3EE8" w:rsidP="002140E8">
      <w:pPr>
        <w:pStyle w:val="Heading5"/>
      </w:pPr>
      <w:bookmarkStart w:id="34" w:name="_Toc131503811"/>
      <w:r w:rsidRPr="002B7E6B">
        <w:t>Ageing of Pacific Sleeper Sharks – ABL</w:t>
      </w:r>
      <w:bookmarkEnd w:id="34"/>
      <w:r w:rsidRPr="002B7E6B">
        <w:t xml:space="preserve"> </w:t>
      </w:r>
    </w:p>
    <w:p w14:paraId="4E63CC0B" w14:textId="77777777" w:rsidR="00DE3EE8" w:rsidRPr="002B7E6B" w:rsidRDefault="00DE3EE8" w:rsidP="00DE3EE8">
      <w:pPr>
        <w:widowControl/>
        <w:spacing w:before="220"/>
        <w:rPr>
          <w:sz w:val="22"/>
          <w:szCs w:val="22"/>
        </w:rPr>
      </w:pPr>
      <w:r w:rsidRPr="002B7E6B">
        <w:rPr>
          <w:sz w:val="22"/>
          <w:szCs w:val="22"/>
        </w:rPr>
        <w:t xml:space="preserve">A pilot study is underway by staff at ABL, REFM, the Lawrence Livermore National Laboratory and the American River College to investigate potential ageing methods for Pacific sleeper sharks. A recent study suggested extreme longevity in a closely related species by examining the levels of bomb-derived radiocarbon (14C) in the eye lens. The eye lens is believed to be a metabolically inert structure and therefore the levels of 14C could reflect the environment during gestation, which may be used to compare </w:t>
      </w:r>
      <w:r w:rsidRPr="002B7E6B">
        <w:rPr>
          <w:sz w:val="22"/>
          <w:szCs w:val="22"/>
        </w:rPr>
        <w:lastRenderedPageBreak/>
        <w:t xml:space="preserve">to existing known age 14C reference curves to estimate either a rough age, or a “at least this old” age estimate. For the pilot study, eyes from six animals were removed </w:t>
      </w:r>
      <w:proofErr w:type="gramStart"/>
      <w:r w:rsidRPr="002B7E6B">
        <w:rPr>
          <w:sz w:val="22"/>
          <w:szCs w:val="22"/>
        </w:rPr>
        <w:t>whole</w:t>
      </w:r>
      <w:proofErr w:type="gramEnd"/>
      <w:r w:rsidRPr="002B7E6B">
        <w:rPr>
          <w:sz w:val="22"/>
          <w:szCs w:val="22"/>
        </w:rPr>
        <w:t xml:space="preserve"> and stored frozen until lab processing. One lens from each shark </w:t>
      </w:r>
      <w:proofErr w:type="gramStart"/>
      <w:r w:rsidRPr="002B7E6B">
        <w:rPr>
          <w:sz w:val="22"/>
          <w:szCs w:val="22"/>
        </w:rPr>
        <w:t>was excised</w:t>
      </w:r>
      <w:proofErr w:type="gramEnd"/>
      <w:r w:rsidRPr="002B7E6B">
        <w:rPr>
          <w:sz w:val="22"/>
          <w:szCs w:val="22"/>
        </w:rPr>
        <w:t xml:space="preserve"> and lens layers were removed and cleaned by sonication and dried. For larger sharks, both the lens core (earliest deposited material) and outer layer (most recently deposited material) </w:t>
      </w:r>
      <w:proofErr w:type="gramStart"/>
      <w:r w:rsidRPr="002B7E6B">
        <w:rPr>
          <w:sz w:val="22"/>
          <w:szCs w:val="22"/>
        </w:rPr>
        <w:t>were saved</w:t>
      </w:r>
      <w:proofErr w:type="gramEnd"/>
      <w:r w:rsidRPr="002B7E6B">
        <w:rPr>
          <w:sz w:val="22"/>
          <w:szCs w:val="22"/>
        </w:rPr>
        <w:t xml:space="preserve"> for analysis. </w:t>
      </w:r>
      <w:proofErr w:type="gramStart"/>
      <w:r w:rsidRPr="002B7E6B">
        <w:rPr>
          <w:sz w:val="22"/>
          <w:szCs w:val="22"/>
        </w:rPr>
        <w:t>Dry samples were sent to an accelerator mass spectrometry (AMS) facility for carbon isotope analyses (</w:t>
      </w:r>
      <w:r w:rsidRPr="002B7E6B">
        <w:rPr>
          <w:sz w:val="22"/>
          <w:szCs w:val="22"/>
          <w:vertAlign w:val="superscript"/>
        </w:rPr>
        <w:t>14</w:t>
      </w:r>
      <w:r w:rsidRPr="002B7E6B">
        <w:rPr>
          <w:sz w:val="22"/>
          <w:szCs w:val="22"/>
        </w:rPr>
        <w:t xml:space="preserve">C, </w:t>
      </w:r>
      <w:r w:rsidRPr="002B7E6B">
        <w:rPr>
          <w:sz w:val="22"/>
          <w:szCs w:val="22"/>
          <w:vertAlign w:val="superscript"/>
        </w:rPr>
        <w:t>13</w:t>
      </w:r>
      <w:r w:rsidRPr="002B7E6B">
        <w:rPr>
          <w:sz w:val="22"/>
          <w:szCs w:val="22"/>
        </w:rPr>
        <w:t xml:space="preserve">C), measurement error, and conventional radiocarbon age, when applicable (pre-bomb (&lt;1950); Gagnon et al. 2000) — it was expected that all outer layer samples would be modern and that some cores could have pre-bomb or early bomb </w:t>
      </w:r>
      <w:r w:rsidRPr="002B7E6B">
        <w:rPr>
          <w:sz w:val="22"/>
          <w:szCs w:val="22"/>
          <w:vertAlign w:val="superscript"/>
        </w:rPr>
        <w:t>14</w:t>
      </w:r>
      <w:r w:rsidRPr="002B7E6B">
        <w:rPr>
          <w:sz w:val="22"/>
          <w:szCs w:val="22"/>
        </w:rPr>
        <w:t>C rise levels based on rough estimates of age.</w:t>
      </w:r>
      <w:proofErr w:type="gramEnd"/>
      <w:r w:rsidRPr="002B7E6B">
        <w:rPr>
          <w:sz w:val="22"/>
          <w:szCs w:val="22"/>
        </w:rPr>
        <w:t xml:space="preserve"> Preliminary results demonstrate that </w:t>
      </w:r>
      <w:r w:rsidRPr="002B7E6B">
        <w:rPr>
          <w:sz w:val="22"/>
          <w:szCs w:val="22"/>
          <w:vertAlign w:val="superscript"/>
        </w:rPr>
        <w:t>14</w:t>
      </w:r>
      <w:r w:rsidRPr="002B7E6B">
        <w:rPr>
          <w:sz w:val="22"/>
          <w:szCs w:val="22"/>
        </w:rPr>
        <w:t xml:space="preserve">C is measurable in the eye lens cores and outer layers, and two of the PSS had values that could be correlated with the </w:t>
      </w:r>
      <w:r w:rsidRPr="002B7E6B">
        <w:rPr>
          <w:sz w:val="22"/>
          <w:szCs w:val="22"/>
          <w:vertAlign w:val="superscript"/>
        </w:rPr>
        <w:t>14</w:t>
      </w:r>
      <w:r w:rsidRPr="002B7E6B">
        <w:rPr>
          <w:sz w:val="22"/>
          <w:szCs w:val="22"/>
        </w:rPr>
        <w:t xml:space="preserve">C rise period (late 1950s to mid-1960s; Figure XX). Specifically, results from the largest shark sampled (310 cm TL) indicate the age was not older than 50 years. This observation is in contrast to the Nielsen et al. (2016) study, which estimated an age of 105 years for a Greenland shark of the same length. Further, our results suggest that the growth rate of PSS could be twice as high as that of the Greenland shark (Figure XX, inset). For the pilot study, we assumed that the regional bomb </w:t>
      </w:r>
      <w:r w:rsidRPr="002B7E6B">
        <w:rPr>
          <w:sz w:val="22"/>
          <w:szCs w:val="22"/>
          <w:vertAlign w:val="superscript"/>
        </w:rPr>
        <w:t>14</w:t>
      </w:r>
      <w:r w:rsidRPr="002B7E6B">
        <w:rPr>
          <w:sz w:val="22"/>
          <w:szCs w:val="22"/>
        </w:rPr>
        <w:t xml:space="preserve">C reference curve was from two long-lived teleost fishes from the GOA and that exposure and uptake of </w:t>
      </w:r>
      <w:r w:rsidRPr="002B7E6B">
        <w:rPr>
          <w:sz w:val="22"/>
          <w:szCs w:val="22"/>
          <w:vertAlign w:val="superscript"/>
        </w:rPr>
        <w:t>14</w:t>
      </w:r>
      <w:r w:rsidRPr="002B7E6B">
        <w:rPr>
          <w:sz w:val="22"/>
          <w:szCs w:val="22"/>
        </w:rPr>
        <w:t>C by PSS was similar. Proposals are pending which would further fund this study and address the concerns and assumptions highlighted by the pilot study work.</w:t>
      </w:r>
    </w:p>
    <w:p w14:paraId="6597B024" w14:textId="77777777" w:rsidR="00DE3EE8" w:rsidRPr="002B7E6B" w:rsidRDefault="00DE3EE8" w:rsidP="00DE3EE8">
      <w:pPr>
        <w:widowControl/>
        <w:rPr>
          <w:sz w:val="22"/>
          <w:szCs w:val="22"/>
        </w:rPr>
      </w:pPr>
      <w:r w:rsidRPr="002B7E6B">
        <w:rPr>
          <w:noProof/>
          <w:sz w:val="22"/>
          <w:szCs w:val="22"/>
        </w:rPr>
        <w:drawing>
          <wp:inline distT="0" distB="0" distL="0" distR="0" wp14:anchorId="6EAFFF3B" wp14:editId="70DF75D6">
            <wp:extent cx="6115050" cy="4152900"/>
            <wp:effectExtent l="0" t="0" r="0" b="0"/>
            <wp:docPr id="7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3"/>
                    <a:srcRect/>
                    <a:stretch>
                      <a:fillRect/>
                    </a:stretch>
                  </pic:blipFill>
                  <pic:spPr>
                    <a:xfrm>
                      <a:off x="0" y="0"/>
                      <a:ext cx="6115050" cy="4152900"/>
                    </a:xfrm>
                    <a:prstGeom prst="rect">
                      <a:avLst/>
                    </a:prstGeom>
                    <a:ln/>
                  </pic:spPr>
                </pic:pic>
              </a:graphicData>
            </a:graphic>
          </wp:inline>
        </w:drawing>
      </w:r>
    </w:p>
    <w:p w14:paraId="074D2F5F" w14:textId="77777777" w:rsidR="00DE3EE8" w:rsidRPr="002B7E6B" w:rsidRDefault="00DE3EE8" w:rsidP="00DE3EE8">
      <w:pPr>
        <w:widowControl/>
        <w:rPr>
          <w:sz w:val="22"/>
          <w:szCs w:val="22"/>
        </w:rPr>
      </w:pPr>
      <w:r w:rsidRPr="002B7E6B">
        <w:rPr>
          <w:sz w:val="22"/>
          <w:szCs w:val="22"/>
        </w:rPr>
        <w:t xml:space="preserve">Pacific sleeper shark (PSS) eye lens 14C values from the pilot study plotted as estimated year of formation relative to regional 14C references. Data from six sharks </w:t>
      </w:r>
      <w:proofErr w:type="gramStart"/>
      <w:r w:rsidRPr="002B7E6B">
        <w:rPr>
          <w:sz w:val="22"/>
          <w:szCs w:val="22"/>
        </w:rPr>
        <w:t>are shown</w:t>
      </w:r>
      <w:proofErr w:type="gramEnd"/>
      <w:r w:rsidRPr="002B7E6B">
        <w:rPr>
          <w:sz w:val="22"/>
          <w:szCs w:val="22"/>
        </w:rPr>
        <w:t xml:space="preserve"> as a series of samples from the core to the outer eye lens. Both eye lenses </w:t>
      </w:r>
      <w:proofErr w:type="gramStart"/>
      <w:r w:rsidRPr="002B7E6B">
        <w:rPr>
          <w:sz w:val="22"/>
          <w:szCs w:val="22"/>
        </w:rPr>
        <w:t>were sampled</w:t>
      </w:r>
      <w:proofErr w:type="gramEnd"/>
      <w:r w:rsidRPr="002B7E6B">
        <w:rPr>
          <w:sz w:val="22"/>
          <w:szCs w:val="22"/>
        </w:rPr>
        <w:t xml:space="preserve"> in two sharks (PSS-01 and PSS-03). Core (“birth year”) layers </w:t>
      </w:r>
      <w:proofErr w:type="gramStart"/>
      <w:r w:rsidRPr="002B7E6B">
        <w:rPr>
          <w:sz w:val="22"/>
          <w:szCs w:val="22"/>
        </w:rPr>
        <w:t>are indicated</w:t>
      </w:r>
      <w:proofErr w:type="gramEnd"/>
      <w:r w:rsidRPr="002B7E6B">
        <w:rPr>
          <w:sz w:val="22"/>
          <w:szCs w:val="22"/>
        </w:rPr>
        <w:t xml:space="preserve"> with an X over the colored specimen symbol. Published bomb 14C chronologies </w:t>
      </w:r>
      <w:proofErr w:type="gramStart"/>
      <w:r w:rsidRPr="002B7E6B">
        <w:rPr>
          <w:sz w:val="22"/>
          <w:szCs w:val="22"/>
        </w:rPr>
        <w:t>were used</w:t>
      </w:r>
      <w:proofErr w:type="gramEnd"/>
      <w:r w:rsidRPr="002B7E6B">
        <w:rPr>
          <w:sz w:val="22"/>
          <w:szCs w:val="22"/>
        </w:rPr>
        <w:t xml:space="preserve"> as temporal references from the northeastern Pacific Ocean (yelloweye rockfish (Kerr et al. 2004) and Pacific halibut (Piner and Wischniowski 2004). A shark chronology from the northwestern Atlantic Ocean </w:t>
      </w:r>
      <w:proofErr w:type="gramStart"/>
      <w:r w:rsidRPr="002B7E6B">
        <w:rPr>
          <w:sz w:val="22"/>
          <w:szCs w:val="22"/>
        </w:rPr>
        <w:t>is shown</w:t>
      </w:r>
      <w:proofErr w:type="gramEnd"/>
      <w:r w:rsidRPr="002B7E6B">
        <w:rPr>
          <w:sz w:val="22"/>
          <w:szCs w:val="22"/>
        </w:rPr>
        <w:t xml:space="preserve"> for comparison (porbeagle shark; Campana et al. 2002). (</w:t>
      </w:r>
      <w:proofErr w:type="gramStart"/>
      <w:r w:rsidRPr="002B7E6B">
        <w:rPr>
          <w:sz w:val="22"/>
          <w:szCs w:val="22"/>
        </w:rPr>
        <w:t>inset</w:t>
      </w:r>
      <w:proofErr w:type="gramEnd"/>
      <w:r w:rsidRPr="002B7E6B">
        <w:rPr>
          <w:sz w:val="22"/>
          <w:szCs w:val="22"/>
        </w:rPr>
        <w:t xml:space="preserve">) </w:t>
      </w:r>
      <w:r w:rsidRPr="002B7E6B">
        <w:rPr>
          <w:sz w:val="22"/>
          <w:szCs w:val="22"/>
        </w:rPr>
        <w:lastRenderedPageBreak/>
        <w:t xml:space="preserve">Von Bertalanffy growth curves based on pilot study results. The PSS growth curve </w:t>
      </w:r>
      <w:proofErr w:type="gramStart"/>
      <w:r w:rsidRPr="002B7E6B">
        <w:rPr>
          <w:sz w:val="22"/>
          <w:szCs w:val="22"/>
        </w:rPr>
        <w:t>is adjusted</w:t>
      </w:r>
      <w:proofErr w:type="gramEnd"/>
      <w:r w:rsidRPr="002B7E6B">
        <w:rPr>
          <w:sz w:val="22"/>
          <w:szCs w:val="22"/>
        </w:rPr>
        <w:t xml:space="preserve"> from the Greenland shark curve to intersect the data for the largest fish in our pilot study, resulting in the blue curve. These results suggest that the PSS growth coefficient (k) is roughly two times greater than that of the Greenland shark. For more information, contact Cindy Tribuzio at (907) 789-6007 or cindy.tribuzio@noaa.gov.</w:t>
      </w:r>
    </w:p>
    <w:p w14:paraId="371EFE45" w14:textId="77777777" w:rsidR="00DE3EE8" w:rsidRPr="002B7E6B" w:rsidRDefault="00DE3EE8" w:rsidP="00DE3EE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sz w:val="22"/>
          <w:szCs w:val="22"/>
        </w:rPr>
      </w:pPr>
      <w:r w:rsidRPr="002B7E6B">
        <w:rPr>
          <w:sz w:val="22"/>
          <w:szCs w:val="22"/>
        </w:rPr>
        <w:t xml:space="preserve">     </w:t>
      </w:r>
    </w:p>
    <w:p w14:paraId="3B0D5DBB" w14:textId="7C83E8A2" w:rsidR="00DE3EE8" w:rsidRDefault="00DE3EE8" w:rsidP="00DE3EE8">
      <w:pPr>
        <w:pStyle w:val="Heading5"/>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sz w:val="22"/>
          <w:szCs w:val="22"/>
        </w:rPr>
      </w:pPr>
      <w:bookmarkStart w:id="35" w:name="_Toc131503812"/>
      <w:r w:rsidRPr="002B7E6B">
        <w:rPr>
          <w:sz w:val="22"/>
          <w:szCs w:val="22"/>
        </w:rPr>
        <w:t>Shark tagging – ABL</w:t>
      </w:r>
      <w:bookmarkEnd w:id="35"/>
    </w:p>
    <w:p w14:paraId="6B809918" w14:textId="77777777" w:rsidR="002140E8" w:rsidRPr="002140E8" w:rsidRDefault="002140E8" w:rsidP="002140E8"/>
    <w:p w14:paraId="0AD19F69" w14:textId="1BF88D83" w:rsidR="00DE3EE8" w:rsidRPr="002B7E6B" w:rsidRDefault="00DE3EE8" w:rsidP="00DE3EE8">
      <w:pPr>
        <w:widowControl/>
        <w:rPr>
          <w:sz w:val="22"/>
          <w:szCs w:val="22"/>
        </w:rPr>
      </w:pPr>
      <w:r w:rsidRPr="002B7E6B">
        <w:rPr>
          <w:sz w:val="22"/>
          <w:szCs w:val="22"/>
        </w:rPr>
        <w:t xml:space="preserve">A tagging program for spiny dogfish began in 2009, with 186 pop-off satellite archival tags (PSATs) deployed </w:t>
      </w:r>
      <w:proofErr w:type="gramStart"/>
      <w:r w:rsidRPr="002B7E6B">
        <w:rPr>
          <w:sz w:val="22"/>
          <w:szCs w:val="22"/>
        </w:rPr>
        <w:t>between 2009</w:t>
      </w:r>
      <w:r w:rsidR="0024271A">
        <w:rPr>
          <w:sz w:val="22"/>
          <w:szCs w:val="22"/>
        </w:rPr>
        <w:t xml:space="preserve"> – </w:t>
      </w:r>
      <w:r w:rsidRPr="002B7E6B">
        <w:rPr>
          <w:sz w:val="22"/>
          <w:szCs w:val="22"/>
        </w:rPr>
        <w:t>2018</w:t>
      </w:r>
      <w:proofErr w:type="gramEnd"/>
      <w:r w:rsidRPr="002B7E6B">
        <w:rPr>
          <w:sz w:val="22"/>
          <w:szCs w:val="22"/>
        </w:rPr>
        <w:t xml:space="preserve">. Data were recovered from 157 of those tags (nine tags are still at liberty), with eight tags physically recovered. The PSATs record depth, temperature, light levels and sunrise/sunset for geolocation. Staff at ABL, along with Julie Nielsen (Kingfisher Marine Research) have developed a Hidden Markov Movement (HMM) model based on these tag </w:t>
      </w:r>
      <w:proofErr w:type="gramStart"/>
      <w:r w:rsidRPr="002B7E6B">
        <w:rPr>
          <w:sz w:val="22"/>
          <w:szCs w:val="22"/>
        </w:rPr>
        <w:t>data which</w:t>
      </w:r>
      <w:proofErr w:type="gramEnd"/>
      <w:r w:rsidRPr="002B7E6B">
        <w:rPr>
          <w:sz w:val="22"/>
          <w:szCs w:val="22"/>
        </w:rPr>
        <w:t xml:space="preserve"> incorporates environmental variables (e.g. temperature/depth profiles and sea-surface temperature), see </w:t>
      </w:r>
      <w:hyperlink r:id="rId44">
        <w:r w:rsidRPr="002B7E6B">
          <w:rPr>
            <w:color w:val="0563C1"/>
            <w:sz w:val="22"/>
            <w:szCs w:val="22"/>
            <w:u w:val="single"/>
          </w:rPr>
          <w:t>Nielsen and Tribuzio 2023</w:t>
        </w:r>
      </w:hyperlink>
      <w:r w:rsidRPr="002B7E6B">
        <w:rPr>
          <w:sz w:val="22"/>
          <w:szCs w:val="22"/>
        </w:rPr>
        <w:t xml:space="preserve">. The HMM model provides daily locations in the form of probability surfaces as well as total residence probabilities for the duration of deployment for each tag. The results </w:t>
      </w:r>
      <w:proofErr w:type="gramStart"/>
      <w:r w:rsidRPr="002B7E6B">
        <w:rPr>
          <w:sz w:val="22"/>
          <w:szCs w:val="22"/>
        </w:rPr>
        <w:t>will be used</w:t>
      </w:r>
      <w:proofErr w:type="gramEnd"/>
      <w:r w:rsidRPr="002B7E6B">
        <w:rPr>
          <w:sz w:val="22"/>
          <w:szCs w:val="22"/>
        </w:rPr>
        <w:t xml:space="preserve"> to define habitat utilization distributions, and eventually inform Essential Fish Habitat. Ongoing analytics include habitat utilization and migration to inform Essential Fish Habitat and to evaluate fisheries interactions</w:t>
      </w:r>
      <w:proofErr w:type="gramStart"/>
      <w:r w:rsidRPr="002B7E6B">
        <w:rPr>
          <w:sz w:val="22"/>
          <w:szCs w:val="22"/>
        </w:rPr>
        <w:t>;</w:t>
      </w:r>
      <w:proofErr w:type="gramEnd"/>
      <w:r w:rsidRPr="002B7E6B">
        <w:rPr>
          <w:sz w:val="22"/>
          <w:szCs w:val="22"/>
        </w:rPr>
        <w:t xml:space="preserve"> simulation testing of the HMM from tags recovered from spiny dogfish double tagged with acoustic transceivers.</w:t>
      </w:r>
    </w:p>
    <w:p w14:paraId="26DD35C5" w14:textId="77777777" w:rsidR="00DE3EE8" w:rsidRPr="002B7E6B" w:rsidRDefault="00DE3EE8" w:rsidP="00DE3EE8">
      <w:pPr>
        <w:widowControl/>
        <w:rPr>
          <w:sz w:val="22"/>
          <w:szCs w:val="22"/>
        </w:rPr>
      </w:pPr>
    </w:p>
    <w:p w14:paraId="0F648A01" w14:textId="77777777" w:rsidR="00DE3EE8" w:rsidRPr="002B7E6B" w:rsidRDefault="00DE3EE8" w:rsidP="00DE3EE8">
      <w:pPr>
        <w:widowControl/>
        <w:rPr>
          <w:sz w:val="22"/>
          <w:szCs w:val="22"/>
        </w:rPr>
      </w:pPr>
      <w:r w:rsidRPr="002B7E6B">
        <w:rPr>
          <w:sz w:val="22"/>
          <w:szCs w:val="22"/>
        </w:rPr>
        <w:t xml:space="preserve">Staff at ABL, collaborating with UAF, the Alaska Sea Life Center, Kingfisher Marine Research and Wildlife Technology Frontiers on a collaborative tagging project on Pacific sleeper shark. This NPRB funded project will apply modern modelling techniques to historical PSAT data, as well as deploy and analyze data from recent and future tags. </w:t>
      </w:r>
    </w:p>
    <w:p w14:paraId="1F0F0E20" w14:textId="77777777" w:rsidR="00DE3EE8" w:rsidRPr="002B7E6B" w:rsidRDefault="00DE3EE8" w:rsidP="00DE3EE8">
      <w:pPr>
        <w:widowControl/>
        <w:rPr>
          <w:sz w:val="22"/>
          <w:szCs w:val="22"/>
        </w:rPr>
      </w:pPr>
    </w:p>
    <w:p w14:paraId="1F9D9939" w14:textId="77777777" w:rsidR="00DE3EE8" w:rsidRPr="002B7E6B" w:rsidRDefault="00DE3EE8" w:rsidP="00DE3EE8">
      <w:pPr>
        <w:widowControl/>
        <w:rPr>
          <w:sz w:val="22"/>
          <w:szCs w:val="22"/>
        </w:rPr>
      </w:pPr>
      <w:r w:rsidRPr="002B7E6B">
        <w:rPr>
          <w:sz w:val="22"/>
          <w:szCs w:val="22"/>
        </w:rPr>
        <w:t xml:space="preserve">Staff at ABL are collaborating with ADF&amp;G, UAF and Kingfisher Marine Research to deploy tags on salmon shark in the GOA and Bering Sea. To date, five male and one female salmon shark have been tagged in the Northern Bering Sea, Of these six sharks, one was tagged with a PSAT, three were double-tagged with both a SPOT (i.e., GPS) and PSAT tag, and two were tagged with a SPOT tag.  One male and one female salmon shark </w:t>
      </w:r>
      <w:proofErr w:type="gramStart"/>
      <w:r w:rsidRPr="002B7E6B">
        <w:rPr>
          <w:sz w:val="22"/>
          <w:szCs w:val="22"/>
        </w:rPr>
        <w:t>were tagged</w:t>
      </w:r>
      <w:proofErr w:type="gramEnd"/>
      <w:r w:rsidRPr="002B7E6B">
        <w:rPr>
          <w:sz w:val="22"/>
          <w:szCs w:val="22"/>
        </w:rPr>
        <w:t xml:space="preserve"> in the North Pacific Ocean/Gulf of Alaska, and both of these sharks were double-tagged with a SPOT and PSAT tag. The SPOT tags provide multiple years of position data when the shark is at the surface, while the PSAT provides detailed temperature and depth movement. The two data sets </w:t>
      </w:r>
      <w:proofErr w:type="gramStart"/>
      <w:r w:rsidRPr="002B7E6B">
        <w:rPr>
          <w:sz w:val="22"/>
          <w:szCs w:val="22"/>
        </w:rPr>
        <w:t>will be combined</w:t>
      </w:r>
      <w:proofErr w:type="gramEnd"/>
      <w:r w:rsidRPr="002B7E6B">
        <w:rPr>
          <w:sz w:val="22"/>
          <w:szCs w:val="22"/>
        </w:rPr>
        <w:t xml:space="preserve"> to validate the HMM model. This study is unique in that nearly all previous tagging on the species was on females captured in Prince William Sound. Early results suggest seasonal migration to/from the Northern Bering Sea, but not necessarily the same movement pattern between years. Regular updates </w:t>
      </w:r>
      <w:proofErr w:type="gramStart"/>
      <w:r w:rsidRPr="002B7E6B">
        <w:rPr>
          <w:sz w:val="22"/>
          <w:szCs w:val="22"/>
        </w:rPr>
        <w:t>are posted</w:t>
      </w:r>
      <w:proofErr w:type="gramEnd"/>
      <w:r w:rsidRPr="002B7E6B">
        <w:rPr>
          <w:sz w:val="22"/>
          <w:szCs w:val="22"/>
        </w:rPr>
        <w:t xml:space="preserve"> to the </w:t>
      </w:r>
      <w:hyperlink r:id="rId45">
        <w:r w:rsidRPr="002B7E6B">
          <w:rPr>
            <w:color w:val="0563C1"/>
            <w:sz w:val="22"/>
            <w:szCs w:val="22"/>
            <w:u w:val="single"/>
          </w:rPr>
          <w:t>ADF&amp;G – The Undersea World of Salmon and Sharks</w:t>
        </w:r>
      </w:hyperlink>
      <w:r w:rsidRPr="002B7E6B">
        <w:rPr>
          <w:sz w:val="22"/>
          <w:szCs w:val="22"/>
        </w:rPr>
        <w:t xml:space="preserve"> Facebook page. Further tags </w:t>
      </w:r>
      <w:proofErr w:type="gramStart"/>
      <w:r w:rsidRPr="002B7E6B">
        <w:rPr>
          <w:sz w:val="22"/>
          <w:szCs w:val="22"/>
        </w:rPr>
        <w:t>are planned</w:t>
      </w:r>
      <w:proofErr w:type="gramEnd"/>
      <w:r w:rsidRPr="002B7E6B">
        <w:rPr>
          <w:sz w:val="22"/>
          <w:szCs w:val="22"/>
        </w:rPr>
        <w:t xml:space="preserve"> for 2023 and onwards as tags and opportunities are available.</w:t>
      </w:r>
    </w:p>
    <w:p w14:paraId="7C0BF100" w14:textId="77777777" w:rsidR="00DE3EE8" w:rsidRPr="002B7E6B" w:rsidRDefault="00DE3EE8" w:rsidP="00DE3EE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pacing w:before="240"/>
        <w:rPr>
          <w:color w:val="222222"/>
          <w:sz w:val="22"/>
          <w:szCs w:val="22"/>
        </w:rPr>
      </w:pPr>
      <w:r w:rsidRPr="002B7E6B">
        <w:rPr>
          <w:color w:val="222222"/>
          <w:sz w:val="22"/>
          <w:szCs w:val="22"/>
        </w:rPr>
        <w:t xml:space="preserve"> </w:t>
      </w:r>
    </w:p>
    <w:p w14:paraId="71299046" w14:textId="77777777" w:rsidR="00DE3EE8" w:rsidRPr="002B7E6B" w:rsidRDefault="00DE3EE8" w:rsidP="00DE3EE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pacing w:before="240" w:line="276" w:lineRule="auto"/>
        <w:rPr>
          <w:color w:val="222222"/>
          <w:sz w:val="22"/>
          <w:szCs w:val="22"/>
        </w:rPr>
      </w:pPr>
      <w:r w:rsidRPr="002B7E6B">
        <w:rPr>
          <w:noProof/>
          <w:color w:val="222222"/>
          <w:sz w:val="22"/>
          <w:szCs w:val="22"/>
        </w:rPr>
        <w:lastRenderedPageBreak/>
        <w:drawing>
          <wp:inline distT="114300" distB="114300" distL="114300" distR="114300" wp14:anchorId="47B8993D" wp14:editId="0FDB94CD">
            <wp:extent cx="5980264" cy="4014788"/>
            <wp:effectExtent l="0" t="0" r="0" b="0"/>
            <wp:docPr id="7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6"/>
                    <a:srcRect/>
                    <a:stretch>
                      <a:fillRect/>
                    </a:stretch>
                  </pic:blipFill>
                  <pic:spPr>
                    <a:xfrm>
                      <a:off x="0" y="0"/>
                      <a:ext cx="5980264" cy="4014788"/>
                    </a:xfrm>
                    <a:prstGeom prst="rect">
                      <a:avLst/>
                    </a:prstGeom>
                    <a:ln/>
                  </pic:spPr>
                </pic:pic>
              </a:graphicData>
            </a:graphic>
          </wp:inline>
        </w:drawing>
      </w:r>
    </w:p>
    <w:p w14:paraId="6290B042" w14:textId="77777777" w:rsidR="00DE3EE8" w:rsidRPr="002B7E6B" w:rsidRDefault="00DE3EE8" w:rsidP="00DE3EE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pacing w:before="240" w:after="240"/>
        <w:rPr>
          <w:color w:val="222222"/>
          <w:sz w:val="22"/>
          <w:szCs w:val="22"/>
        </w:rPr>
      </w:pPr>
      <w:r w:rsidRPr="002B7E6B">
        <w:rPr>
          <w:color w:val="222222"/>
          <w:sz w:val="22"/>
          <w:szCs w:val="22"/>
        </w:rPr>
        <w:t xml:space="preserve">Figure. (Left) Shark A (top) being tagged with a PSAT using two tethers on August 27, 2017. The harness of the second tether attachment </w:t>
      </w:r>
      <w:proofErr w:type="gramStart"/>
      <w:r w:rsidRPr="002B7E6B">
        <w:rPr>
          <w:color w:val="222222"/>
          <w:sz w:val="22"/>
          <w:szCs w:val="22"/>
        </w:rPr>
        <w:t>is being looped</w:t>
      </w:r>
      <w:proofErr w:type="gramEnd"/>
      <w:r w:rsidRPr="002B7E6B">
        <w:rPr>
          <w:color w:val="222222"/>
          <w:sz w:val="22"/>
          <w:szCs w:val="22"/>
        </w:rPr>
        <w:t xml:space="preserve"> around the body of the tag. Shark B (bottom) with a SPOT-257 tag affixed to the dorsal fin and a PSAT attached with two tethers in the musculature beneath the dorsal fin. Data from Shark B’s PSAT </w:t>
      </w:r>
      <w:proofErr w:type="gramStart"/>
      <w:r w:rsidRPr="002B7E6B">
        <w:rPr>
          <w:color w:val="222222"/>
          <w:sz w:val="22"/>
          <w:szCs w:val="22"/>
        </w:rPr>
        <w:t>are not reported</w:t>
      </w:r>
      <w:proofErr w:type="gramEnd"/>
      <w:r w:rsidRPr="002B7E6B">
        <w:rPr>
          <w:color w:val="222222"/>
          <w:sz w:val="22"/>
          <w:szCs w:val="22"/>
        </w:rPr>
        <w:t xml:space="preserve"> here. (Right) Monthly HMM-derived locations from August 27, 2017 – August 28, 2018 for Shark A (top) and best daily locations transmitted by a SPOT tag carried by Shark B (bottom) from September 7, 2019 through September 6, 2020. Arrows depict swim direction. For more information, contact Cindy Tribuzio at (907) 789-6007 or </w:t>
      </w:r>
      <w:hyperlink r:id="rId47">
        <w:r w:rsidRPr="002B7E6B">
          <w:rPr>
            <w:color w:val="1155CC"/>
            <w:sz w:val="22"/>
            <w:szCs w:val="22"/>
            <w:u w:val="single"/>
          </w:rPr>
          <w:t>cindy.tribuzio@noaa.gov</w:t>
        </w:r>
      </w:hyperlink>
      <w:r w:rsidRPr="002B7E6B">
        <w:rPr>
          <w:color w:val="222222"/>
          <w:sz w:val="22"/>
          <w:szCs w:val="22"/>
        </w:rPr>
        <w:t>.</w:t>
      </w:r>
    </w:p>
    <w:p w14:paraId="63C6C44B" w14:textId="77777777" w:rsidR="00DE3EE8" w:rsidRPr="002B7E6B" w:rsidRDefault="00DE3EE8" w:rsidP="00DE3EE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sz w:val="22"/>
          <w:szCs w:val="22"/>
        </w:rPr>
      </w:pPr>
    </w:p>
    <w:p w14:paraId="5B6555CC" w14:textId="6D51BF28" w:rsidR="00DE3EE8" w:rsidRPr="002B7E6B" w:rsidRDefault="00DE3EE8" w:rsidP="00DE3EE8">
      <w:pPr>
        <w:pStyle w:val="Heading5"/>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sz w:val="22"/>
          <w:szCs w:val="22"/>
        </w:rPr>
      </w:pPr>
      <w:bookmarkStart w:id="36" w:name="_heading=h.ojzr8pfvf0az" w:colFirst="0" w:colLast="0"/>
      <w:bookmarkStart w:id="37" w:name="_Toc131503813"/>
      <w:bookmarkEnd w:id="36"/>
      <w:r w:rsidRPr="002B7E6B">
        <w:rPr>
          <w:sz w:val="22"/>
          <w:szCs w:val="22"/>
        </w:rPr>
        <w:t>Electronic Monitoring: large shark size estimation</w:t>
      </w:r>
      <w:r w:rsidR="0024271A">
        <w:rPr>
          <w:sz w:val="22"/>
          <w:szCs w:val="22"/>
        </w:rPr>
        <w:t xml:space="preserve"> </w:t>
      </w:r>
      <w:r w:rsidRPr="002B7E6B">
        <w:rPr>
          <w:sz w:val="22"/>
          <w:szCs w:val="22"/>
        </w:rPr>
        <w:t>– ABL</w:t>
      </w:r>
      <w:bookmarkEnd w:id="37"/>
    </w:p>
    <w:p w14:paraId="59996A2B" w14:textId="77777777" w:rsidR="00DE3EE8" w:rsidRPr="002B7E6B" w:rsidRDefault="00DE3EE8" w:rsidP="00DE3EE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sz w:val="22"/>
          <w:szCs w:val="22"/>
        </w:rPr>
      </w:pPr>
    </w:p>
    <w:p w14:paraId="6D8AE582" w14:textId="77777777" w:rsidR="00DE3EE8" w:rsidRPr="002B7E6B" w:rsidRDefault="00DE3EE8" w:rsidP="00DE3EE8">
      <w:pPr>
        <w:widowControl/>
        <w:spacing w:after="160" w:line="259" w:lineRule="auto"/>
        <w:rPr>
          <w:sz w:val="22"/>
          <w:szCs w:val="22"/>
        </w:rPr>
      </w:pPr>
      <w:r w:rsidRPr="002B7E6B">
        <w:rPr>
          <w:sz w:val="22"/>
          <w:szCs w:val="22"/>
        </w:rPr>
        <w:t xml:space="preserve">Staff at ABL are collaborating with AFSC FMA division, AKRO, PSMFC, APU and the UW to develop artificial intelligence tools for expanding data collections from vessels using electronic monitoring (EM) equipment in lieu of at-sea observers. This specific project </w:t>
      </w:r>
      <w:proofErr w:type="gramStart"/>
      <w:r w:rsidRPr="002B7E6B">
        <w:rPr>
          <w:sz w:val="22"/>
          <w:szCs w:val="22"/>
        </w:rPr>
        <w:t>is funded</w:t>
      </w:r>
      <w:proofErr w:type="gramEnd"/>
      <w:r w:rsidRPr="002B7E6B">
        <w:rPr>
          <w:sz w:val="22"/>
          <w:szCs w:val="22"/>
        </w:rPr>
        <w:t xml:space="preserve"> through the NOAA Catch Shares program, but is also in parallel with the Electronic Monitoring Initiative project underway with FMA and PSMFC. This project aims to develop </w:t>
      </w:r>
      <w:proofErr w:type="gramStart"/>
      <w:r w:rsidRPr="002B7E6B">
        <w:rPr>
          <w:sz w:val="22"/>
          <w:szCs w:val="22"/>
        </w:rPr>
        <w:t>tools which</w:t>
      </w:r>
      <w:proofErr w:type="gramEnd"/>
      <w:r w:rsidRPr="002B7E6B">
        <w:rPr>
          <w:sz w:val="22"/>
          <w:szCs w:val="22"/>
        </w:rPr>
        <w:t xml:space="preserve"> will automate the review of EM videos from longline vessels by detecting and speciating catch. Large sharks are a special case, they </w:t>
      </w:r>
      <w:proofErr w:type="gramStart"/>
      <w:r w:rsidRPr="002B7E6B">
        <w:rPr>
          <w:sz w:val="22"/>
          <w:szCs w:val="22"/>
        </w:rPr>
        <w:t>are generally not brought</w:t>
      </w:r>
      <w:proofErr w:type="gramEnd"/>
      <w:r w:rsidRPr="002B7E6B">
        <w:rPr>
          <w:sz w:val="22"/>
          <w:szCs w:val="22"/>
        </w:rPr>
        <w:t xml:space="preserve"> onboard, and therefore not available to observers to collect any size information. Thus, a global average weight </w:t>
      </w:r>
      <w:proofErr w:type="gramStart"/>
      <w:r w:rsidRPr="002B7E6B">
        <w:rPr>
          <w:sz w:val="22"/>
          <w:szCs w:val="22"/>
        </w:rPr>
        <w:t>is applied</w:t>
      </w:r>
      <w:proofErr w:type="gramEnd"/>
      <w:r w:rsidRPr="002B7E6B">
        <w:rPr>
          <w:sz w:val="22"/>
          <w:szCs w:val="22"/>
        </w:rPr>
        <w:t xml:space="preserve"> to all large shark catches from longline vessels, which has been shown to underestimate the size of the animals caught, and thus underestimating total catch estimates. The second AI tool from this project will size grade large sharks caught by vessels using EM, and analysts will be able to provide an informed range of sizes to adjust total catch estimates to be more reflective of true catch. Project staff conducted two surveys in 2022 to collect EM video of catching sharks and collect groundtruth size data </w:t>
      </w:r>
      <w:r w:rsidRPr="002B7E6B">
        <w:rPr>
          <w:sz w:val="22"/>
          <w:szCs w:val="22"/>
        </w:rPr>
        <w:lastRenderedPageBreak/>
        <w:t xml:space="preserve">(Fig XXX). These tools </w:t>
      </w:r>
      <w:proofErr w:type="gramStart"/>
      <w:r w:rsidRPr="002B7E6B">
        <w:rPr>
          <w:sz w:val="22"/>
          <w:szCs w:val="22"/>
        </w:rPr>
        <w:t>are being designed</w:t>
      </w:r>
      <w:proofErr w:type="gramEnd"/>
      <w:r w:rsidRPr="002B7E6B">
        <w:rPr>
          <w:sz w:val="22"/>
          <w:szCs w:val="22"/>
        </w:rPr>
        <w:t xml:space="preserve"> to be portable and applicable beyond Alaska fisheries. For more information, contact Cindy Tribuzio at (907) 789-6007 or </w:t>
      </w:r>
      <w:hyperlink r:id="rId48">
        <w:r w:rsidRPr="002B7E6B">
          <w:rPr>
            <w:color w:val="0563C1"/>
            <w:sz w:val="22"/>
            <w:szCs w:val="22"/>
            <w:u w:val="single"/>
          </w:rPr>
          <w:t>cindy.tribuzio@noaa.gov</w:t>
        </w:r>
      </w:hyperlink>
      <w:r w:rsidRPr="002B7E6B">
        <w:rPr>
          <w:sz w:val="22"/>
          <w:szCs w:val="22"/>
        </w:rPr>
        <w:t>.</w:t>
      </w:r>
    </w:p>
    <w:p w14:paraId="0493B008" w14:textId="77777777" w:rsidR="00DE3EE8" w:rsidRPr="002B7E6B" w:rsidRDefault="00DE3EE8" w:rsidP="00DE3EE8">
      <w:pPr>
        <w:widowControl/>
        <w:spacing w:after="160" w:line="259" w:lineRule="auto"/>
        <w:rPr>
          <w:color w:val="222222"/>
          <w:sz w:val="22"/>
          <w:szCs w:val="22"/>
        </w:rPr>
      </w:pPr>
      <w:r w:rsidRPr="002B7E6B">
        <w:rPr>
          <w:noProof/>
          <w:sz w:val="22"/>
          <w:szCs w:val="22"/>
        </w:rPr>
        <w:drawing>
          <wp:inline distT="0" distB="0" distL="0" distR="0" wp14:anchorId="75E83591" wp14:editId="685BE53F">
            <wp:extent cx="5936615" cy="3159760"/>
            <wp:effectExtent l="0" t="0" r="0" b="0"/>
            <wp:docPr id="8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9"/>
                    <a:srcRect/>
                    <a:stretch>
                      <a:fillRect/>
                    </a:stretch>
                  </pic:blipFill>
                  <pic:spPr>
                    <a:xfrm>
                      <a:off x="0" y="0"/>
                      <a:ext cx="5936615" cy="3159760"/>
                    </a:xfrm>
                    <a:prstGeom prst="rect">
                      <a:avLst/>
                    </a:prstGeom>
                    <a:ln/>
                  </pic:spPr>
                </pic:pic>
              </a:graphicData>
            </a:graphic>
          </wp:inline>
        </w:drawing>
      </w:r>
    </w:p>
    <w:p w14:paraId="30D4C380" w14:textId="77777777" w:rsidR="00DE3EE8" w:rsidRPr="002B7E6B" w:rsidRDefault="00DE3EE8" w:rsidP="00DE3EE8">
      <w:pPr>
        <w:widowControl/>
        <w:spacing w:after="160" w:line="259" w:lineRule="auto"/>
        <w:rPr>
          <w:sz w:val="22"/>
          <w:szCs w:val="22"/>
        </w:rPr>
      </w:pPr>
      <w:r w:rsidRPr="002B7E6B">
        <w:rPr>
          <w:sz w:val="22"/>
          <w:szCs w:val="22"/>
        </w:rPr>
        <w:t xml:space="preserve">Directed survey for Pacific sleeper shark to collect Electronic Monitoring video of sharks </w:t>
      </w:r>
      <w:proofErr w:type="gramStart"/>
      <w:r w:rsidRPr="002B7E6B">
        <w:rPr>
          <w:sz w:val="22"/>
          <w:szCs w:val="22"/>
        </w:rPr>
        <w:t>being caught</w:t>
      </w:r>
      <w:proofErr w:type="gramEnd"/>
      <w:r w:rsidRPr="002B7E6B">
        <w:rPr>
          <w:sz w:val="22"/>
          <w:szCs w:val="22"/>
        </w:rPr>
        <w:t xml:space="preserve"> and groundtruth length data. </w:t>
      </w:r>
      <w:proofErr w:type="gramStart"/>
      <w:r w:rsidRPr="002B7E6B">
        <w:rPr>
          <w:sz w:val="22"/>
          <w:szCs w:val="22"/>
        </w:rPr>
        <w:t>It’s</w:t>
      </w:r>
      <w:proofErr w:type="gramEnd"/>
      <w:r w:rsidRPr="002B7E6B">
        <w:rPr>
          <w:sz w:val="22"/>
          <w:szCs w:val="22"/>
        </w:rPr>
        <w:t xml:space="preserve"> always this sunny. (</w:t>
      </w:r>
      <w:proofErr w:type="gramStart"/>
      <w:r w:rsidRPr="002B7E6B">
        <w:rPr>
          <w:sz w:val="22"/>
          <w:szCs w:val="22"/>
        </w:rPr>
        <w:t>right</w:t>
      </w:r>
      <w:proofErr w:type="gramEnd"/>
      <w:r w:rsidRPr="002B7E6B">
        <w:rPr>
          <w:sz w:val="22"/>
          <w:szCs w:val="22"/>
        </w:rPr>
        <w:t>) Map of two survey locations in Southeast Alaska.</w:t>
      </w:r>
    </w:p>
    <w:p w14:paraId="6D5CDFDC" w14:textId="77777777" w:rsidR="00DE3EE8" w:rsidRPr="002B7E6B" w:rsidRDefault="00DE3EE8" w:rsidP="00DE3EE8">
      <w:pPr>
        <w:widowControl/>
        <w:spacing w:after="160" w:line="259" w:lineRule="auto"/>
        <w:rPr>
          <w:sz w:val="22"/>
          <w:szCs w:val="22"/>
        </w:rPr>
      </w:pPr>
    </w:p>
    <w:p w14:paraId="1F04FD60" w14:textId="4FAAB195" w:rsidR="00DE3EE8" w:rsidRPr="002B7E6B" w:rsidRDefault="00DE3EE8" w:rsidP="00DE3EE8">
      <w:pPr>
        <w:pStyle w:val="Heading4"/>
        <w:numPr>
          <w:ilvl w:val="0"/>
          <w:numId w:val="5"/>
        </w:numPr>
        <w:ind w:left="720"/>
        <w:rPr>
          <w:szCs w:val="22"/>
        </w:rPr>
      </w:pPr>
      <w:bookmarkStart w:id="38" w:name="_heading=h.l3b8wabinvgo" w:colFirst="0" w:colLast="0"/>
      <w:bookmarkStart w:id="39" w:name="_Toc131503814"/>
      <w:bookmarkEnd w:id="38"/>
      <w:r w:rsidRPr="002B7E6B">
        <w:rPr>
          <w:szCs w:val="22"/>
        </w:rPr>
        <w:t>Stock Assessment</w:t>
      </w:r>
      <w:bookmarkEnd w:id="39"/>
    </w:p>
    <w:p w14:paraId="1D79087F" w14:textId="77777777" w:rsidR="00DE3EE8" w:rsidRPr="002B7E6B" w:rsidRDefault="00DE3EE8" w:rsidP="00DE3EE8">
      <w:pPr>
        <w:ind w:left="1800"/>
        <w:rPr>
          <w:sz w:val="22"/>
          <w:szCs w:val="22"/>
        </w:rPr>
      </w:pPr>
    </w:p>
    <w:p w14:paraId="4747A197" w14:textId="70719CE2" w:rsidR="00DE3EE8" w:rsidRPr="002B7E6B" w:rsidRDefault="00DE3EE8" w:rsidP="00DE3EE8">
      <w:pPr>
        <w:pStyle w:val="Heading5"/>
        <w:rPr>
          <w:sz w:val="22"/>
          <w:szCs w:val="22"/>
        </w:rPr>
      </w:pPr>
      <w:bookmarkStart w:id="40" w:name="_Toc131503815"/>
      <w:r w:rsidRPr="002B7E6B">
        <w:rPr>
          <w:sz w:val="22"/>
          <w:szCs w:val="22"/>
        </w:rPr>
        <w:t>Sharks</w:t>
      </w:r>
      <w:r w:rsidR="0024271A">
        <w:rPr>
          <w:sz w:val="22"/>
          <w:szCs w:val="22"/>
        </w:rPr>
        <w:t xml:space="preserve"> – </w:t>
      </w:r>
      <w:r w:rsidRPr="002B7E6B">
        <w:rPr>
          <w:sz w:val="22"/>
          <w:szCs w:val="22"/>
        </w:rPr>
        <w:t>ABL</w:t>
      </w:r>
      <w:bookmarkEnd w:id="40"/>
    </w:p>
    <w:p w14:paraId="220EF333" w14:textId="77777777" w:rsidR="00DE3EE8" w:rsidRPr="002B7E6B" w:rsidRDefault="00DE3EE8" w:rsidP="00DE3EE8">
      <w:pPr>
        <w:rPr>
          <w:sz w:val="22"/>
          <w:szCs w:val="22"/>
        </w:rPr>
      </w:pPr>
    </w:p>
    <w:p w14:paraId="3294C119" w14:textId="77777777" w:rsidR="00DE3EE8" w:rsidRPr="002B7E6B" w:rsidRDefault="00DE3EE8" w:rsidP="00DE3EE8">
      <w:pPr>
        <w:widowControl/>
        <w:rPr>
          <w:sz w:val="22"/>
          <w:szCs w:val="22"/>
        </w:rPr>
      </w:pPr>
      <w:r w:rsidRPr="002B7E6B">
        <w:rPr>
          <w:sz w:val="22"/>
          <w:szCs w:val="22"/>
        </w:rPr>
        <w:t xml:space="preserve">The shark assessments in the Bering Sea/Aleutian Islands (BSAI) and the Gulf of Alaska (GOA) are on biennial cycles in even years. There are currently no directed commercial fisheries for shark species in federally or state managed waters of the BSAI or GOA, and most incidentally captured sharks </w:t>
      </w:r>
      <w:proofErr w:type="gramStart"/>
      <w:r w:rsidRPr="002B7E6B">
        <w:rPr>
          <w:sz w:val="22"/>
          <w:szCs w:val="22"/>
        </w:rPr>
        <w:t>are not retained</w:t>
      </w:r>
      <w:proofErr w:type="gramEnd"/>
      <w:r w:rsidRPr="002B7E6B">
        <w:rPr>
          <w:sz w:val="22"/>
          <w:szCs w:val="22"/>
        </w:rPr>
        <w:t>.</w:t>
      </w:r>
    </w:p>
    <w:p w14:paraId="0FC0A032" w14:textId="77777777" w:rsidR="00DE3EE8" w:rsidRPr="002B7E6B" w:rsidRDefault="00DE3EE8" w:rsidP="00DE3EE8">
      <w:pPr>
        <w:widowControl/>
        <w:rPr>
          <w:sz w:val="22"/>
          <w:szCs w:val="22"/>
        </w:rPr>
      </w:pPr>
      <w:r w:rsidRPr="002B7E6B">
        <w:rPr>
          <w:sz w:val="22"/>
          <w:szCs w:val="22"/>
        </w:rPr>
        <w:t> </w:t>
      </w:r>
    </w:p>
    <w:p w14:paraId="6BCE55E9" w14:textId="77777777" w:rsidR="00DE3EE8" w:rsidRPr="002B7E6B" w:rsidRDefault="00DE3EE8" w:rsidP="00DE3EE8">
      <w:pPr>
        <w:widowControl/>
        <w:rPr>
          <w:sz w:val="22"/>
          <w:szCs w:val="22"/>
        </w:rPr>
      </w:pPr>
      <w:r w:rsidRPr="002B7E6B">
        <w:rPr>
          <w:sz w:val="22"/>
          <w:szCs w:val="22"/>
        </w:rPr>
        <w:t xml:space="preserve">The separate assessments </w:t>
      </w:r>
      <w:proofErr w:type="gramStart"/>
      <w:r w:rsidRPr="002B7E6B">
        <w:rPr>
          <w:sz w:val="22"/>
          <w:szCs w:val="22"/>
        </w:rPr>
        <w:t>were combined</w:t>
      </w:r>
      <w:proofErr w:type="gramEnd"/>
      <w:r w:rsidRPr="002B7E6B">
        <w:rPr>
          <w:sz w:val="22"/>
          <w:szCs w:val="22"/>
        </w:rPr>
        <w:t xml:space="preserve"> for the 2022 assessment, creating a unifed assessment document, which still provided management advice separated by FMP. Catch estimates from 2003-2021 were updated from the NMFS Alaska Regional Office’s Catch Accounting System. In the GOA, total shark catch in 2022 (as of Oct 1, 2022) was 1,550 t, which was down from the 2021 catch of 1,917 t. The GOA assessment also reports catch of sharks occurring in federally managed fisheries in NMFS areas 649 (Prince William Sound) and 659 (Southeast Alaska inside waters), 197 t in 2021 and 114 t in 2020 (as of Oct 1, 2022), however these do not accrue against the TAC. The assessment authors </w:t>
      </w:r>
      <w:proofErr w:type="gramStart"/>
      <w:r w:rsidRPr="002B7E6B">
        <w:rPr>
          <w:sz w:val="22"/>
          <w:szCs w:val="22"/>
        </w:rPr>
        <w:t>have been tasked</w:t>
      </w:r>
      <w:proofErr w:type="gramEnd"/>
      <w:r w:rsidRPr="002B7E6B">
        <w:rPr>
          <w:sz w:val="22"/>
          <w:szCs w:val="22"/>
        </w:rPr>
        <w:t xml:space="preserve"> with working with Council staff to explore options for incorporating these catches into the assessment.</w:t>
      </w:r>
    </w:p>
    <w:p w14:paraId="65C2AAE0" w14:textId="77777777" w:rsidR="00DE3EE8" w:rsidRPr="002B7E6B" w:rsidRDefault="00DE3EE8" w:rsidP="00DE3EE8">
      <w:pPr>
        <w:widowControl/>
        <w:rPr>
          <w:sz w:val="22"/>
          <w:szCs w:val="22"/>
        </w:rPr>
      </w:pPr>
      <w:r w:rsidRPr="002B7E6B">
        <w:rPr>
          <w:sz w:val="22"/>
          <w:szCs w:val="22"/>
        </w:rPr>
        <w:t> </w:t>
      </w:r>
    </w:p>
    <w:p w14:paraId="78224E7B" w14:textId="77777777" w:rsidR="00DE3EE8" w:rsidRPr="002B7E6B" w:rsidRDefault="00DE3EE8" w:rsidP="00DE3EE8">
      <w:pPr>
        <w:widowControl/>
        <w:rPr>
          <w:sz w:val="22"/>
          <w:szCs w:val="22"/>
        </w:rPr>
      </w:pPr>
      <w:r w:rsidRPr="002B7E6B">
        <w:rPr>
          <w:sz w:val="22"/>
          <w:szCs w:val="22"/>
        </w:rPr>
        <w:t xml:space="preserve">The most recent GOA trawl survey was in 2021, with the next planned for 2023. The trawl survey biomass estimates </w:t>
      </w:r>
      <w:proofErr w:type="gramStart"/>
      <w:r w:rsidRPr="002B7E6B">
        <w:rPr>
          <w:sz w:val="22"/>
          <w:szCs w:val="22"/>
        </w:rPr>
        <w:t>are used</w:t>
      </w:r>
      <w:proofErr w:type="gramEnd"/>
      <w:r w:rsidRPr="002B7E6B">
        <w:rPr>
          <w:sz w:val="22"/>
          <w:szCs w:val="22"/>
        </w:rPr>
        <w:t xml:space="preserve"> for ABC and OFL calculations for spiny dogfish and are not used for other shark species. The 2021 survey biomass estimate for spiny dogfish (32,319 t, CV = 18%), up from the </w:t>
      </w:r>
      <w:r w:rsidRPr="002B7E6B">
        <w:rPr>
          <w:sz w:val="22"/>
          <w:szCs w:val="22"/>
        </w:rPr>
        <w:lastRenderedPageBreak/>
        <w:t xml:space="preserve">2019 estimate which was the lowest biomass since the 1990 survey. Such variability in annual estimates </w:t>
      </w:r>
      <w:proofErr w:type="gramStart"/>
      <w:r w:rsidRPr="002B7E6B">
        <w:rPr>
          <w:sz w:val="22"/>
          <w:szCs w:val="22"/>
        </w:rPr>
        <w:t>is expected</w:t>
      </w:r>
      <w:proofErr w:type="gramEnd"/>
      <w:r w:rsidRPr="002B7E6B">
        <w:rPr>
          <w:sz w:val="22"/>
          <w:szCs w:val="22"/>
        </w:rPr>
        <w:t xml:space="preserve"> due to the patchy distribution of this species.</w:t>
      </w:r>
    </w:p>
    <w:p w14:paraId="5729AF3B" w14:textId="77777777" w:rsidR="00DE3EE8" w:rsidRPr="002B7E6B" w:rsidRDefault="00DE3EE8" w:rsidP="00DE3EE8">
      <w:pPr>
        <w:widowControl/>
        <w:rPr>
          <w:sz w:val="22"/>
          <w:szCs w:val="22"/>
        </w:rPr>
      </w:pPr>
      <w:r w:rsidRPr="002B7E6B">
        <w:rPr>
          <w:sz w:val="22"/>
          <w:szCs w:val="22"/>
        </w:rPr>
        <w:t> </w:t>
      </w:r>
    </w:p>
    <w:p w14:paraId="75344FA9" w14:textId="77777777" w:rsidR="00DE3EE8" w:rsidRPr="002B7E6B" w:rsidRDefault="00DE3EE8" w:rsidP="00DE3EE8">
      <w:pPr>
        <w:widowControl/>
        <w:rPr>
          <w:sz w:val="22"/>
          <w:szCs w:val="22"/>
        </w:rPr>
      </w:pPr>
      <w:r w:rsidRPr="002B7E6B">
        <w:rPr>
          <w:sz w:val="22"/>
          <w:szCs w:val="22"/>
        </w:rPr>
        <w:t>The GOA shark assessment is a complex of both Tier 5 and 6 species. Spiny dogfish are Tier 5, where the random effects biomass estimates are adjusted by a catchability parameter and multiplied by F</w:t>
      </w:r>
      <w:r w:rsidRPr="002B7E6B">
        <w:rPr>
          <w:sz w:val="22"/>
          <w:szCs w:val="22"/>
          <w:vertAlign w:val="subscript"/>
        </w:rPr>
        <w:t>OFL</w:t>
      </w:r>
      <w:r w:rsidRPr="002B7E6B">
        <w:rPr>
          <w:sz w:val="22"/>
          <w:szCs w:val="22"/>
        </w:rPr>
        <w:t xml:space="preserve"> = F</w:t>
      </w:r>
      <w:r w:rsidRPr="002B7E6B">
        <w:rPr>
          <w:sz w:val="22"/>
          <w:szCs w:val="22"/>
          <w:vertAlign w:val="subscript"/>
        </w:rPr>
        <w:t>max</w:t>
      </w:r>
      <w:r w:rsidRPr="002B7E6B">
        <w:rPr>
          <w:sz w:val="22"/>
          <w:szCs w:val="22"/>
        </w:rPr>
        <w:t xml:space="preserve"> from a demographic analysis to estimate the OFL. The Tier 6 species in the complex remained consistent, using the historical mean catch to calculate ABC and OFLs. The recommended GOA-wide ABC and OFL for the entire complex is based on the sum of the ABC/OFLs for the individual species, which resulted in an author recommended ABC = 4,756 t and OFL = 6,341 t for 2023 and 2024. </w:t>
      </w:r>
    </w:p>
    <w:p w14:paraId="72E0EF71" w14:textId="77777777" w:rsidR="00DE3EE8" w:rsidRPr="002B7E6B" w:rsidRDefault="00DE3EE8" w:rsidP="00DE3EE8">
      <w:pPr>
        <w:widowControl/>
        <w:rPr>
          <w:sz w:val="22"/>
          <w:szCs w:val="22"/>
        </w:rPr>
      </w:pPr>
    </w:p>
    <w:p w14:paraId="3A4EB55E" w14:textId="77777777" w:rsidR="00DE3EE8" w:rsidRPr="002B7E6B" w:rsidRDefault="00DE3EE8" w:rsidP="00DE3EE8">
      <w:pPr>
        <w:widowControl/>
        <w:rPr>
          <w:sz w:val="22"/>
          <w:szCs w:val="22"/>
        </w:rPr>
      </w:pPr>
      <w:r w:rsidRPr="002B7E6B">
        <w:rPr>
          <w:sz w:val="22"/>
          <w:szCs w:val="22"/>
        </w:rPr>
        <w:t xml:space="preserve">The shark stock complex in the BSAI </w:t>
      </w:r>
      <w:proofErr w:type="gramStart"/>
      <w:r w:rsidRPr="002B7E6B">
        <w:rPr>
          <w:sz w:val="22"/>
          <w:szCs w:val="22"/>
        </w:rPr>
        <w:t>are all considered</w:t>
      </w:r>
      <w:proofErr w:type="gramEnd"/>
      <w:r w:rsidRPr="002B7E6B">
        <w:rPr>
          <w:sz w:val="22"/>
          <w:szCs w:val="22"/>
        </w:rPr>
        <w:t xml:space="preserve"> Tier 6 because the survey biomass estimates are highly uncertain and not informative. The Tier 6 calculations in the BSAI </w:t>
      </w:r>
      <w:proofErr w:type="gramStart"/>
      <w:r w:rsidRPr="002B7E6B">
        <w:rPr>
          <w:sz w:val="22"/>
          <w:szCs w:val="22"/>
        </w:rPr>
        <w:t>are based</w:t>
      </w:r>
      <w:proofErr w:type="gramEnd"/>
      <w:r w:rsidRPr="002B7E6B">
        <w:rPr>
          <w:sz w:val="22"/>
          <w:szCs w:val="22"/>
        </w:rPr>
        <w:t xml:space="preserve"> on the maximum catch of all sharks from the years 2003-2015. The resultant recommended values for 2023 and 2024 were ABC = 517 t and OFL = 689 t. In the BSAI, estimates of total shark catch from the Catch Accounting System from 2021 were 221 t, which is not close to the ABC or OFL.</w:t>
      </w:r>
    </w:p>
    <w:p w14:paraId="78909F9A" w14:textId="77777777" w:rsidR="00DE3EE8" w:rsidRPr="002B7E6B" w:rsidRDefault="00DE3EE8" w:rsidP="00DE3EE8">
      <w:pPr>
        <w:widowControl/>
        <w:rPr>
          <w:sz w:val="22"/>
          <w:szCs w:val="22"/>
        </w:rPr>
      </w:pPr>
    </w:p>
    <w:p w14:paraId="5F47C996" w14:textId="77777777" w:rsidR="00DE3EE8" w:rsidRPr="002B7E6B" w:rsidRDefault="00DE3EE8" w:rsidP="00DE3EE8">
      <w:pPr>
        <w:widowControl/>
        <w:rPr>
          <w:sz w:val="22"/>
          <w:szCs w:val="22"/>
        </w:rPr>
      </w:pPr>
      <w:r w:rsidRPr="002B7E6B">
        <w:rPr>
          <w:sz w:val="22"/>
          <w:szCs w:val="22"/>
        </w:rPr>
        <w:t xml:space="preserve">The assessment authors proposed an alternative model for Pacific sleeper shark in the 2022 assessment. While this model </w:t>
      </w:r>
      <w:proofErr w:type="gramStart"/>
      <w:r w:rsidRPr="002B7E6B">
        <w:rPr>
          <w:sz w:val="22"/>
          <w:szCs w:val="22"/>
        </w:rPr>
        <w:t>was not accepted</w:t>
      </w:r>
      <w:proofErr w:type="gramEnd"/>
      <w:r w:rsidRPr="002B7E6B">
        <w:rPr>
          <w:sz w:val="22"/>
          <w:szCs w:val="22"/>
        </w:rPr>
        <w:t xml:space="preserve"> for harvest specifications, sufficient concerns were demonstrated to warrant a reduction from maximum permissible ABC in the BSAI. </w:t>
      </w:r>
      <w:proofErr w:type="gramStart"/>
      <w:r w:rsidRPr="002B7E6B">
        <w:rPr>
          <w:sz w:val="22"/>
          <w:szCs w:val="22"/>
        </w:rPr>
        <w:t>In the GOA, this was also discussed as a substantial concern, but because the Pacific sleeper shark is such a small component of the total complex (dominated by the Tier 5 spiny dogfish), and catches are well below ABC, a reduction in the Pacific sleeper shark ABCs would have no impact on the management of shark bycatch, thus reductions were not put in place.</w:t>
      </w:r>
      <w:proofErr w:type="gramEnd"/>
      <w:r w:rsidRPr="002B7E6B">
        <w:rPr>
          <w:sz w:val="22"/>
          <w:szCs w:val="22"/>
        </w:rPr>
        <w:t xml:space="preserve"> In the BSAI, a proportional reduction to the complex ABC </w:t>
      </w:r>
      <w:proofErr w:type="gramStart"/>
      <w:r w:rsidRPr="002B7E6B">
        <w:rPr>
          <w:sz w:val="22"/>
          <w:szCs w:val="22"/>
        </w:rPr>
        <w:t>was recommended</w:t>
      </w:r>
      <w:proofErr w:type="gramEnd"/>
      <w:r w:rsidRPr="002B7E6B">
        <w:rPr>
          <w:sz w:val="22"/>
          <w:szCs w:val="22"/>
        </w:rPr>
        <w:t xml:space="preserve"> based on the alternative model results, which was accepted by the SSC. Therefore, the final ABC for the BSAI shark stock complex was 450 t.</w:t>
      </w:r>
    </w:p>
    <w:p w14:paraId="600D5608" w14:textId="77777777" w:rsidR="00DE3EE8" w:rsidRPr="002B7E6B" w:rsidRDefault="00DE3EE8" w:rsidP="00DE3EE8">
      <w:pPr>
        <w:widowControl/>
        <w:rPr>
          <w:sz w:val="22"/>
          <w:szCs w:val="22"/>
        </w:rPr>
      </w:pPr>
      <w:r w:rsidRPr="002B7E6B">
        <w:rPr>
          <w:sz w:val="22"/>
          <w:szCs w:val="22"/>
        </w:rPr>
        <w:t> </w:t>
      </w:r>
    </w:p>
    <w:p w14:paraId="7AAA693D" w14:textId="77777777" w:rsidR="00DE3EE8" w:rsidRPr="002B7E6B" w:rsidRDefault="00DE3EE8" w:rsidP="00DE3EE8">
      <w:pPr>
        <w:widowControl/>
        <w:rPr>
          <w:sz w:val="22"/>
          <w:szCs w:val="22"/>
        </w:rPr>
      </w:pPr>
      <w:r w:rsidRPr="002B7E6B">
        <w:rPr>
          <w:sz w:val="22"/>
          <w:szCs w:val="22"/>
        </w:rPr>
        <w:t>For more information, contact Cindy Tribuzio at (907) 789-6007 or cindy.tribuzio@noaa.gov.</w:t>
      </w:r>
    </w:p>
    <w:p w14:paraId="76943E6C" w14:textId="77777777" w:rsidR="00DE3EE8" w:rsidRPr="002B7E6B" w:rsidRDefault="00DE3EE8" w:rsidP="00DE3EE8">
      <w:pPr>
        <w:rPr>
          <w:sz w:val="22"/>
          <w:szCs w:val="22"/>
        </w:rPr>
      </w:pPr>
    </w:p>
    <w:p w14:paraId="302B996A" w14:textId="77777777" w:rsidR="00DE3EE8" w:rsidRPr="002B7E6B" w:rsidRDefault="00DE3EE8" w:rsidP="00DE3EE8">
      <w:pPr>
        <w:ind w:left="720"/>
        <w:rPr>
          <w:sz w:val="22"/>
          <w:szCs w:val="22"/>
        </w:rPr>
      </w:pPr>
    </w:p>
    <w:p w14:paraId="13A94BCE" w14:textId="77777777" w:rsidR="00DE3EE8" w:rsidRPr="002B7E6B" w:rsidRDefault="00DE3EE8" w:rsidP="00DE3EE8">
      <w:pPr>
        <w:pStyle w:val="Heading3"/>
        <w:keepNext w:val="0"/>
        <w:keepLines w:val="0"/>
        <w:numPr>
          <w:ilvl w:val="0"/>
          <w:numId w:val="4"/>
        </w:numPr>
        <w:spacing w:before="0" w:after="0"/>
        <w:rPr>
          <w:rFonts w:cs="Times New Roman"/>
          <w:sz w:val="22"/>
          <w:szCs w:val="22"/>
        </w:rPr>
      </w:pPr>
      <w:bookmarkStart w:id="41" w:name="_Toc131503816"/>
      <w:r w:rsidRPr="002B7E6B">
        <w:rPr>
          <w:rFonts w:cs="Times New Roman"/>
          <w:sz w:val="22"/>
          <w:szCs w:val="22"/>
        </w:rPr>
        <w:t>Skates</w:t>
      </w:r>
      <w:bookmarkEnd w:id="41"/>
    </w:p>
    <w:p w14:paraId="60CDDE93" w14:textId="77777777" w:rsidR="00DE3EE8" w:rsidRPr="002B7E6B" w:rsidRDefault="00DE3EE8" w:rsidP="00DE3EE8">
      <w:pPr>
        <w:rPr>
          <w:sz w:val="22"/>
          <w:szCs w:val="22"/>
        </w:rPr>
      </w:pPr>
    </w:p>
    <w:p w14:paraId="54E084D8" w14:textId="5038E70B" w:rsidR="00DE3EE8" w:rsidRPr="002B7E6B" w:rsidRDefault="00DE3EE8" w:rsidP="002C1E2B">
      <w:pPr>
        <w:pStyle w:val="Heading4"/>
        <w:numPr>
          <w:ilvl w:val="3"/>
          <w:numId w:val="4"/>
        </w:numPr>
        <w:ind w:left="360"/>
        <w:rPr>
          <w:szCs w:val="22"/>
        </w:rPr>
      </w:pPr>
      <w:bookmarkStart w:id="42" w:name="_Toc131503817"/>
      <w:r w:rsidRPr="002B7E6B">
        <w:rPr>
          <w:szCs w:val="22"/>
        </w:rPr>
        <w:t>Research</w:t>
      </w:r>
      <w:bookmarkEnd w:id="42"/>
    </w:p>
    <w:p w14:paraId="44552B55" w14:textId="77777777" w:rsidR="00DE3EE8" w:rsidRPr="002B7E6B" w:rsidRDefault="00DE3EE8" w:rsidP="00DE3EE8">
      <w:pPr>
        <w:rPr>
          <w:sz w:val="22"/>
          <w:szCs w:val="22"/>
        </w:rPr>
      </w:pPr>
    </w:p>
    <w:p w14:paraId="126C460E" w14:textId="77777777" w:rsidR="00DE3EE8" w:rsidRPr="002B7E6B" w:rsidRDefault="00DE3EE8" w:rsidP="00DE3EE8">
      <w:pPr>
        <w:rPr>
          <w:sz w:val="22"/>
          <w:szCs w:val="22"/>
        </w:rPr>
      </w:pPr>
    </w:p>
    <w:p w14:paraId="5EC84952" w14:textId="29087040" w:rsidR="00DE3EE8" w:rsidRPr="002B7E6B" w:rsidRDefault="00DE3EE8" w:rsidP="002C1E2B">
      <w:pPr>
        <w:pStyle w:val="Heading4"/>
        <w:numPr>
          <w:ilvl w:val="3"/>
          <w:numId w:val="4"/>
        </w:numPr>
        <w:ind w:left="360"/>
        <w:rPr>
          <w:szCs w:val="22"/>
        </w:rPr>
      </w:pPr>
      <w:bookmarkStart w:id="43" w:name="_Toc131503818"/>
      <w:r w:rsidRPr="002B7E6B">
        <w:rPr>
          <w:szCs w:val="22"/>
        </w:rPr>
        <w:t>Assessment</w:t>
      </w:r>
      <w:bookmarkEnd w:id="43"/>
    </w:p>
    <w:p w14:paraId="44B1BE82" w14:textId="77777777" w:rsidR="00DE3EE8" w:rsidRPr="002B7E6B" w:rsidRDefault="00DE3EE8" w:rsidP="00DE3EE8">
      <w:pPr>
        <w:rPr>
          <w:b/>
          <w:sz w:val="22"/>
          <w:szCs w:val="22"/>
        </w:rPr>
      </w:pPr>
    </w:p>
    <w:p w14:paraId="71E65465" w14:textId="1CADAD17" w:rsidR="00DE3EE8" w:rsidRPr="002B7E6B" w:rsidRDefault="00DE3EE8" w:rsidP="00DE3EE8">
      <w:pPr>
        <w:pStyle w:val="Heading5"/>
        <w:rPr>
          <w:sz w:val="22"/>
          <w:szCs w:val="22"/>
        </w:rPr>
      </w:pPr>
      <w:bookmarkStart w:id="44" w:name="_Toc131503819"/>
      <w:r w:rsidRPr="002B7E6B">
        <w:rPr>
          <w:sz w:val="22"/>
          <w:szCs w:val="22"/>
        </w:rPr>
        <w:t>B</w:t>
      </w:r>
      <w:r w:rsidR="002C1E2B">
        <w:rPr>
          <w:sz w:val="22"/>
          <w:szCs w:val="22"/>
        </w:rPr>
        <w:t>ering Sea and Aleutian Islands</w:t>
      </w:r>
      <w:r w:rsidR="0024271A">
        <w:rPr>
          <w:sz w:val="22"/>
          <w:szCs w:val="22"/>
        </w:rPr>
        <w:t xml:space="preserve"> – </w:t>
      </w:r>
      <w:r w:rsidRPr="002B7E6B">
        <w:rPr>
          <w:sz w:val="22"/>
          <w:szCs w:val="22"/>
        </w:rPr>
        <w:t>REFM</w:t>
      </w:r>
      <w:bookmarkEnd w:id="44"/>
    </w:p>
    <w:p w14:paraId="2C40985C" w14:textId="77777777" w:rsidR="00DE3EE8" w:rsidRPr="002B7E6B" w:rsidRDefault="00DE3EE8" w:rsidP="00DE3EE8">
      <w:pPr>
        <w:spacing w:before="240" w:after="240"/>
        <w:rPr>
          <w:sz w:val="22"/>
          <w:szCs w:val="22"/>
        </w:rPr>
      </w:pPr>
      <w:r w:rsidRPr="002B7E6B">
        <w:rPr>
          <w:sz w:val="22"/>
          <w:szCs w:val="22"/>
        </w:rPr>
        <w:t xml:space="preserve">An assessment </w:t>
      </w:r>
      <w:proofErr w:type="gramStart"/>
      <w:r w:rsidRPr="002B7E6B">
        <w:rPr>
          <w:sz w:val="22"/>
          <w:szCs w:val="22"/>
        </w:rPr>
        <w:t>was not conducted</w:t>
      </w:r>
      <w:proofErr w:type="gramEnd"/>
      <w:r w:rsidRPr="002B7E6B">
        <w:rPr>
          <w:sz w:val="22"/>
          <w:szCs w:val="22"/>
        </w:rPr>
        <w:t xml:space="preserve"> in 2022. The Alaska Fisheries Science Center’s projection model with updated catch values </w:t>
      </w:r>
      <w:proofErr w:type="gramStart"/>
      <w:r w:rsidRPr="002B7E6B">
        <w:rPr>
          <w:sz w:val="22"/>
          <w:szCs w:val="22"/>
        </w:rPr>
        <w:t>was used</w:t>
      </w:r>
      <w:proofErr w:type="gramEnd"/>
      <w:r w:rsidRPr="002B7E6B">
        <w:rPr>
          <w:sz w:val="22"/>
          <w:szCs w:val="22"/>
        </w:rPr>
        <w:t xml:space="preserve"> to provide the 2023 and 2024 management advice for the Tier 3 Alaska skate stock. The values generated from the 2021 stock assessment were used for the Tier 5 other skates, 2023 and 2024 management specifications. A full assessment </w:t>
      </w:r>
      <w:proofErr w:type="gramStart"/>
      <w:r w:rsidRPr="002B7E6B">
        <w:rPr>
          <w:sz w:val="22"/>
          <w:szCs w:val="22"/>
        </w:rPr>
        <w:t>is scheduled</w:t>
      </w:r>
      <w:proofErr w:type="gramEnd"/>
      <w:r w:rsidRPr="002B7E6B">
        <w:rPr>
          <w:sz w:val="22"/>
          <w:szCs w:val="22"/>
        </w:rPr>
        <w:t xml:space="preserve"> for 2023 if resources allow.</w:t>
      </w:r>
    </w:p>
    <w:p w14:paraId="4521CA07" w14:textId="77777777" w:rsidR="00DE3EE8" w:rsidRPr="002B7E6B" w:rsidRDefault="00DE3EE8" w:rsidP="00DE3EE8">
      <w:pPr>
        <w:spacing w:before="240" w:after="240"/>
        <w:rPr>
          <w:sz w:val="22"/>
          <w:szCs w:val="22"/>
        </w:rPr>
      </w:pPr>
      <w:r w:rsidRPr="002B7E6B">
        <w:rPr>
          <w:sz w:val="22"/>
          <w:szCs w:val="22"/>
        </w:rPr>
        <w:t xml:space="preserve">The biomass (t) and catch specifications (t) of skates in recent years </w:t>
      </w:r>
      <w:proofErr w:type="gramStart"/>
      <w:r w:rsidRPr="002B7E6B">
        <w:rPr>
          <w:sz w:val="22"/>
          <w:szCs w:val="22"/>
        </w:rPr>
        <w:t>are shown</w:t>
      </w:r>
      <w:proofErr w:type="gramEnd"/>
      <w:r w:rsidRPr="002B7E6B">
        <w:rPr>
          <w:sz w:val="22"/>
          <w:szCs w:val="22"/>
        </w:rPr>
        <w:t xml:space="preserve"> below. Biomass for each year corresponds to the projection given in the SAFE report issued in the preceding year. The OFL and ABC for 2023 and 2024 are those recommended by the BSAI Groundfish Plan Team. Catch data are current through November 5, 2022.</w:t>
      </w:r>
    </w:p>
    <w:tbl>
      <w:tblPr>
        <w:tblW w:w="8190" w:type="dxa"/>
        <w:tblBorders>
          <w:top w:val="nil"/>
          <w:left w:val="nil"/>
          <w:bottom w:val="nil"/>
          <w:right w:val="nil"/>
          <w:insideH w:val="nil"/>
          <w:insideV w:val="nil"/>
        </w:tblBorders>
        <w:tblLayout w:type="fixed"/>
        <w:tblLook w:val="0600" w:firstRow="0" w:lastRow="0" w:firstColumn="0" w:lastColumn="0" w:noHBand="1" w:noVBand="1"/>
      </w:tblPr>
      <w:tblGrid>
        <w:gridCol w:w="1170"/>
        <w:gridCol w:w="1170"/>
        <w:gridCol w:w="1170"/>
        <w:gridCol w:w="1170"/>
        <w:gridCol w:w="1170"/>
        <w:gridCol w:w="1170"/>
        <w:gridCol w:w="1170"/>
      </w:tblGrid>
      <w:tr w:rsidR="00DE3EE8" w:rsidRPr="002B7E6B" w14:paraId="7A6C6ACC" w14:textId="77777777" w:rsidTr="005A5ABD">
        <w:trPr>
          <w:trHeight w:val="500"/>
        </w:trPr>
        <w:tc>
          <w:tcPr>
            <w:tcW w:w="1170"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3C5048C2" w14:textId="77777777" w:rsidR="00DE3EE8" w:rsidRPr="002B7E6B" w:rsidRDefault="00DE3EE8" w:rsidP="005A5ABD">
            <w:pPr>
              <w:spacing w:line="276" w:lineRule="auto"/>
              <w:rPr>
                <w:b/>
                <w:sz w:val="22"/>
                <w:szCs w:val="22"/>
              </w:rPr>
            </w:pPr>
            <w:r w:rsidRPr="002B7E6B">
              <w:rPr>
                <w:b/>
                <w:sz w:val="22"/>
                <w:szCs w:val="22"/>
              </w:rPr>
              <w:t>Area</w:t>
            </w:r>
          </w:p>
        </w:tc>
        <w:tc>
          <w:tcPr>
            <w:tcW w:w="1170"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6F0408A0" w14:textId="77777777" w:rsidR="00DE3EE8" w:rsidRPr="002B7E6B" w:rsidRDefault="00DE3EE8" w:rsidP="005A5ABD">
            <w:pPr>
              <w:spacing w:line="276" w:lineRule="auto"/>
              <w:rPr>
                <w:b/>
                <w:sz w:val="22"/>
                <w:szCs w:val="22"/>
              </w:rPr>
            </w:pPr>
            <w:r w:rsidRPr="002B7E6B">
              <w:rPr>
                <w:b/>
                <w:sz w:val="22"/>
                <w:szCs w:val="22"/>
              </w:rPr>
              <w:t>Year</w:t>
            </w:r>
          </w:p>
        </w:tc>
        <w:tc>
          <w:tcPr>
            <w:tcW w:w="1170"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08CBCD47" w14:textId="77777777" w:rsidR="00DE3EE8" w:rsidRPr="002B7E6B" w:rsidRDefault="00DE3EE8" w:rsidP="005A5ABD">
            <w:pPr>
              <w:spacing w:line="276" w:lineRule="auto"/>
              <w:rPr>
                <w:b/>
                <w:sz w:val="22"/>
                <w:szCs w:val="22"/>
              </w:rPr>
            </w:pPr>
            <w:r w:rsidRPr="002B7E6B">
              <w:rPr>
                <w:b/>
                <w:sz w:val="22"/>
                <w:szCs w:val="22"/>
              </w:rPr>
              <w:t>Biomass</w:t>
            </w:r>
          </w:p>
        </w:tc>
        <w:tc>
          <w:tcPr>
            <w:tcW w:w="1170"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0D8EC6AE" w14:textId="77777777" w:rsidR="00DE3EE8" w:rsidRPr="002B7E6B" w:rsidRDefault="00DE3EE8" w:rsidP="005A5ABD">
            <w:pPr>
              <w:spacing w:line="276" w:lineRule="auto"/>
              <w:rPr>
                <w:b/>
                <w:sz w:val="22"/>
                <w:szCs w:val="22"/>
              </w:rPr>
            </w:pPr>
            <w:r w:rsidRPr="002B7E6B">
              <w:rPr>
                <w:b/>
                <w:sz w:val="22"/>
                <w:szCs w:val="22"/>
              </w:rPr>
              <w:t>OFL</w:t>
            </w:r>
          </w:p>
        </w:tc>
        <w:tc>
          <w:tcPr>
            <w:tcW w:w="1170"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3968C94B" w14:textId="77777777" w:rsidR="00DE3EE8" w:rsidRPr="002B7E6B" w:rsidRDefault="00DE3EE8" w:rsidP="005A5ABD">
            <w:pPr>
              <w:spacing w:line="276" w:lineRule="auto"/>
              <w:rPr>
                <w:b/>
                <w:sz w:val="22"/>
                <w:szCs w:val="22"/>
              </w:rPr>
            </w:pPr>
            <w:r w:rsidRPr="002B7E6B">
              <w:rPr>
                <w:b/>
                <w:sz w:val="22"/>
                <w:szCs w:val="22"/>
              </w:rPr>
              <w:t>ABC</w:t>
            </w:r>
          </w:p>
        </w:tc>
        <w:tc>
          <w:tcPr>
            <w:tcW w:w="1170"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03FF120C" w14:textId="77777777" w:rsidR="00DE3EE8" w:rsidRPr="002B7E6B" w:rsidRDefault="00DE3EE8" w:rsidP="005A5ABD">
            <w:pPr>
              <w:spacing w:line="276" w:lineRule="auto"/>
              <w:rPr>
                <w:b/>
                <w:sz w:val="22"/>
                <w:szCs w:val="22"/>
              </w:rPr>
            </w:pPr>
            <w:r w:rsidRPr="002B7E6B">
              <w:rPr>
                <w:b/>
                <w:sz w:val="22"/>
                <w:szCs w:val="22"/>
              </w:rPr>
              <w:t>TAC</w:t>
            </w:r>
          </w:p>
        </w:tc>
        <w:tc>
          <w:tcPr>
            <w:tcW w:w="1170"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6B641AFE" w14:textId="77777777" w:rsidR="00DE3EE8" w:rsidRPr="002B7E6B" w:rsidRDefault="00DE3EE8" w:rsidP="005A5ABD">
            <w:pPr>
              <w:spacing w:line="276" w:lineRule="auto"/>
              <w:rPr>
                <w:b/>
                <w:sz w:val="22"/>
                <w:szCs w:val="22"/>
              </w:rPr>
            </w:pPr>
            <w:r w:rsidRPr="002B7E6B">
              <w:rPr>
                <w:b/>
                <w:sz w:val="22"/>
                <w:szCs w:val="22"/>
              </w:rPr>
              <w:t>Catch</w:t>
            </w:r>
          </w:p>
        </w:tc>
      </w:tr>
      <w:tr w:rsidR="00DE3EE8" w:rsidRPr="002B7E6B" w14:paraId="5042881D" w14:textId="77777777" w:rsidTr="005A5ABD">
        <w:trPr>
          <w:trHeight w:val="485"/>
        </w:trPr>
        <w:tc>
          <w:tcPr>
            <w:tcW w:w="1170" w:type="dxa"/>
            <w:tcBorders>
              <w:top w:val="nil"/>
              <w:left w:val="nil"/>
              <w:bottom w:val="nil"/>
              <w:right w:val="nil"/>
            </w:tcBorders>
            <w:tcMar>
              <w:top w:w="100" w:type="dxa"/>
              <w:left w:w="100" w:type="dxa"/>
              <w:bottom w:w="100" w:type="dxa"/>
              <w:right w:w="100" w:type="dxa"/>
            </w:tcMar>
            <w:vAlign w:val="bottom"/>
          </w:tcPr>
          <w:p w14:paraId="2C49FCF0" w14:textId="77777777" w:rsidR="00DE3EE8" w:rsidRPr="002B7E6B" w:rsidRDefault="00DE3EE8" w:rsidP="005A5ABD">
            <w:pPr>
              <w:spacing w:line="276" w:lineRule="auto"/>
              <w:rPr>
                <w:sz w:val="22"/>
                <w:szCs w:val="22"/>
              </w:rPr>
            </w:pPr>
            <w:r w:rsidRPr="002B7E6B">
              <w:rPr>
                <w:sz w:val="22"/>
                <w:szCs w:val="22"/>
              </w:rPr>
              <w:lastRenderedPageBreak/>
              <w:t>BSAI</w:t>
            </w:r>
          </w:p>
        </w:tc>
        <w:tc>
          <w:tcPr>
            <w:tcW w:w="1170" w:type="dxa"/>
            <w:tcBorders>
              <w:top w:val="nil"/>
              <w:left w:val="nil"/>
              <w:bottom w:val="nil"/>
              <w:right w:val="nil"/>
            </w:tcBorders>
            <w:tcMar>
              <w:top w:w="100" w:type="dxa"/>
              <w:left w:w="100" w:type="dxa"/>
              <w:bottom w:w="100" w:type="dxa"/>
              <w:right w:w="100" w:type="dxa"/>
            </w:tcMar>
            <w:vAlign w:val="bottom"/>
          </w:tcPr>
          <w:p w14:paraId="2D793B29" w14:textId="77777777" w:rsidR="00DE3EE8" w:rsidRPr="002B7E6B" w:rsidRDefault="00DE3EE8" w:rsidP="005A5ABD">
            <w:pPr>
              <w:spacing w:line="276" w:lineRule="auto"/>
              <w:rPr>
                <w:sz w:val="22"/>
                <w:szCs w:val="22"/>
              </w:rPr>
            </w:pPr>
            <w:r w:rsidRPr="002B7E6B">
              <w:rPr>
                <w:sz w:val="22"/>
                <w:szCs w:val="22"/>
              </w:rPr>
              <w:t>2021</w:t>
            </w:r>
          </w:p>
        </w:tc>
        <w:tc>
          <w:tcPr>
            <w:tcW w:w="1170" w:type="dxa"/>
            <w:tcBorders>
              <w:top w:val="nil"/>
              <w:left w:val="nil"/>
              <w:bottom w:val="nil"/>
              <w:right w:val="nil"/>
            </w:tcBorders>
            <w:tcMar>
              <w:top w:w="100" w:type="dxa"/>
              <w:left w:w="100" w:type="dxa"/>
              <w:bottom w:w="100" w:type="dxa"/>
              <w:right w:w="100" w:type="dxa"/>
            </w:tcMar>
            <w:vAlign w:val="bottom"/>
          </w:tcPr>
          <w:p w14:paraId="1EDF61AC" w14:textId="77777777" w:rsidR="00DE3EE8" w:rsidRPr="002B7E6B" w:rsidRDefault="00DE3EE8" w:rsidP="005A5ABD">
            <w:pPr>
              <w:spacing w:line="276" w:lineRule="auto"/>
              <w:rPr>
                <w:sz w:val="22"/>
                <w:szCs w:val="22"/>
              </w:rPr>
            </w:pPr>
            <w:r w:rsidRPr="002B7E6B">
              <w:rPr>
                <w:sz w:val="22"/>
                <w:szCs w:val="22"/>
              </w:rPr>
              <w:t>611,865</w:t>
            </w:r>
          </w:p>
        </w:tc>
        <w:tc>
          <w:tcPr>
            <w:tcW w:w="1170" w:type="dxa"/>
            <w:tcBorders>
              <w:top w:val="nil"/>
              <w:left w:val="nil"/>
              <w:bottom w:val="nil"/>
              <w:right w:val="nil"/>
            </w:tcBorders>
            <w:tcMar>
              <w:top w:w="100" w:type="dxa"/>
              <w:left w:w="100" w:type="dxa"/>
              <w:bottom w:w="100" w:type="dxa"/>
              <w:right w:w="100" w:type="dxa"/>
            </w:tcMar>
            <w:vAlign w:val="bottom"/>
          </w:tcPr>
          <w:p w14:paraId="7AB2CBC9" w14:textId="77777777" w:rsidR="00DE3EE8" w:rsidRPr="002B7E6B" w:rsidRDefault="00DE3EE8" w:rsidP="005A5ABD">
            <w:pPr>
              <w:spacing w:line="276" w:lineRule="auto"/>
              <w:rPr>
                <w:sz w:val="22"/>
                <w:szCs w:val="22"/>
              </w:rPr>
            </w:pPr>
            <w:r w:rsidRPr="002B7E6B">
              <w:rPr>
                <w:sz w:val="22"/>
                <w:szCs w:val="22"/>
              </w:rPr>
              <w:t>49,297</w:t>
            </w:r>
          </w:p>
        </w:tc>
        <w:tc>
          <w:tcPr>
            <w:tcW w:w="1170" w:type="dxa"/>
            <w:tcBorders>
              <w:top w:val="nil"/>
              <w:left w:val="nil"/>
              <w:bottom w:val="nil"/>
              <w:right w:val="nil"/>
            </w:tcBorders>
            <w:tcMar>
              <w:top w:w="100" w:type="dxa"/>
              <w:left w:w="100" w:type="dxa"/>
              <w:bottom w:w="100" w:type="dxa"/>
              <w:right w:w="100" w:type="dxa"/>
            </w:tcMar>
            <w:vAlign w:val="bottom"/>
          </w:tcPr>
          <w:p w14:paraId="3840E916" w14:textId="77777777" w:rsidR="00DE3EE8" w:rsidRPr="002B7E6B" w:rsidRDefault="00DE3EE8" w:rsidP="005A5ABD">
            <w:pPr>
              <w:spacing w:line="276" w:lineRule="auto"/>
              <w:rPr>
                <w:sz w:val="22"/>
                <w:szCs w:val="22"/>
              </w:rPr>
            </w:pPr>
            <w:r w:rsidRPr="002B7E6B">
              <w:rPr>
                <w:sz w:val="22"/>
                <w:szCs w:val="22"/>
              </w:rPr>
              <w:t>41,257</w:t>
            </w:r>
          </w:p>
        </w:tc>
        <w:tc>
          <w:tcPr>
            <w:tcW w:w="1170" w:type="dxa"/>
            <w:tcBorders>
              <w:top w:val="nil"/>
              <w:left w:val="nil"/>
              <w:bottom w:val="nil"/>
              <w:right w:val="nil"/>
            </w:tcBorders>
            <w:tcMar>
              <w:top w:w="100" w:type="dxa"/>
              <w:left w:w="100" w:type="dxa"/>
              <w:bottom w:w="100" w:type="dxa"/>
              <w:right w:w="100" w:type="dxa"/>
            </w:tcMar>
            <w:vAlign w:val="bottom"/>
          </w:tcPr>
          <w:p w14:paraId="2D3ACFA1" w14:textId="77777777" w:rsidR="00DE3EE8" w:rsidRPr="002B7E6B" w:rsidRDefault="00DE3EE8" w:rsidP="005A5ABD">
            <w:pPr>
              <w:spacing w:line="276" w:lineRule="auto"/>
              <w:rPr>
                <w:sz w:val="22"/>
                <w:szCs w:val="22"/>
              </w:rPr>
            </w:pPr>
            <w:r w:rsidRPr="002B7E6B">
              <w:rPr>
                <w:sz w:val="22"/>
                <w:szCs w:val="22"/>
              </w:rPr>
              <w:t>20,000</w:t>
            </w:r>
          </w:p>
        </w:tc>
        <w:tc>
          <w:tcPr>
            <w:tcW w:w="1170" w:type="dxa"/>
            <w:tcBorders>
              <w:top w:val="nil"/>
              <w:left w:val="nil"/>
              <w:bottom w:val="nil"/>
              <w:right w:val="nil"/>
            </w:tcBorders>
            <w:tcMar>
              <w:top w:w="100" w:type="dxa"/>
              <w:left w:w="100" w:type="dxa"/>
              <w:bottom w:w="100" w:type="dxa"/>
              <w:right w:w="100" w:type="dxa"/>
            </w:tcMar>
            <w:vAlign w:val="bottom"/>
          </w:tcPr>
          <w:p w14:paraId="443C16C6" w14:textId="77777777" w:rsidR="00DE3EE8" w:rsidRPr="002B7E6B" w:rsidRDefault="00DE3EE8" w:rsidP="005A5ABD">
            <w:pPr>
              <w:spacing w:line="276" w:lineRule="auto"/>
              <w:rPr>
                <w:sz w:val="22"/>
                <w:szCs w:val="22"/>
              </w:rPr>
            </w:pPr>
            <w:r w:rsidRPr="002B7E6B">
              <w:rPr>
                <w:sz w:val="22"/>
                <w:szCs w:val="22"/>
              </w:rPr>
              <w:t>20,029</w:t>
            </w:r>
          </w:p>
        </w:tc>
      </w:tr>
      <w:tr w:rsidR="00DE3EE8" w:rsidRPr="002B7E6B" w14:paraId="39E33BCC" w14:textId="77777777" w:rsidTr="005A5ABD">
        <w:trPr>
          <w:trHeight w:val="485"/>
        </w:trPr>
        <w:tc>
          <w:tcPr>
            <w:tcW w:w="1170" w:type="dxa"/>
            <w:tcBorders>
              <w:top w:val="nil"/>
              <w:left w:val="nil"/>
              <w:bottom w:val="nil"/>
              <w:right w:val="nil"/>
            </w:tcBorders>
            <w:tcMar>
              <w:top w:w="100" w:type="dxa"/>
              <w:left w:w="100" w:type="dxa"/>
              <w:bottom w:w="100" w:type="dxa"/>
              <w:right w:w="100" w:type="dxa"/>
            </w:tcMar>
            <w:vAlign w:val="bottom"/>
          </w:tcPr>
          <w:p w14:paraId="236CA6BD" w14:textId="77777777" w:rsidR="00DE3EE8" w:rsidRPr="002B7E6B" w:rsidRDefault="00DE3EE8" w:rsidP="005A5ABD">
            <w:pPr>
              <w:rPr>
                <w:sz w:val="22"/>
                <w:szCs w:val="22"/>
              </w:rPr>
            </w:pPr>
          </w:p>
        </w:tc>
        <w:tc>
          <w:tcPr>
            <w:tcW w:w="1170" w:type="dxa"/>
            <w:tcBorders>
              <w:top w:val="nil"/>
              <w:left w:val="nil"/>
              <w:bottom w:val="nil"/>
              <w:right w:val="nil"/>
            </w:tcBorders>
            <w:tcMar>
              <w:top w:w="100" w:type="dxa"/>
              <w:left w:w="100" w:type="dxa"/>
              <w:bottom w:w="100" w:type="dxa"/>
              <w:right w:w="100" w:type="dxa"/>
            </w:tcMar>
            <w:vAlign w:val="bottom"/>
          </w:tcPr>
          <w:p w14:paraId="1A457136" w14:textId="77777777" w:rsidR="00DE3EE8" w:rsidRPr="002B7E6B" w:rsidRDefault="00DE3EE8" w:rsidP="005A5ABD">
            <w:pPr>
              <w:spacing w:line="276" w:lineRule="auto"/>
              <w:rPr>
                <w:sz w:val="22"/>
                <w:szCs w:val="22"/>
              </w:rPr>
            </w:pPr>
            <w:r w:rsidRPr="002B7E6B">
              <w:rPr>
                <w:sz w:val="22"/>
                <w:szCs w:val="22"/>
              </w:rPr>
              <w:t>2022</w:t>
            </w:r>
          </w:p>
        </w:tc>
        <w:tc>
          <w:tcPr>
            <w:tcW w:w="1170" w:type="dxa"/>
            <w:tcBorders>
              <w:top w:val="nil"/>
              <w:left w:val="nil"/>
              <w:bottom w:val="nil"/>
              <w:right w:val="nil"/>
            </w:tcBorders>
            <w:tcMar>
              <w:top w:w="100" w:type="dxa"/>
              <w:left w:w="100" w:type="dxa"/>
              <w:bottom w:w="100" w:type="dxa"/>
              <w:right w:w="100" w:type="dxa"/>
            </w:tcMar>
            <w:vAlign w:val="bottom"/>
          </w:tcPr>
          <w:p w14:paraId="7514E235" w14:textId="77777777" w:rsidR="00DE3EE8" w:rsidRPr="002B7E6B" w:rsidRDefault="00DE3EE8" w:rsidP="005A5ABD">
            <w:pPr>
              <w:spacing w:line="276" w:lineRule="auto"/>
              <w:rPr>
                <w:sz w:val="22"/>
                <w:szCs w:val="22"/>
              </w:rPr>
            </w:pPr>
            <w:r w:rsidRPr="002B7E6B">
              <w:rPr>
                <w:sz w:val="22"/>
                <w:szCs w:val="22"/>
              </w:rPr>
              <w:t>597,042</w:t>
            </w:r>
          </w:p>
        </w:tc>
        <w:tc>
          <w:tcPr>
            <w:tcW w:w="1170" w:type="dxa"/>
            <w:tcBorders>
              <w:top w:val="nil"/>
              <w:left w:val="nil"/>
              <w:bottom w:val="nil"/>
              <w:right w:val="nil"/>
            </w:tcBorders>
            <w:tcMar>
              <w:top w:w="100" w:type="dxa"/>
              <w:left w:w="100" w:type="dxa"/>
              <w:bottom w:w="100" w:type="dxa"/>
              <w:right w:w="100" w:type="dxa"/>
            </w:tcMar>
            <w:vAlign w:val="bottom"/>
          </w:tcPr>
          <w:p w14:paraId="3D36F0EF" w14:textId="77777777" w:rsidR="00DE3EE8" w:rsidRPr="002B7E6B" w:rsidRDefault="00DE3EE8" w:rsidP="005A5ABD">
            <w:pPr>
              <w:spacing w:line="276" w:lineRule="auto"/>
              <w:rPr>
                <w:sz w:val="22"/>
                <w:szCs w:val="22"/>
              </w:rPr>
            </w:pPr>
            <w:r w:rsidRPr="002B7E6B">
              <w:rPr>
                <w:sz w:val="22"/>
                <w:szCs w:val="22"/>
              </w:rPr>
              <w:t>47,790</w:t>
            </w:r>
          </w:p>
        </w:tc>
        <w:tc>
          <w:tcPr>
            <w:tcW w:w="1170" w:type="dxa"/>
            <w:tcBorders>
              <w:top w:val="nil"/>
              <w:left w:val="nil"/>
              <w:bottom w:val="nil"/>
              <w:right w:val="nil"/>
            </w:tcBorders>
            <w:tcMar>
              <w:top w:w="100" w:type="dxa"/>
              <w:left w:w="100" w:type="dxa"/>
              <w:bottom w:w="100" w:type="dxa"/>
              <w:right w:w="100" w:type="dxa"/>
            </w:tcMar>
            <w:vAlign w:val="bottom"/>
          </w:tcPr>
          <w:p w14:paraId="7FC5C707" w14:textId="77777777" w:rsidR="00DE3EE8" w:rsidRPr="002B7E6B" w:rsidRDefault="00DE3EE8" w:rsidP="005A5ABD">
            <w:pPr>
              <w:spacing w:line="276" w:lineRule="auto"/>
              <w:rPr>
                <w:sz w:val="22"/>
                <w:szCs w:val="22"/>
              </w:rPr>
            </w:pPr>
            <w:r w:rsidRPr="002B7E6B">
              <w:rPr>
                <w:sz w:val="22"/>
                <w:szCs w:val="22"/>
              </w:rPr>
              <w:t>39,958</w:t>
            </w:r>
          </w:p>
        </w:tc>
        <w:tc>
          <w:tcPr>
            <w:tcW w:w="1170" w:type="dxa"/>
            <w:tcBorders>
              <w:top w:val="nil"/>
              <w:left w:val="nil"/>
              <w:bottom w:val="nil"/>
              <w:right w:val="nil"/>
            </w:tcBorders>
            <w:tcMar>
              <w:top w:w="100" w:type="dxa"/>
              <w:left w:w="100" w:type="dxa"/>
              <w:bottom w:w="100" w:type="dxa"/>
              <w:right w:w="100" w:type="dxa"/>
            </w:tcMar>
            <w:vAlign w:val="bottom"/>
          </w:tcPr>
          <w:p w14:paraId="61715F50" w14:textId="77777777" w:rsidR="00DE3EE8" w:rsidRPr="002B7E6B" w:rsidRDefault="00DE3EE8" w:rsidP="005A5ABD">
            <w:pPr>
              <w:spacing w:line="276" w:lineRule="auto"/>
              <w:rPr>
                <w:sz w:val="22"/>
                <w:szCs w:val="22"/>
              </w:rPr>
            </w:pPr>
            <w:r w:rsidRPr="002B7E6B">
              <w:rPr>
                <w:sz w:val="22"/>
                <w:szCs w:val="22"/>
              </w:rPr>
              <w:t>30,000</w:t>
            </w:r>
          </w:p>
        </w:tc>
        <w:tc>
          <w:tcPr>
            <w:tcW w:w="1170" w:type="dxa"/>
            <w:tcBorders>
              <w:top w:val="nil"/>
              <w:left w:val="nil"/>
              <w:bottom w:val="nil"/>
              <w:right w:val="nil"/>
            </w:tcBorders>
            <w:tcMar>
              <w:top w:w="100" w:type="dxa"/>
              <w:left w:w="100" w:type="dxa"/>
              <w:bottom w:w="100" w:type="dxa"/>
              <w:right w:w="100" w:type="dxa"/>
            </w:tcMar>
            <w:vAlign w:val="bottom"/>
          </w:tcPr>
          <w:p w14:paraId="55625EFF" w14:textId="77777777" w:rsidR="00DE3EE8" w:rsidRPr="002B7E6B" w:rsidRDefault="00DE3EE8" w:rsidP="005A5ABD">
            <w:pPr>
              <w:spacing w:line="276" w:lineRule="auto"/>
              <w:rPr>
                <w:sz w:val="22"/>
                <w:szCs w:val="22"/>
              </w:rPr>
            </w:pPr>
            <w:r w:rsidRPr="002B7E6B">
              <w:rPr>
                <w:sz w:val="22"/>
                <w:szCs w:val="22"/>
              </w:rPr>
              <w:t>27,799</w:t>
            </w:r>
          </w:p>
        </w:tc>
      </w:tr>
      <w:tr w:rsidR="00DE3EE8" w:rsidRPr="002B7E6B" w14:paraId="4285AF3B" w14:textId="77777777" w:rsidTr="005A5ABD">
        <w:trPr>
          <w:trHeight w:val="485"/>
        </w:trPr>
        <w:tc>
          <w:tcPr>
            <w:tcW w:w="1170" w:type="dxa"/>
            <w:tcBorders>
              <w:top w:val="nil"/>
              <w:left w:val="nil"/>
              <w:bottom w:val="nil"/>
              <w:right w:val="nil"/>
            </w:tcBorders>
            <w:tcMar>
              <w:top w:w="100" w:type="dxa"/>
              <w:left w:w="100" w:type="dxa"/>
              <w:bottom w:w="100" w:type="dxa"/>
              <w:right w:w="100" w:type="dxa"/>
            </w:tcMar>
            <w:vAlign w:val="bottom"/>
          </w:tcPr>
          <w:p w14:paraId="5D79CECF" w14:textId="77777777" w:rsidR="00DE3EE8" w:rsidRPr="002B7E6B" w:rsidRDefault="00DE3EE8" w:rsidP="005A5ABD">
            <w:pPr>
              <w:rPr>
                <w:sz w:val="22"/>
                <w:szCs w:val="22"/>
              </w:rPr>
            </w:pPr>
          </w:p>
        </w:tc>
        <w:tc>
          <w:tcPr>
            <w:tcW w:w="1170" w:type="dxa"/>
            <w:tcBorders>
              <w:top w:val="nil"/>
              <w:left w:val="nil"/>
              <w:bottom w:val="nil"/>
              <w:right w:val="nil"/>
            </w:tcBorders>
            <w:tcMar>
              <w:top w:w="100" w:type="dxa"/>
              <w:left w:w="100" w:type="dxa"/>
              <w:bottom w:w="100" w:type="dxa"/>
              <w:right w:w="100" w:type="dxa"/>
            </w:tcMar>
            <w:vAlign w:val="bottom"/>
          </w:tcPr>
          <w:p w14:paraId="24FFC2E7" w14:textId="77777777" w:rsidR="00DE3EE8" w:rsidRPr="002B7E6B" w:rsidRDefault="00DE3EE8" w:rsidP="005A5ABD">
            <w:pPr>
              <w:spacing w:line="276" w:lineRule="auto"/>
              <w:rPr>
                <w:sz w:val="22"/>
                <w:szCs w:val="22"/>
              </w:rPr>
            </w:pPr>
            <w:r w:rsidRPr="002B7E6B">
              <w:rPr>
                <w:sz w:val="22"/>
                <w:szCs w:val="22"/>
              </w:rPr>
              <w:t>2023</w:t>
            </w:r>
          </w:p>
        </w:tc>
        <w:tc>
          <w:tcPr>
            <w:tcW w:w="1170" w:type="dxa"/>
            <w:tcBorders>
              <w:top w:val="nil"/>
              <w:left w:val="nil"/>
              <w:bottom w:val="nil"/>
              <w:right w:val="nil"/>
            </w:tcBorders>
            <w:tcMar>
              <w:top w:w="100" w:type="dxa"/>
              <w:left w:w="100" w:type="dxa"/>
              <w:bottom w:w="100" w:type="dxa"/>
              <w:right w:w="100" w:type="dxa"/>
            </w:tcMar>
            <w:vAlign w:val="bottom"/>
          </w:tcPr>
          <w:p w14:paraId="02E4DA62" w14:textId="77777777" w:rsidR="00DE3EE8" w:rsidRPr="002B7E6B" w:rsidRDefault="00DE3EE8" w:rsidP="005A5ABD">
            <w:pPr>
              <w:spacing w:line="276" w:lineRule="auto"/>
              <w:rPr>
                <w:sz w:val="22"/>
                <w:szCs w:val="22"/>
              </w:rPr>
            </w:pPr>
            <w:r w:rsidRPr="002B7E6B">
              <w:rPr>
                <w:sz w:val="22"/>
                <w:szCs w:val="22"/>
              </w:rPr>
              <w:t>580,701</w:t>
            </w:r>
          </w:p>
        </w:tc>
        <w:tc>
          <w:tcPr>
            <w:tcW w:w="1170" w:type="dxa"/>
            <w:tcBorders>
              <w:top w:val="nil"/>
              <w:left w:val="nil"/>
              <w:bottom w:val="nil"/>
              <w:right w:val="nil"/>
            </w:tcBorders>
            <w:tcMar>
              <w:top w:w="100" w:type="dxa"/>
              <w:left w:w="100" w:type="dxa"/>
              <w:bottom w:w="100" w:type="dxa"/>
              <w:right w:w="100" w:type="dxa"/>
            </w:tcMar>
            <w:vAlign w:val="bottom"/>
          </w:tcPr>
          <w:p w14:paraId="209A9980" w14:textId="77777777" w:rsidR="00DE3EE8" w:rsidRPr="002B7E6B" w:rsidRDefault="00DE3EE8" w:rsidP="005A5ABD">
            <w:pPr>
              <w:spacing w:line="276" w:lineRule="auto"/>
              <w:rPr>
                <w:sz w:val="22"/>
                <w:szCs w:val="22"/>
              </w:rPr>
            </w:pPr>
            <w:r w:rsidRPr="002B7E6B">
              <w:rPr>
                <w:sz w:val="22"/>
                <w:szCs w:val="22"/>
              </w:rPr>
              <w:t>46,220</w:t>
            </w:r>
          </w:p>
        </w:tc>
        <w:tc>
          <w:tcPr>
            <w:tcW w:w="1170" w:type="dxa"/>
            <w:tcBorders>
              <w:top w:val="nil"/>
              <w:left w:val="nil"/>
              <w:bottom w:val="nil"/>
              <w:right w:val="nil"/>
            </w:tcBorders>
            <w:tcMar>
              <w:top w:w="100" w:type="dxa"/>
              <w:left w:w="100" w:type="dxa"/>
              <w:bottom w:w="100" w:type="dxa"/>
              <w:right w:w="100" w:type="dxa"/>
            </w:tcMar>
            <w:vAlign w:val="bottom"/>
          </w:tcPr>
          <w:p w14:paraId="65FF8A4F" w14:textId="77777777" w:rsidR="00DE3EE8" w:rsidRPr="002B7E6B" w:rsidRDefault="00DE3EE8" w:rsidP="005A5ABD">
            <w:pPr>
              <w:spacing w:line="276" w:lineRule="auto"/>
              <w:rPr>
                <w:sz w:val="22"/>
                <w:szCs w:val="22"/>
              </w:rPr>
            </w:pPr>
            <w:r w:rsidRPr="002B7E6B">
              <w:rPr>
                <w:sz w:val="22"/>
                <w:szCs w:val="22"/>
              </w:rPr>
              <w:t>38,605</w:t>
            </w:r>
          </w:p>
        </w:tc>
        <w:tc>
          <w:tcPr>
            <w:tcW w:w="1170" w:type="dxa"/>
            <w:tcBorders>
              <w:top w:val="nil"/>
              <w:left w:val="nil"/>
              <w:bottom w:val="nil"/>
              <w:right w:val="nil"/>
            </w:tcBorders>
            <w:tcMar>
              <w:top w:w="100" w:type="dxa"/>
              <w:left w:w="100" w:type="dxa"/>
              <w:bottom w:w="100" w:type="dxa"/>
              <w:right w:w="100" w:type="dxa"/>
            </w:tcMar>
            <w:vAlign w:val="bottom"/>
          </w:tcPr>
          <w:p w14:paraId="1769DC22" w14:textId="77777777" w:rsidR="00DE3EE8" w:rsidRPr="002B7E6B" w:rsidRDefault="00DE3EE8" w:rsidP="005A5ABD">
            <w:pPr>
              <w:spacing w:line="276" w:lineRule="auto"/>
              <w:rPr>
                <w:sz w:val="22"/>
                <w:szCs w:val="22"/>
              </w:rPr>
            </w:pPr>
            <w:r w:rsidRPr="002B7E6B">
              <w:rPr>
                <w:sz w:val="22"/>
                <w:szCs w:val="22"/>
              </w:rPr>
              <w:t>n/a</w:t>
            </w:r>
          </w:p>
        </w:tc>
        <w:tc>
          <w:tcPr>
            <w:tcW w:w="1170" w:type="dxa"/>
            <w:tcBorders>
              <w:top w:val="nil"/>
              <w:left w:val="nil"/>
              <w:bottom w:val="nil"/>
              <w:right w:val="nil"/>
            </w:tcBorders>
            <w:tcMar>
              <w:top w:w="100" w:type="dxa"/>
              <w:left w:w="100" w:type="dxa"/>
              <w:bottom w:w="100" w:type="dxa"/>
              <w:right w:w="100" w:type="dxa"/>
            </w:tcMar>
            <w:vAlign w:val="bottom"/>
          </w:tcPr>
          <w:p w14:paraId="532EB940" w14:textId="77777777" w:rsidR="00DE3EE8" w:rsidRPr="002B7E6B" w:rsidRDefault="00DE3EE8" w:rsidP="005A5ABD">
            <w:pPr>
              <w:spacing w:line="276" w:lineRule="auto"/>
              <w:rPr>
                <w:sz w:val="22"/>
                <w:szCs w:val="22"/>
              </w:rPr>
            </w:pPr>
            <w:r w:rsidRPr="002B7E6B">
              <w:rPr>
                <w:sz w:val="22"/>
                <w:szCs w:val="22"/>
              </w:rPr>
              <w:t>n/a</w:t>
            </w:r>
          </w:p>
        </w:tc>
      </w:tr>
      <w:tr w:rsidR="00DE3EE8" w:rsidRPr="002B7E6B" w14:paraId="2B80243A" w14:textId="77777777" w:rsidTr="005A5ABD">
        <w:trPr>
          <w:trHeight w:val="485"/>
        </w:trPr>
        <w:tc>
          <w:tcPr>
            <w:tcW w:w="1170" w:type="dxa"/>
            <w:tcBorders>
              <w:top w:val="nil"/>
              <w:left w:val="nil"/>
              <w:bottom w:val="single" w:sz="7" w:space="0" w:color="000000"/>
              <w:right w:val="nil"/>
            </w:tcBorders>
            <w:tcMar>
              <w:top w:w="100" w:type="dxa"/>
              <w:left w:w="100" w:type="dxa"/>
              <w:bottom w:w="100" w:type="dxa"/>
              <w:right w:w="100" w:type="dxa"/>
            </w:tcMar>
            <w:vAlign w:val="bottom"/>
          </w:tcPr>
          <w:p w14:paraId="1DA04241" w14:textId="77777777" w:rsidR="00DE3EE8" w:rsidRPr="002B7E6B" w:rsidRDefault="00DE3EE8" w:rsidP="005A5ABD">
            <w:pPr>
              <w:spacing w:line="276" w:lineRule="auto"/>
              <w:rPr>
                <w:sz w:val="22"/>
                <w:szCs w:val="22"/>
              </w:rPr>
            </w:pPr>
            <w:r w:rsidRPr="002B7E6B">
              <w:rPr>
                <w:sz w:val="22"/>
                <w:szCs w:val="22"/>
              </w:rPr>
              <w:t xml:space="preserve"> </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281A6698" w14:textId="77777777" w:rsidR="00DE3EE8" w:rsidRPr="002B7E6B" w:rsidRDefault="00DE3EE8" w:rsidP="005A5ABD">
            <w:pPr>
              <w:spacing w:line="276" w:lineRule="auto"/>
              <w:rPr>
                <w:sz w:val="22"/>
                <w:szCs w:val="22"/>
              </w:rPr>
            </w:pPr>
            <w:r w:rsidRPr="002B7E6B">
              <w:rPr>
                <w:sz w:val="22"/>
                <w:szCs w:val="22"/>
              </w:rPr>
              <w:t>2024</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17DEAACA" w14:textId="77777777" w:rsidR="00DE3EE8" w:rsidRPr="002B7E6B" w:rsidRDefault="00DE3EE8" w:rsidP="005A5ABD">
            <w:pPr>
              <w:spacing w:line="276" w:lineRule="auto"/>
              <w:rPr>
                <w:sz w:val="22"/>
                <w:szCs w:val="22"/>
              </w:rPr>
            </w:pPr>
            <w:r w:rsidRPr="002B7E6B">
              <w:rPr>
                <w:sz w:val="22"/>
                <w:szCs w:val="22"/>
              </w:rPr>
              <w:t>557,853</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544ACB7E" w14:textId="77777777" w:rsidR="00DE3EE8" w:rsidRPr="002B7E6B" w:rsidRDefault="00DE3EE8" w:rsidP="005A5ABD">
            <w:pPr>
              <w:spacing w:line="276" w:lineRule="auto"/>
              <w:rPr>
                <w:sz w:val="22"/>
                <w:szCs w:val="22"/>
              </w:rPr>
            </w:pPr>
            <w:r w:rsidRPr="002B7E6B">
              <w:rPr>
                <w:sz w:val="22"/>
                <w:szCs w:val="22"/>
              </w:rPr>
              <w:t>44,168</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546D7EE2" w14:textId="77777777" w:rsidR="00DE3EE8" w:rsidRPr="002B7E6B" w:rsidRDefault="00DE3EE8" w:rsidP="005A5ABD">
            <w:pPr>
              <w:spacing w:line="276" w:lineRule="auto"/>
              <w:rPr>
                <w:sz w:val="22"/>
                <w:szCs w:val="22"/>
              </w:rPr>
            </w:pPr>
            <w:r w:rsidRPr="002B7E6B">
              <w:rPr>
                <w:sz w:val="22"/>
                <w:szCs w:val="22"/>
              </w:rPr>
              <w:t>36,837</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07A98357" w14:textId="77777777" w:rsidR="00DE3EE8" w:rsidRPr="002B7E6B" w:rsidRDefault="00DE3EE8" w:rsidP="005A5ABD">
            <w:pPr>
              <w:spacing w:line="276" w:lineRule="auto"/>
              <w:rPr>
                <w:sz w:val="22"/>
                <w:szCs w:val="22"/>
              </w:rPr>
            </w:pPr>
            <w:r w:rsidRPr="002B7E6B">
              <w:rPr>
                <w:sz w:val="22"/>
                <w:szCs w:val="22"/>
              </w:rPr>
              <w:t>n/a</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0D204EEA" w14:textId="77777777" w:rsidR="00DE3EE8" w:rsidRPr="002B7E6B" w:rsidRDefault="00DE3EE8" w:rsidP="005A5ABD">
            <w:pPr>
              <w:spacing w:line="276" w:lineRule="auto"/>
              <w:rPr>
                <w:sz w:val="22"/>
                <w:szCs w:val="22"/>
              </w:rPr>
            </w:pPr>
            <w:r w:rsidRPr="002B7E6B">
              <w:rPr>
                <w:sz w:val="22"/>
                <w:szCs w:val="22"/>
              </w:rPr>
              <w:t>n/a</w:t>
            </w:r>
          </w:p>
        </w:tc>
      </w:tr>
    </w:tbl>
    <w:p w14:paraId="6DFA87E7" w14:textId="77777777" w:rsidR="00DE3EE8" w:rsidRPr="002B7E6B" w:rsidRDefault="00DE3EE8" w:rsidP="00DE3EE8">
      <w:pPr>
        <w:spacing w:before="240" w:after="240"/>
        <w:rPr>
          <w:sz w:val="22"/>
          <w:szCs w:val="22"/>
        </w:rPr>
      </w:pPr>
      <w:r w:rsidRPr="002B7E6B">
        <w:rPr>
          <w:color w:val="222222"/>
          <w:sz w:val="22"/>
          <w:szCs w:val="22"/>
        </w:rPr>
        <w:t xml:space="preserve">For more information contact </w:t>
      </w:r>
      <w:r w:rsidRPr="002B7E6B">
        <w:rPr>
          <w:sz w:val="22"/>
          <w:szCs w:val="22"/>
        </w:rPr>
        <w:t>Cindy Tribuzio cindy.tribuzio@noaa.gov</w:t>
      </w:r>
    </w:p>
    <w:p w14:paraId="3F3CAA05" w14:textId="00054DB4" w:rsidR="00DE3EE8" w:rsidRPr="002B7E6B" w:rsidRDefault="00DE3EE8" w:rsidP="00DE3EE8">
      <w:pPr>
        <w:pStyle w:val="Heading5"/>
        <w:rPr>
          <w:sz w:val="22"/>
          <w:szCs w:val="22"/>
        </w:rPr>
      </w:pPr>
      <w:bookmarkStart w:id="45" w:name="_Toc131503820"/>
      <w:r w:rsidRPr="002B7E6B">
        <w:rPr>
          <w:sz w:val="22"/>
          <w:szCs w:val="22"/>
        </w:rPr>
        <w:t>Gulf of Alaska</w:t>
      </w:r>
      <w:r w:rsidR="0024271A">
        <w:rPr>
          <w:sz w:val="22"/>
          <w:szCs w:val="22"/>
        </w:rPr>
        <w:t xml:space="preserve"> – </w:t>
      </w:r>
      <w:r w:rsidRPr="002B7E6B">
        <w:rPr>
          <w:sz w:val="22"/>
          <w:szCs w:val="22"/>
        </w:rPr>
        <w:t>REFM</w:t>
      </w:r>
      <w:bookmarkEnd w:id="45"/>
    </w:p>
    <w:p w14:paraId="15535A76" w14:textId="77777777" w:rsidR="00DE3EE8" w:rsidRPr="002B7E6B" w:rsidRDefault="00DE3EE8" w:rsidP="00DE3EE8">
      <w:pPr>
        <w:spacing w:before="240" w:after="240"/>
        <w:rPr>
          <w:sz w:val="22"/>
          <w:szCs w:val="22"/>
        </w:rPr>
      </w:pPr>
      <w:r w:rsidRPr="002B7E6B">
        <w:rPr>
          <w:sz w:val="22"/>
          <w:szCs w:val="22"/>
        </w:rPr>
        <w:t xml:space="preserve">An assessment </w:t>
      </w:r>
      <w:proofErr w:type="gramStart"/>
      <w:r w:rsidRPr="002B7E6B">
        <w:rPr>
          <w:sz w:val="22"/>
          <w:szCs w:val="22"/>
        </w:rPr>
        <w:t>was not conducted</w:t>
      </w:r>
      <w:proofErr w:type="gramEnd"/>
      <w:r w:rsidRPr="002B7E6B">
        <w:rPr>
          <w:sz w:val="22"/>
          <w:szCs w:val="22"/>
        </w:rPr>
        <w:t xml:space="preserve"> in 2022, in accordance to the approved assessment schedule. The values from the last full assessment </w:t>
      </w:r>
      <w:proofErr w:type="gramStart"/>
      <w:r w:rsidRPr="002B7E6B">
        <w:rPr>
          <w:sz w:val="22"/>
          <w:szCs w:val="22"/>
        </w:rPr>
        <w:t>were rolled over</w:t>
      </w:r>
      <w:proofErr w:type="gramEnd"/>
      <w:r w:rsidRPr="002B7E6B">
        <w:rPr>
          <w:sz w:val="22"/>
          <w:szCs w:val="22"/>
        </w:rPr>
        <w:t xml:space="preserve"> for the 2023 management specifications. The last full assessment can be found </w:t>
      </w:r>
      <w:proofErr w:type="gramStart"/>
      <w:r w:rsidRPr="002B7E6B">
        <w:rPr>
          <w:sz w:val="22"/>
          <w:szCs w:val="22"/>
        </w:rPr>
        <w:t>at:</w:t>
      </w:r>
      <w:proofErr w:type="gramEnd"/>
      <w:r w:rsidR="00A44DE9">
        <w:fldChar w:fldCharType="begin"/>
      </w:r>
      <w:r w:rsidR="00A44DE9">
        <w:instrText xml:space="preserve"> HYPERLINK "https://apps-afsc.fisheries.noaa.gov/refm/docs/2021/GOAskate.pdf)%20in%202021" \h </w:instrText>
      </w:r>
      <w:r w:rsidR="00A44DE9">
        <w:fldChar w:fldCharType="separate"/>
      </w:r>
      <w:r w:rsidRPr="002B7E6B">
        <w:rPr>
          <w:sz w:val="22"/>
          <w:szCs w:val="22"/>
        </w:rPr>
        <w:t xml:space="preserve"> </w:t>
      </w:r>
      <w:r w:rsidR="00A44DE9">
        <w:rPr>
          <w:sz w:val="22"/>
          <w:szCs w:val="22"/>
        </w:rPr>
        <w:fldChar w:fldCharType="end"/>
      </w:r>
      <w:hyperlink r:id="rId50">
        <w:r w:rsidRPr="002B7E6B">
          <w:rPr>
            <w:color w:val="1155CC"/>
            <w:sz w:val="22"/>
            <w:szCs w:val="22"/>
            <w:u w:val="single"/>
          </w:rPr>
          <w:t>https://apps-afsc.fisheries.noaa.gov/refm/docs/2021/GOAskate.pdf) in 2021</w:t>
        </w:r>
      </w:hyperlink>
      <w:r w:rsidRPr="002B7E6B">
        <w:rPr>
          <w:sz w:val="22"/>
          <w:szCs w:val="22"/>
        </w:rPr>
        <w:t>.</w:t>
      </w:r>
    </w:p>
    <w:p w14:paraId="39C20FC6" w14:textId="77777777" w:rsidR="00DE3EE8" w:rsidRPr="002B7E6B" w:rsidRDefault="00DE3EE8" w:rsidP="00DE3EE8">
      <w:pPr>
        <w:rPr>
          <w:sz w:val="22"/>
          <w:szCs w:val="22"/>
        </w:rPr>
      </w:pPr>
    </w:p>
    <w:tbl>
      <w:tblPr>
        <w:tblW w:w="8730" w:type="dxa"/>
        <w:tblBorders>
          <w:top w:val="nil"/>
          <w:left w:val="nil"/>
          <w:bottom w:val="nil"/>
          <w:right w:val="nil"/>
          <w:insideH w:val="nil"/>
          <w:insideV w:val="nil"/>
        </w:tblBorders>
        <w:tblLayout w:type="fixed"/>
        <w:tblLook w:val="0600" w:firstRow="0" w:lastRow="0" w:firstColumn="0" w:lastColumn="0" w:noHBand="1" w:noVBand="1"/>
      </w:tblPr>
      <w:tblGrid>
        <w:gridCol w:w="1710"/>
        <w:gridCol w:w="1170"/>
        <w:gridCol w:w="1170"/>
        <w:gridCol w:w="1170"/>
        <w:gridCol w:w="1170"/>
        <w:gridCol w:w="1170"/>
        <w:gridCol w:w="1170"/>
      </w:tblGrid>
      <w:tr w:rsidR="00DE3EE8" w:rsidRPr="002B7E6B" w14:paraId="6EB90E19" w14:textId="77777777" w:rsidTr="005A5ABD">
        <w:trPr>
          <w:trHeight w:val="500"/>
        </w:trPr>
        <w:tc>
          <w:tcPr>
            <w:tcW w:w="1710"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64E3ED87" w14:textId="77777777" w:rsidR="00DE3EE8" w:rsidRPr="002B7E6B" w:rsidRDefault="00DE3EE8" w:rsidP="005A5ABD">
            <w:pPr>
              <w:rPr>
                <w:b/>
                <w:sz w:val="22"/>
                <w:szCs w:val="22"/>
              </w:rPr>
            </w:pPr>
            <w:r w:rsidRPr="002B7E6B">
              <w:rPr>
                <w:b/>
                <w:sz w:val="22"/>
                <w:szCs w:val="22"/>
              </w:rPr>
              <w:t>Species</w:t>
            </w:r>
          </w:p>
        </w:tc>
        <w:tc>
          <w:tcPr>
            <w:tcW w:w="1170"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171C42A4" w14:textId="77777777" w:rsidR="00DE3EE8" w:rsidRPr="002B7E6B" w:rsidRDefault="00DE3EE8" w:rsidP="005A5ABD">
            <w:pPr>
              <w:rPr>
                <w:b/>
                <w:sz w:val="22"/>
                <w:szCs w:val="22"/>
              </w:rPr>
            </w:pPr>
            <w:r w:rsidRPr="002B7E6B">
              <w:rPr>
                <w:b/>
                <w:sz w:val="22"/>
                <w:szCs w:val="22"/>
              </w:rPr>
              <w:t>Year</w:t>
            </w:r>
          </w:p>
        </w:tc>
        <w:tc>
          <w:tcPr>
            <w:tcW w:w="1170"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323544F4" w14:textId="77777777" w:rsidR="00DE3EE8" w:rsidRPr="002B7E6B" w:rsidRDefault="00DE3EE8" w:rsidP="005A5ABD">
            <w:pPr>
              <w:rPr>
                <w:b/>
                <w:sz w:val="22"/>
                <w:szCs w:val="22"/>
              </w:rPr>
            </w:pPr>
            <w:r w:rsidRPr="002B7E6B">
              <w:rPr>
                <w:b/>
                <w:sz w:val="22"/>
                <w:szCs w:val="22"/>
              </w:rPr>
              <w:t>Biomass</w:t>
            </w:r>
          </w:p>
        </w:tc>
        <w:tc>
          <w:tcPr>
            <w:tcW w:w="1170"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40A30108" w14:textId="77777777" w:rsidR="00DE3EE8" w:rsidRPr="002B7E6B" w:rsidRDefault="00DE3EE8" w:rsidP="005A5ABD">
            <w:pPr>
              <w:rPr>
                <w:b/>
                <w:sz w:val="22"/>
                <w:szCs w:val="22"/>
              </w:rPr>
            </w:pPr>
            <w:r w:rsidRPr="002B7E6B">
              <w:rPr>
                <w:b/>
                <w:sz w:val="22"/>
                <w:szCs w:val="22"/>
              </w:rPr>
              <w:t>OFL</w:t>
            </w:r>
          </w:p>
        </w:tc>
        <w:tc>
          <w:tcPr>
            <w:tcW w:w="1170"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486B792E" w14:textId="77777777" w:rsidR="00DE3EE8" w:rsidRPr="002B7E6B" w:rsidRDefault="00DE3EE8" w:rsidP="005A5ABD">
            <w:pPr>
              <w:rPr>
                <w:b/>
                <w:sz w:val="22"/>
                <w:szCs w:val="22"/>
              </w:rPr>
            </w:pPr>
            <w:r w:rsidRPr="002B7E6B">
              <w:rPr>
                <w:b/>
                <w:sz w:val="22"/>
                <w:szCs w:val="22"/>
              </w:rPr>
              <w:t>ABC</w:t>
            </w:r>
          </w:p>
        </w:tc>
        <w:tc>
          <w:tcPr>
            <w:tcW w:w="1170"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5E14BB6A" w14:textId="77777777" w:rsidR="00DE3EE8" w:rsidRPr="002B7E6B" w:rsidRDefault="00DE3EE8" w:rsidP="005A5ABD">
            <w:pPr>
              <w:rPr>
                <w:b/>
                <w:sz w:val="22"/>
                <w:szCs w:val="22"/>
              </w:rPr>
            </w:pPr>
            <w:r w:rsidRPr="002B7E6B">
              <w:rPr>
                <w:b/>
                <w:sz w:val="22"/>
                <w:szCs w:val="22"/>
              </w:rPr>
              <w:t>TAC</w:t>
            </w:r>
          </w:p>
        </w:tc>
        <w:tc>
          <w:tcPr>
            <w:tcW w:w="1170"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5C66CC50" w14:textId="77777777" w:rsidR="00DE3EE8" w:rsidRPr="002B7E6B" w:rsidRDefault="00DE3EE8" w:rsidP="005A5ABD">
            <w:pPr>
              <w:rPr>
                <w:b/>
                <w:sz w:val="22"/>
                <w:szCs w:val="22"/>
              </w:rPr>
            </w:pPr>
            <w:r w:rsidRPr="002B7E6B">
              <w:rPr>
                <w:b/>
                <w:sz w:val="22"/>
                <w:szCs w:val="22"/>
              </w:rPr>
              <w:t>Catch</w:t>
            </w:r>
          </w:p>
        </w:tc>
      </w:tr>
      <w:tr w:rsidR="00DE3EE8" w:rsidRPr="002B7E6B" w14:paraId="0F6C0879" w14:textId="77777777" w:rsidTr="005A5ABD">
        <w:trPr>
          <w:trHeight w:val="485"/>
        </w:trPr>
        <w:tc>
          <w:tcPr>
            <w:tcW w:w="1710" w:type="dxa"/>
            <w:tcBorders>
              <w:top w:val="nil"/>
              <w:left w:val="nil"/>
              <w:bottom w:val="nil"/>
              <w:right w:val="nil"/>
            </w:tcBorders>
            <w:tcMar>
              <w:top w:w="100" w:type="dxa"/>
              <w:left w:w="100" w:type="dxa"/>
              <w:bottom w:w="100" w:type="dxa"/>
              <w:right w:w="100" w:type="dxa"/>
            </w:tcMar>
            <w:vAlign w:val="bottom"/>
          </w:tcPr>
          <w:p w14:paraId="4C5ECAA5" w14:textId="77777777" w:rsidR="00DE3EE8" w:rsidRPr="002B7E6B" w:rsidRDefault="00DE3EE8" w:rsidP="005A5ABD">
            <w:pPr>
              <w:rPr>
                <w:sz w:val="22"/>
                <w:szCs w:val="22"/>
              </w:rPr>
            </w:pPr>
            <w:r w:rsidRPr="002B7E6B">
              <w:rPr>
                <w:sz w:val="22"/>
                <w:szCs w:val="22"/>
              </w:rPr>
              <w:t>Big skate</w:t>
            </w:r>
          </w:p>
        </w:tc>
        <w:tc>
          <w:tcPr>
            <w:tcW w:w="1170" w:type="dxa"/>
            <w:tcBorders>
              <w:top w:val="nil"/>
              <w:left w:val="nil"/>
              <w:bottom w:val="nil"/>
              <w:right w:val="nil"/>
            </w:tcBorders>
            <w:tcMar>
              <w:top w:w="100" w:type="dxa"/>
              <w:left w:w="100" w:type="dxa"/>
              <w:bottom w:w="100" w:type="dxa"/>
              <w:right w:w="100" w:type="dxa"/>
            </w:tcMar>
            <w:vAlign w:val="bottom"/>
          </w:tcPr>
          <w:p w14:paraId="6B90F5A1" w14:textId="77777777" w:rsidR="00DE3EE8" w:rsidRPr="002B7E6B" w:rsidRDefault="00DE3EE8" w:rsidP="005A5ABD">
            <w:pPr>
              <w:rPr>
                <w:sz w:val="22"/>
                <w:szCs w:val="22"/>
              </w:rPr>
            </w:pPr>
            <w:r w:rsidRPr="002B7E6B">
              <w:rPr>
                <w:sz w:val="22"/>
                <w:szCs w:val="22"/>
              </w:rPr>
              <w:t>2021</w:t>
            </w:r>
          </w:p>
        </w:tc>
        <w:tc>
          <w:tcPr>
            <w:tcW w:w="1170" w:type="dxa"/>
            <w:tcBorders>
              <w:top w:val="nil"/>
              <w:left w:val="nil"/>
              <w:bottom w:val="nil"/>
              <w:right w:val="nil"/>
            </w:tcBorders>
            <w:tcMar>
              <w:top w:w="100" w:type="dxa"/>
              <w:left w:w="100" w:type="dxa"/>
              <w:bottom w:w="100" w:type="dxa"/>
              <w:right w:w="100" w:type="dxa"/>
            </w:tcMar>
            <w:vAlign w:val="bottom"/>
          </w:tcPr>
          <w:p w14:paraId="332C0B96" w14:textId="77777777" w:rsidR="00DE3EE8" w:rsidRPr="002B7E6B" w:rsidRDefault="00DE3EE8" w:rsidP="005A5ABD">
            <w:pPr>
              <w:rPr>
                <w:sz w:val="22"/>
                <w:szCs w:val="22"/>
              </w:rPr>
            </w:pPr>
          </w:p>
        </w:tc>
        <w:tc>
          <w:tcPr>
            <w:tcW w:w="1170" w:type="dxa"/>
            <w:tcBorders>
              <w:top w:val="nil"/>
              <w:left w:val="nil"/>
              <w:bottom w:val="nil"/>
              <w:right w:val="nil"/>
            </w:tcBorders>
            <w:tcMar>
              <w:top w:w="100" w:type="dxa"/>
              <w:left w:w="100" w:type="dxa"/>
              <w:bottom w:w="100" w:type="dxa"/>
              <w:right w:w="100" w:type="dxa"/>
            </w:tcMar>
            <w:vAlign w:val="bottom"/>
          </w:tcPr>
          <w:p w14:paraId="3BC55B20" w14:textId="77777777" w:rsidR="00DE3EE8" w:rsidRPr="002B7E6B" w:rsidRDefault="00DE3EE8" w:rsidP="005A5ABD">
            <w:pPr>
              <w:rPr>
                <w:sz w:val="22"/>
                <w:szCs w:val="22"/>
              </w:rPr>
            </w:pPr>
            <w:r w:rsidRPr="002B7E6B">
              <w:rPr>
                <w:sz w:val="22"/>
                <w:szCs w:val="22"/>
              </w:rPr>
              <w:t>4,278</w:t>
            </w:r>
          </w:p>
        </w:tc>
        <w:tc>
          <w:tcPr>
            <w:tcW w:w="1170" w:type="dxa"/>
            <w:tcBorders>
              <w:top w:val="nil"/>
              <w:left w:val="nil"/>
              <w:bottom w:val="nil"/>
              <w:right w:val="nil"/>
            </w:tcBorders>
            <w:tcMar>
              <w:top w:w="100" w:type="dxa"/>
              <w:left w:w="100" w:type="dxa"/>
              <w:bottom w:w="100" w:type="dxa"/>
              <w:right w:w="100" w:type="dxa"/>
            </w:tcMar>
            <w:vAlign w:val="bottom"/>
          </w:tcPr>
          <w:p w14:paraId="1D45A81A" w14:textId="77777777" w:rsidR="00DE3EE8" w:rsidRPr="002B7E6B" w:rsidRDefault="00DE3EE8" w:rsidP="005A5ABD">
            <w:pPr>
              <w:rPr>
                <w:sz w:val="22"/>
                <w:szCs w:val="22"/>
              </w:rPr>
            </w:pPr>
            <w:r w:rsidRPr="002B7E6B">
              <w:rPr>
                <w:sz w:val="22"/>
                <w:szCs w:val="22"/>
              </w:rPr>
              <w:t>3,208</w:t>
            </w:r>
          </w:p>
        </w:tc>
        <w:tc>
          <w:tcPr>
            <w:tcW w:w="1170" w:type="dxa"/>
            <w:tcBorders>
              <w:top w:val="nil"/>
              <w:left w:val="nil"/>
              <w:bottom w:val="nil"/>
              <w:right w:val="nil"/>
            </w:tcBorders>
            <w:tcMar>
              <w:top w:w="100" w:type="dxa"/>
              <w:left w:w="100" w:type="dxa"/>
              <w:bottom w:w="100" w:type="dxa"/>
              <w:right w:w="100" w:type="dxa"/>
            </w:tcMar>
            <w:vAlign w:val="bottom"/>
          </w:tcPr>
          <w:p w14:paraId="144EC03E" w14:textId="77777777" w:rsidR="00DE3EE8" w:rsidRPr="002B7E6B" w:rsidRDefault="00DE3EE8" w:rsidP="005A5ABD">
            <w:pPr>
              <w:rPr>
                <w:sz w:val="22"/>
                <w:szCs w:val="22"/>
              </w:rPr>
            </w:pPr>
            <w:r w:rsidRPr="002B7E6B">
              <w:rPr>
                <w:sz w:val="22"/>
                <w:szCs w:val="22"/>
              </w:rPr>
              <w:t>3,208</w:t>
            </w:r>
          </w:p>
        </w:tc>
        <w:tc>
          <w:tcPr>
            <w:tcW w:w="1170" w:type="dxa"/>
            <w:tcBorders>
              <w:top w:val="nil"/>
              <w:left w:val="nil"/>
              <w:bottom w:val="nil"/>
              <w:right w:val="nil"/>
            </w:tcBorders>
            <w:tcMar>
              <w:top w:w="100" w:type="dxa"/>
              <w:left w:w="100" w:type="dxa"/>
              <w:bottom w:w="100" w:type="dxa"/>
              <w:right w:w="100" w:type="dxa"/>
            </w:tcMar>
            <w:vAlign w:val="bottom"/>
          </w:tcPr>
          <w:p w14:paraId="2C31D959" w14:textId="77777777" w:rsidR="00DE3EE8" w:rsidRPr="002B7E6B" w:rsidRDefault="00DE3EE8" w:rsidP="005A5ABD">
            <w:pPr>
              <w:rPr>
                <w:sz w:val="22"/>
                <w:szCs w:val="22"/>
              </w:rPr>
            </w:pPr>
            <w:r w:rsidRPr="002B7E6B">
              <w:rPr>
                <w:sz w:val="22"/>
                <w:szCs w:val="22"/>
              </w:rPr>
              <w:t>765</w:t>
            </w:r>
          </w:p>
        </w:tc>
      </w:tr>
      <w:tr w:rsidR="00DE3EE8" w:rsidRPr="002B7E6B" w14:paraId="18E6F468" w14:textId="77777777" w:rsidTr="005A5ABD">
        <w:trPr>
          <w:trHeight w:val="485"/>
        </w:trPr>
        <w:tc>
          <w:tcPr>
            <w:tcW w:w="1710" w:type="dxa"/>
            <w:tcBorders>
              <w:top w:val="nil"/>
              <w:left w:val="nil"/>
              <w:bottom w:val="nil"/>
              <w:right w:val="nil"/>
            </w:tcBorders>
            <w:tcMar>
              <w:top w:w="100" w:type="dxa"/>
              <w:left w:w="100" w:type="dxa"/>
              <w:bottom w:w="100" w:type="dxa"/>
              <w:right w:w="100" w:type="dxa"/>
            </w:tcMar>
            <w:vAlign w:val="bottom"/>
          </w:tcPr>
          <w:p w14:paraId="3E8DB4F7" w14:textId="77777777" w:rsidR="00DE3EE8" w:rsidRPr="002B7E6B" w:rsidRDefault="00DE3EE8" w:rsidP="005A5ABD">
            <w:pPr>
              <w:rPr>
                <w:sz w:val="22"/>
                <w:szCs w:val="22"/>
              </w:rPr>
            </w:pPr>
          </w:p>
        </w:tc>
        <w:tc>
          <w:tcPr>
            <w:tcW w:w="1170" w:type="dxa"/>
            <w:tcBorders>
              <w:top w:val="nil"/>
              <w:left w:val="nil"/>
              <w:bottom w:val="nil"/>
              <w:right w:val="nil"/>
            </w:tcBorders>
            <w:tcMar>
              <w:top w:w="100" w:type="dxa"/>
              <w:left w:w="100" w:type="dxa"/>
              <w:bottom w:w="100" w:type="dxa"/>
              <w:right w:w="100" w:type="dxa"/>
            </w:tcMar>
            <w:vAlign w:val="bottom"/>
          </w:tcPr>
          <w:p w14:paraId="5D644B9C" w14:textId="77777777" w:rsidR="00DE3EE8" w:rsidRPr="002B7E6B" w:rsidRDefault="00DE3EE8" w:rsidP="005A5ABD">
            <w:pPr>
              <w:rPr>
                <w:sz w:val="22"/>
                <w:szCs w:val="22"/>
              </w:rPr>
            </w:pPr>
            <w:r w:rsidRPr="002B7E6B">
              <w:rPr>
                <w:sz w:val="22"/>
                <w:szCs w:val="22"/>
              </w:rPr>
              <w:t>2022</w:t>
            </w:r>
          </w:p>
        </w:tc>
        <w:tc>
          <w:tcPr>
            <w:tcW w:w="1170" w:type="dxa"/>
            <w:tcBorders>
              <w:top w:val="nil"/>
              <w:left w:val="nil"/>
              <w:bottom w:val="nil"/>
              <w:right w:val="nil"/>
            </w:tcBorders>
            <w:tcMar>
              <w:top w:w="100" w:type="dxa"/>
              <w:left w:w="100" w:type="dxa"/>
              <w:bottom w:w="100" w:type="dxa"/>
              <w:right w:w="100" w:type="dxa"/>
            </w:tcMar>
            <w:vAlign w:val="bottom"/>
          </w:tcPr>
          <w:p w14:paraId="6BB57E61" w14:textId="77777777" w:rsidR="00DE3EE8" w:rsidRPr="002B7E6B" w:rsidRDefault="00DE3EE8" w:rsidP="005A5ABD">
            <w:pPr>
              <w:rPr>
                <w:sz w:val="22"/>
                <w:szCs w:val="22"/>
              </w:rPr>
            </w:pPr>
          </w:p>
        </w:tc>
        <w:tc>
          <w:tcPr>
            <w:tcW w:w="1170" w:type="dxa"/>
            <w:tcBorders>
              <w:top w:val="nil"/>
              <w:left w:val="nil"/>
              <w:bottom w:val="nil"/>
              <w:right w:val="nil"/>
            </w:tcBorders>
            <w:tcMar>
              <w:top w:w="100" w:type="dxa"/>
              <w:left w:w="100" w:type="dxa"/>
              <w:bottom w:w="100" w:type="dxa"/>
              <w:right w:w="100" w:type="dxa"/>
            </w:tcMar>
            <w:vAlign w:val="bottom"/>
          </w:tcPr>
          <w:p w14:paraId="2CBE3FDB" w14:textId="77777777" w:rsidR="00DE3EE8" w:rsidRPr="002B7E6B" w:rsidRDefault="00DE3EE8" w:rsidP="005A5ABD">
            <w:pPr>
              <w:rPr>
                <w:sz w:val="22"/>
                <w:szCs w:val="22"/>
              </w:rPr>
            </w:pPr>
            <w:r w:rsidRPr="002B7E6B">
              <w:rPr>
                <w:sz w:val="22"/>
                <w:szCs w:val="22"/>
              </w:rPr>
              <w:t>3,822</w:t>
            </w:r>
          </w:p>
        </w:tc>
        <w:tc>
          <w:tcPr>
            <w:tcW w:w="1170" w:type="dxa"/>
            <w:tcBorders>
              <w:top w:val="nil"/>
              <w:left w:val="nil"/>
              <w:bottom w:val="nil"/>
              <w:right w:val="nil"/>
            </w:tcBorders>
            <w:tcMar>
              <w:top w:w="100" w:type="dxa"/>
              <w:left w:w="100" w:type="dxa"/>
              <w:bottom w:w="100" w:type="dxa"/>
              <w:right w:w="100" w:type="dxa"/>
            </w:tcMar>
            <w:vAlign w:val="bottom"/>
          </w:tcPr>
          <w:p w14:paraId="19A48EB3" w14:textId="77777777" w:rsidR="00DE3EE8" w:rsidRPr="002B7E6B" w:rsidRDefault="00DE3EE8" w:rsidP="005A5ABD">
            <w:pPr>
              <w:rPr>
                <w:sz w:val="22"/>
                <w:szCs w:val="22"/>
              </w:rPr>
            </w:pPr>
            <w:r w:rsidRPr="002B7E6B">
              <w:rPr>
                <w:sz w:val="22"/>
                <w:szCs w:val="22"/>
              </w:rPr>
              <w:t>2,867</w:t>
            </w:r>
          </w:p>
        </w:tc>
        <w:tc>
          <w:tcPr>
            <w:tcW w:w="1170" w:type="dxa"/>
            <w:tcBorders>
              <w:top w:val="nil"/>
              <w:left w:val="nil"/>
              <w:bottom w:val="nil"/>
              <w:right w:val="nil"/>
            </w:tcBorders>
            <w:tcMar>
              <w:top w:w="100" w:type="dxa"/>
              <w:left w:w="100" w:type="dxa"/>
              <w:bottom w:w="100" w:type="dxa"/>
              <w:right w:w="100" w:type="dxa"/>
            </w:tcMar>
            <w:vAlign w:val="bottom"/>
          </w:tcPr>
          <w:p w14:paraId="59033035" w14:textId="77777777" w:rsidR="00DE3EE8" w:rsidRPr="002B7E6B" w:rsidRDefault="00DE3EE8" w:rsidP="005A5ABD">
            <w:pPr>
              <w:rPr>
                <w:sz w:val="22"/>
                <w:szCs w:val="22"/>
              </w:rPr>
            </w:pPr>
            <w:r w:rsidRPr="002B7E6B">
              <w:rPr>
                <w:sz w:val="22"/>
                <w:szCs w:val="22"/>
              </w:rPr>
              <w:t>2,867</w:t>
            </w:r>
          </w:p>
        </w:tc>
        <w:tc>
          <w:tcPr>
            <w:tcW w:w="1170" w:type="dxa"/>
            <w:tcBorders>
              <w:top w:val="nil"/>
              <w:left w:val="nil"/>
              <w:bottom w:val="nil"/>
              <w:right w:val="nil"/>
            </w:tcBorders>
            <w:tcMar>
              <w:top w:w="100" w:type="dxa"/>
              <w:left w:w="100" w:type="dxa"/>
              <w:bottom w:w="100" w:type="dxa"/>
              <w:right w:w="100" w:type="dxa"/>
            </w:tcMar>
            <w:vAlign w:val="bottom"/>
          </w:tcPr>
          <w:p w14:paraId="6A5D5085" w14:textId="77777777" w:rsidR="00DE3EE8" w:rsidRPr="002B7E6B" w:rsidRDefault="00DE3EE8" w:rsidP="005A5ABD">
            <w:pPr>
              <w:rPr>
                <w:sz w:val="22"/>
                <w:szCs w:val="22"/>
              </w:rPr>
            </w:pPr>
            <w:r w:rsidRPr="002B7E6B">
              <w:rPr>
                <w:sz w:val="22"/>
                <w:szCs w:val="22"/>
              </w:rPr>
              <w:t>944</w:t>
            </w:r>
          </w:p>
        </w:tc>
      </w:tr>
      <w:tr w:rsidR="00DE3EE8" w:rsidRPr="002B7E6B" w14:paraId="3B63DD74" w14:textId="77777777" w:rsidTr="005A5ABD">
        <w:trPr>
          <w:trHeight w:val="485"/>
        </w:trPr>
        <w:tc>
          <w:tcPr>
            <w:tcW w:w="1710" w:type="dxa"/>
            <w:tcBorders>
              <w:top w:val="nil"/>
              <w:left w:val="nil"/>
              <w:bottom w:val="nil"/>
              <w:right w:val="nil"/>
            </w:tcBorders>
            <w:tcMar>
              <w:top w:w="100" w:type="dxa"/>
              <w:left w:w="100" w:type="dxa"/>
              <w:bottom w:w="100" w:type="dxa"/>
              <w:right w:w="100" w:type="dxa"/>
            </w:tcMar>
            <w:vAlign w:val="bottom"/>
          </w:tcPr>
          <w:p w14:paraId="6F3AF772" w14:textId="77777777" w:rsidR="00DE3EE8" w:rsidRPr="002B7E6B" w:rsidRDefault="00DE3EE8" w:rsidP="005A5ABD">
            <w:pPr>
              <w:rPr>
                <w:sz w:val="22"/>
                <w:szCs w:val="22"/>
              </w:rPr>
            </w:pPr>
          </w:p>
        </w:tc>
        <w:tc>
          <w:tcPr>
            <w:tcW w:w="1170" w:type="dxa"/>
            <w:tcBorders>
              <w:top w:val="nil"/>
              <w:left w:val="nil"/>
              <w:bottom w:val="nil"/>
              <w:right w:val="nil"/>
            </w:tcBorders>
            <w:tcMar>
              <w:top w:w="100" w:type="dxa"/>
              <w:left w:w="100" w:type="dxa"/>
              <w:bottom w:w="100" w:type="dxa"/>
              <w:right w:w="100" w:type="dxa"/>
            </w:tcMar>
            <w:vAlign w:val="bottom"/>
          </w:tcPr>
          <w:p w14:paraId="4433BD0F" w14:textId="77777777" w:rsidR="00DE3EE8" w:rsidRPr="002B7E6B" w:rsidRDefault="00DE3EE8" w:rsidP="005A5ABD">
            <w:pPr>
              <w:rPr>
                <w:sz w:val="22"/>
                <w:szCs w:val="22"/>
              </w:rPr>
            </w:pPr>
            <w:r w:rsidRPr="002B7E6B">
              <w:rPr>
                <w:sz w:val="22"/>
                <w:szCs w:val="22"/>
              </w:rPr>
              <w:t>2023</w:t>
            </w:r>
          </w:p>
        </w:tc>
        <w:tc>
          <w:tcPr>
            <w:tcW w:w="1170" w:type="dxa"/>
            <w:tcBorders>
              <w:top w:val="nil"/>
              <w:left w:val="nil"/>
              <w:bottom w:val="nil"/>
              <w:right w:val="nil"/>
            </w:tcBorders>
            <w:tcMar>
              <w:top w:w="100" w:type="dxa"/>
              <w:left w:w="100" w:type="dxa"/>
              <w:bottom w:w="100" w:type="dxa"/>
              <w:right w:w="100" w:type="dxa"/>
            </w:tcMar>
            <w:vAlign w:val="bottom"/>
          </w:tcPr>
          <w:p w14:paraId="0FE8D0FA" w14:textId="77777777" w:rsidR="00DE3EE8" w:rsidRPr="002B7E6B" w:rsidRDefault="00DE3EE8" w:rsidP="005A5ABD">
            <w:pPr>
              <w:rPr>
                <w:sz w:val="22"/>
                <w:szCs w:val="22"/>
              </w:rPr>
            </w:pPr>
          </w:p>
        </w:tc>
        <w:tc>
          <w:tcPr>
            <w:tcW w:w="1170" w:type="dxa"/>
            <w:tcBorders>
              <w:top w:val="nil"/>
              <w:left w:val="nil"/>
              <w:bottom w:val="nil"/>
              <w:right w:val="nil"/>
            </w:tcBorders>
            <w:tcMar>
              <w:top w:w="100" w:type="dxa"/>
              <w:left w:w="100" w:type="dxa"/>
              <w:bottom w:w="100" w:type="dxa"/>
              <w:right w:w="100" w:type="dxa"/>
            </w:tcMar>
            <w:vAlign w:val="bottom"/>
          </w:tcPr>
          <w:p w14:paraId="71A5C934" w14:textId="77777777" w:rsidR="00DE3EE8" w:rsidRPr="002B7E6B" w:rsidRDefault="00DE3EE8" w:rsidP="005A5ABD">
            <w:pPr>
              <w:rPr>
                <w:sz w:val="22"/>
                <w:szCs w:val="22"/>
              </w:rPr>
            </w:pPr>
            <w:r w:rsidRPr="002B7E6B">
              <w:rPr>
                <w:sz w:val="22"/>
                <w:szCs w:val="22"/>
              </w:rPr>
              <w:t>3,822</w:t>
            </w:r>
          </w:p>
        </w:tc>
        <w:tc>
          <w:tcPr>
            <w:tcW w:w="1170" w:type="dxa"/>
            <w:tcBorders>
              <w:top w:val="nil"/>
              <w:left w:val="nil"/>
              <w:bottom w:val="nil"/>
              <w:right w:val="nil"/>
            </w:tcBorders>
            <w:tcMar>
              <w:top w:w="100" w:type="dxa"/>
              <w:left w:w="100" w:type="dxa"/>
              <w:bottom w:w="100" w:type="dxa"/>
              <w:right w:w="100" w:type="dxa"/>
            </w:tcMar>
            <w:vAlign w:val="bottom"/>
          </w:tcPr>
          <w:p w14:paraId="0024CD8D" w14:textId="77777777" w:rsidR="00DE3EE8" w:rsidRPr="002B7E6B" w:rsidRDefault="00DE3EE8" w:rsidP="005A5ABD">
            <w:pPr>
              <w:rPr>
                <w:sz w:val="22"/>
                <w:szCs w:val="22"/>
              </w:rPr>
            </w:pPr>
            <w:r w:rsidRPr="002B7E6B">
              <w:rPr>
                <w:sz w:val="22"/>
                <w:szCs w:val="22"/>
              </w:rPr>
              <w:t>2,867</w:t>
            </w:r>
          </w:p>
        </w:tc>
        <w:tc>
          <w:tcPr>
            <w:tcW w:w="1170" w:type="dxa"/>
            <w:tcBorders>
              <w:top w:val="nil"/>
              <w:left w:val="nil"/>
              <w:bottom w:val="nil"/>
              <w:right w:val="nil"/>
            </w:tcBorders>
            <w:tcMar>
              <w:top w:w="100" w:type="dxa"/>
              <w:left w:w="100" w:type="dxa"/>
              <w:bottom w:w="100" w:type="dxa"/>
              <w:right w:w="100" w:type="dxa"/>
            </w:tcMar>
            <w:vAlign w:val="bottom"/>
          </w:tcPr>
          <w:p w14:paraId="1EEE3EDD" w14:textId="77777777" w:rsidR="00DE3EE8" w:rsidRPr="002B7E6B" w:rsidRDefault="00DE3EE8" w:rsidP="005A5ABD">
            <w:pPr>
              <w:rPr>
                <w:sz w:val="22"/>
                <w:szCs w:val="22"/>
              </w:rPr>
            </w:pPr>
          </w:p>
        </w:tc>
        <w:tc>
          <w:tcPr>
            <w:tcW w:w="1170" w:type="dxa"/>
            <w:tcBorders>
              <w:top w:val="nil"/>
              <w:left w:val="nil"/>
              <w:bottom w:val="nil"/>
              <w:right w:val="nil"/>
            </w:tcBorders>
            <w:tcMar>
              <w:top w:w="100" w:type="dxa"/>
              <w:left w:w="100" w:type="dxa"/>
              <w:bottom w:w="100" w:type="dxa"/>
              <w:right w:w="100" w:type="dxa"/>
            </w:tcMar>
            <w:vAlign w:val="bottom"/>
          </w:tcPr>
          <w:p w14:paraId="34EE774F" w14:textId="77777777" w:rsidR="00DE3EE8" w:rsidRPr="002B7E6B" w:rsidRDefault="00DE3EE8" w:rsidP="005A5ABD">
            <w:pPr>
              <w:pBdr>
                <w:top w:val="nil"/>
                <w:left w:val="nil"/>
                <w:bottom w:val="nil"/>
                <w:right w:val="nil"/>
                <w:between w:val="nil"/>
              </w:pBdr>
              <w:rPr>
                <w:sz w:val="22"/>
                <w:szCs w:val="22"/>
              </w:rPr>
            </w:pPr>
          </w:p>
        </w:tc>
      </w:tr>
      <w:tr w:rsidR="00DE3EE8" w:rsidRPr="002B7E6B" w14:paraId="0676DF78" w14:textId="77777777" w:rsidTr="005A5ABD">
        <w:trPr>
          <w:trHeight w:val="485"/>
        </w:trPr>
        <w:tc>
          <w:tcPr>
            <w:tcW w:w="1710" w:type="dxa"/>
            <w:tcBorders>
              <w:top w:val="nil"/>
              <w:left w:val="nil"/>
              <w:bottom w:val="single" w:sz="7" w:space="0" w:color="000000"/>
              <w:right w:val="nil"/>
            </w:tcBorders>
            <w:tcMar>
              <w:top w:w="100" w:type="dxa"/>
              <w:left w:w="100" w:type="dxa"/>
              <w:bottom w:w="100" w:type="dxa"/>
              <w:right w:w="100" w:type="dxa"/>
            </w:tcMar>
            <w:vAlign w:val="bottom"/>
          </w:tcPr>
          <w:p w14:paraId="0133771F" w14:textId="77777777" w:rsidR="00DE3EE8" w:rsidRPr="002B7E6B" w:rsidRDefault="00DE3EE8" w:rsidP="005A5ABD">
            <w:pPr>
              <w:rPr>
                <w:sz w:val="22"/>
                <w:szCs w:val="22"/>
              </w:rPr>
            </w:pPr>
            <w:r w:rsidRPr="002B7E6B">
              <w:rPr>
                <w:sz w:val="22"/>
                <w:szCs w:val="22"/>
              </w:rPr>
              <w:t xml:space="preserve"> </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2E6D9AC8" w14:textId="77777777" w:rsidR="00DE3EE8" w:rsidRPr="002B7E6B" w:rsidRDefault="00DE3EE8" w:rsidP="005A5ABD">
            <w:pPr>
              <w:rPr>
                <w:sz w:val="22"/>
                <w:szCs w:val="22"/>
              </w:rPr>
            </w:pPr>
            <w:r w:rsidRPr="002B7E6B">
              <w:rPr>
                <w:sz w:val="22"/>
                <w:szCs w:val="22"/>
              </w:rPr>
              <w:t>2024</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3DD7BF2D" w14:textId="77777777" w:rsidR="00DE3EE8" w:rsidRPr="002B7E6B" w:rsidRDefault="00DE3EE8" w:rsidP="005A5ABD">
            <w:pPr>
              <w:rPr>
                <w:sz w:val="22"/>
                <w:szCs w:val="22"/>
              </w:rPr>
            </w:pPr>
            <w:r w:rsidRPr="002B7E6B">
              <w:rPr>
                <w:sz w:val="22"/>
                <w:szCs w:val="22"/>
              </w:rPr>
              <w:t xml:space="preserve"> </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18CE027F" w14:textId="77777777" w:rsidR="00DE3EE8" w:rsidRPr="002B7E6B" w:rsidRDefault="00DE3EE8" w:rsidP="005A5ABD">
            <w:pPr>
              <w:rPr>
                <w:sz w:val="22"/>
                <w:szCs w:val="22"/>
              </w:rPr>
            </w:pPr>
            <w:r w:rsidRPr="002B7E6B">
              <w:rPr>
                <w:sz w:val="22"/>
                <w:szCs w:val="22"/>
              </w:rPr>
              <w:t>3,822</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3242758A" w14:textId="77777777" w:rsidR="00DE3EE8" w:rsidRPr="002B7E6B" w:rsidRDefault="00DE3EE8" w:rsidP="005A5ABD">
            <w:pPr>
              <w:rPr>
                <w:sz w:val="22"/>
                <w:szCs w:val="22"/>
              </w:rPr>
            </w:pPr>
            <w:r w:rsidRPr="002B7E6B">
              <w:rPr>
                <w:sz w:val="22"/>
                <w:szCs w:val="22"/>
              </w:rPr>
              <w:t>2,867</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3AA3F9D6" w14:textId="77777777" w:rsidR="00DE3EE8" w:rsidRPr="002B7E6B" w:rsidRDefault="00DE3EE8" w:rsidP="005A5ABD">
            <w:pPr>
              <w:rPr>
                <w:sz w:val="22"/>
                <w:szCs w:val="22"/>
              </w:rPr>
            </w:pPr>
            <w:r w:rsidRPr="002B7E6B">
              <w:rPr>
                <w:sz w:val="22"/>
                <w:szCs w:val="22"/>
              </w:rPr>
              <w:t xml:space="preserve"> </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3FB46441" w14:textId="77777777" w:rsidR="00DE3EE8" w:rsidRPr="002B7E6B" w:rsidRDefault="00DE3EE8" w:rsidP="005A5ABD">
            <w:pPr>
              <w:rPr>
                <w:sz w:val="22"/>
                <w:szCs w:val="22"/>
              </w:rPr>
            </w:pPr>
            <w:r w:rsidRPr="002B7E6B">
              <w:rPr>
                <w:sz w:val="22"/>
                <w:szCs w:val="22"/>
              </w:rPr>
              <w:t xml:space="preserve"> </w:t>
            </w:r>
          </w:p>
        </w:tc>
      </w:tr>
      <w:tr w:rsidR="00DE3EE8" w:rsidRPr="002B7E6B" w14:paraId="02C5F899" w14:textId="77777777" w:rsidTr="005A5ABD">
        <w:trPr>
          <w:trHeight w:val="485"/>
        </w:trPr>
        <w:tc>
          <w:tcPr>
            <w:tcW w:w="1710" w:type="dxa"/>
            <w:tcBorders>
              <w:top w:val="nil"/>
              <w:left w:val="nil"/>
              <w:bottom w:val="nil"/>
              <w:right w:val="nil"/>
            </w:tcBorders>
            <w:tcMar>
              <w:top w:w="100" w:type="dxa"/>
              <w:left w:w="100" w:type="dxa"/>
              <w:bottom w:w="100" w:type="dxa"/>
              <w:right w:w="100" w:type="dxa"/>
            </w:tcMar>
            <w:vAlign w:val="bottom"/>
          </w:tcPr>
          <w:p w14:paraId="1967A782" w14:textId="77777777" w:rsidR="00DE3EE8" w:rsidRPr="002B7E6B" w:rsidRDefault="00DE3EE8" w:rsidP="005A5ABD">
            <w:pPr>
              <w:rPr>
                <w:sz w:val="22"/>
                <w:szCs w:val="22"/>
              </w:rPr>
            </w:pPr>
            <w:r w:rsidRPr="002B7E6B">
              <w:rPr>
                <w:sz w:val="22"/>
                <w:szCs w:val="22"/>
              </w:rPr>
              <w:t>Longnose skate</w:t>
            </w:r>
          </w:p>
        </w:tc>
        <w:tc>
          <w:tcPr>
            <w:tcW w:w="1170" w:type="dxa"/>
            <w:tcBorders>
              <w:top w:val="nil"/>
              <w:left w:val="nil"/>
              <w:bottom w:val="nil"/>
              <w:right w:val="nil"/>
            </w:tcBorders>
            <w:tcMar>
              <w:top w:w="100" w:type="dxa"/>
              <w:left w:w="100" w:type="dxa"/>
              <w:bottom w:w="100" w:type="dxa"/>
              <w:right w:w="100" w:type="dxa"/>
            </w:tcMar>
            <w:vAlign w:val="bottom"/>
          </w:tcPr>
          <w:p w14:paraId="3891E072" w14:textId="77777777" w:rsidR="00DE3EE8" w:rsidRPr="002B7E6B" w:rsidRDefault="00DE3EE8" w:rsidP="005A5ABD">
            <w:pPr>
              <w:rPr>
                <w:sz w:val="22"/>
                <w:szCs w:val="22"/>
              </w:rPr>
            </w:pPr>
            <w:r w:rsidRPr="002B7E6B">
              <w:rPr>
                <w:sz w:val="22"/>
                <w:szCs w:val="22"/>
              </w:rPr>
              <w:t>2021</w:t>
            </w:r>
          </w:p>
        </w:tc>
        <w:tc>
          <w:tcPr>
            <w:tcW w:w="1170" w:type="dxa"/>
            <w:tcBorders>
              <w:top w:val="nil"/>
              <w:left w:val="nil"/>
              <w:bottom w:val="nil"/>
              <w:right w:val="nil"/>
            </w:tcBorders>
            <w:tcMar>
              <w:top w:w="100" w:type="dxa"/>
              <w:left w:w="100" w:type="dxa"/>
              <w:bottom w:w="100" w:type="dxa"/>
              <w:right w:w="100" w:type="dxa"/>
            </w:tcMar>
            <w:vAlign w:val="bottom"/>
          </w:tcPr>
          <w:p w14:paraId="4F5C546C" w14:textId="77777777" w:rsidR="00DE3EE8" w:rsidRPr="002B7E6B" w:rsidRDefault="00DE3EE8" w:rsidP="005A5ABD">
            <w:pPr>
              <w:rPr>
                <w:sz w:val="22"/>
                <w:szCs w:val="22"/>
              </w:rPr>
            </w:pPr>
          </w:p>
        </w:tc>
        <w:tc>
          <w:tcPr>
            <w:tcW w:w="1170" w:type="dxa"/>
            <w:tcBorders>
              <w:top w:val="nil"/>
              <w:left w:val="nil"/>
              <w:bottom w:val="nil"/>
              <w:right w:val="nil"/>
            </w:tcBorders>
            <w:tcMar>
              <w:top w:w="100" w:type="dxa"/>
              <w:left w:w="100" w:type="dxa"/>
              <w:bottom w:w="100" w:type="dxa"/>
              <w:right w:w="100" w:type="dxa"/>
            </w:tcMar>
            <w:vAlign w:val="bottom"/>
          </w:tcPr>
          <w:p w14:paraId="241F995D" w14:textId="77777777" w:rsidR="00DE3EE8" w:rsidRPr="002B7E6B" w:rsidRDefault="00DE3EE8" w:rsidP="005A5ABD">
            <w:pPr>
              <w:rPr>
                <w:sz w:val="22"/>
                <w:szCs w:val="22"/>
              </w:rPr>
            </w:pPr>
            <w:r w:rsidRPr="002B7E6B">
              <w:rPr>
                <w:sz w:val="22"/>
                <w:szCs w:val="22"/>
              </w:rPr>
              <w:t>3,449</w:t>
            </w:r>
          </w:p>
        </w:tc>
        <w:tc>
          <w:tcPr>
            <w:tcW w:w="1170" w:type="dxa"/>
            <w:tcBorders>
              <w:top w:val="nil"/>
              <w:left w:val="nil"/>
              <w:bottom w:val="nil"/>
              <w:right w:val="nil"/>
            </w:tcBorders>
            <w:tcMar>
              <w:top w:w="100" w:type="dxa"/>
              <w:left w:w="100" w:type="dxa"/>
              <w:bottom w:w="100" w:type="dxa"/>
              <w:right w:w="100" w:type="dxa"/>
            </w:tcMar>
            <w:vAlign w:val="bottom"/>
          </w:tcPr>
          <w:p w14:paraId="6B4B4E5D" w14:textId="77777777" w:rsidR="00DE3EE8" w:rsidRPr="002B7E6B" w:rsidRDefault="00DE3EE8" w:rsidP="005A5ABD">
            <w:pPr>
              <w:rPr>
                <w:sz w:val="22"/>
                <w:szCs w:val="22"/>
              </w:rPr>
            </w:pPr>
            <w:r w:rsidRPr="002B7E6B">
              <w:rPr>
                <w:sz w:val="22"/>
                <w:szCs w:val="22"/>
              </w:rPr>
              <w:t>2,587</w:t>
            </w:r>
          </w:p>
        </w:tc>
        <w:tc>
          <w:tcPr>
            <w:tcW w:w="1170" w:type="dxa"/>
            <w:tcBorders>
              <w:top w:val="nil"/>
              <w:left w:val="nil"/>
              <w:bottom w:val="nil"/>
              <w:right w:val="nil"/>
            </w:tcBorders>
            <w:tcMar>
              <w:top w:w="100" w:type="dxa"/>
              <w:left w:w="100" w:type="dxa"/>
              <w:bottom w:w="100" w:type="dxa"/>
              <w:right w:w="100" w:type="dxa"/>
            </w:tcMar>
            <w:vAlign w:val="bottom"/>
          </w:tcPr>
          <w:p w14:paraId="430A2DDC" w14:textId="77777777" w:rsidR="00DE3EE8" w:rsidRPr="002B7E6B" w:rsidRDefault="00DE3EE8" w:rsidP="005A5ABD">
            <w:pPr>
              <w:rPr>
                <w:sz w:val="22"/>
                <w:szCs w:val="22"/>
              </w:rPr>
            </w:pPr>
            <w:r w:rsidRPr="002B7E6B">
              <w:rPr>
                <w:sz w:val="22"/>
                <w:szCs w:val="22"/>
              </w:rPr>
              <w:t>2,587</w:t>
            </w:r>
          </w:p>
        </w:tc>
        <w:tc>
          <w:tcPr>
            <w:tcW w:w="1170" w:type="dxa"/>
            <w:tcBorders>
              <w:top w:val="nil"/>
              <w:left w:val="nil"/>
              <w:bottom w:val="nil"/>
              <w:right w:val="nil"/>
            </w:tcBorders>
            <w:tcMar>
              <w:top w:w="100" w:type="dxa"/>
              <w:left w:w="100" w:type="dxa"/>
              <w:bottom w:w="100" w:type="dxa"/>
              <w:right w:w="100" w:type="dxa"/>
            </w:tcMar>
            <w:vAlign w:val="bottom"/>
          </w:tcPr>
          <w:p w14:paraId="788E364C" w14:textId="77777777" w:rsidR="00DE3EE8" w:rsidRPr="002B7E6B" w:rsidRDefault="00DE3EE8" w:rsidP="005A5ABD">
            <w:pPr>
              <w:rPr>
                <w:sz w:val="22"/>
                <w:szCs w:val="22"/>
              </w:rPr>
            </w:pPr>
            <w:r w:rsidRPr="002B7E6B">
              <w:rPr>
                <w:sz w:val="22"/>
                <w:szCs w:val="22"/>
              </w:rPr>
              <w:t>1,035</w:t>
            </w:r>
          </w:p>
        </w:tc>
      </w:tr>
      <w:tr w:rsidR="00DE3EE8" w:rsidRPr="002B7E6B" w14:paraId="75CF7E49" w14:textId="77777777" w:rsidTr="005A5ABD">
        <w:trPr>
          <w:trHeight w:val="485"/>
        </w:trPr>
        <w:tc>
          <w:tcPr>
            <w:tcW w:w="1710" w:type="dxa"/>
            <w:tcBorders>
              <w:top w:val="nil"/>
              <w:left w:val="nil"/>
              <w:bottom w:val="nil"/>
              <w:right w:val="nil"/>
            </w:tcBorders>
            <w:tcMar>
              <w:top w:w="100" w:type="dxa"/>
              <w:left w:w="100" w:type="dxa"/>
              <w:bottom w:w="100" w:type="dxa"/>
              <w:right w:w="100" w:type="dxa"/>
            </w:tcMar>
            <w:vAlign w:val="bottom"/>
          </w:tcPr>
          <w:p w14:paraId="7FDECA23" w14:textId="77777777" w:rsidR="00DE3EE8" w:rsidRPr="002B7E6B" w:rsidRDefault="00DE3EE8" w:rsidP="005A5ABD">
            <w:pPr>
              <w:rPr>
                <w:sz w:val="22"/>
                <w:szCs w:val="22"/>
              </w:rPr>
            </w:pPr>
          </w:p>
        </w:tc>
        <w:tc>
          <w:tcPr>
            <w:tcW w:w="1170" w:type="dxa"/>
            <w:tcBorders>
              <w:top w:val="nil"/>
              <w:left w:val="nil"/>
              <w:bottom w:val="nil"/>
              <w:right w:val="nil"/>
            </w:tcBorders>
            <w:tcMar>
              <w:top w:w="100" w:type="dxa"/>
              <w:left w:w="100" w:type="dxa"/>
              <w:bottom w:w="100" w:type="dxa"/>
              <w:right w:w="100" w:type="dxa"/>
            </w:tcMar>
            <w:vAlign w:val="bottom"/>
          </w:tcPr>
          <w:p w14:paraId="20FDA8A4" w14:textId="77777777" w:rsidR="00DE3EE8" w:rsidRPr="002B7E6B" w:rsidRDefault="00DE3EE8" w:rsidP="005A5ABD">
            <w:pPr>
              <w:rPr>
                <w:sz w:val="22"/>
                <w:szCs w:val="22"/>
              </w:rPr>
            </w:pPr>
            <w:r w:rsidRPr="002B7E6B">
              <w:rPr>
                <w:sz w:val="22"/>
                <w:szCs w:val="22"/>
              </w:rPr>
              <w:t>2022</w:t>
            </w:r>
          </w:p>
        </w:tc>
        <w:tc>
          <w:tcPr>
            <w:tcW w:w="1170" w:type="dxa"/>
            <w:tcBorders>
              <w:top w:val="nil"/>
              <w:left w:val="nil"/>
              <w:bottom w:val="nil"/>
              <w:right w:val="nil"/>
            </w:tcBorders>
            <w:tcMar>
              <w:top w:w="100" w:type="dxa"/>
              <w:left w:w="100" w:type="dxa"/>
              <w:bottom w:w="100" w:type="dxa"/>
              <w:right w:w="100" w:type="dxa"/>
            </w:tcMar>
            <w:vAlign w:val="bottom"/>
          </w:tcPr>
          <w:p w14:paraId="3E3B52CD" w14:textId="77777777" w:rsidR="00DE3EE8" w:rsidRPr="002B7E6B" w:rsidRDefault="00DE3EE8" w:rsidP="005A5ABD">
            <w:pPr>
              <w:rPr>
                <w:sz w:val="22"/>
                <w:szCs w:val="22"/>
              </w:rPr>
            </w:pPr>
          </w:p>
        </w:tc>
        <w:tc>
          <w:tcPr>
            <w:tcW w:w="1170" w:type="dxa"/>
            <w:tcBorders>
              <w:top w:val="nil"/>
              <w:left w:val="nil"/>
              <w:bottom w:val="nil"/>
              <w:right w:val="nil"/>
            </w:tcBorders>
            <w:tcMar>
              <w:top w:w="100" w:type="dxa"/>
              <w:left w:w="100" w:type="dxa"/>
              <w:bottom w:w="100" w:type="dxa"/>
              <w:right w:w="100" w:type="dxa"/>
            </w:tcMar>
            <w:vAlign w:val="bottom"/>
          </w:tcPr>
          <w:p w14:paraId="04E4574C" w14:textId="77777777" w:rsidR="00DE3EE8" w:rsidRPr="002B7E6B" w:rsidRDefault="00DE3EE8" w:rsidP="005A5ABD">
            <w:pPr>
              <w:rPr>
                <w:sz w:val="22"/>
                <w:szCs w:val="22"/>
              </w:rPr>
            </w:pPr>
            <w:r w:rsidRPr="002B7E6B">
              <w:rPr>
                <w:sz w:val="22"/>
                <w:szCs w:val="22"/>
              </w:rPr>
              <w:t>3,616</w:t>
            </w:r>
          </w:p>
        </w:tc>
        <w:tc>
          <w:tcPr>
            <w:tcW w:w="1170" w:type="dxa"/>
            <w:tcBorders>
              <w:top w:val="nil"/>
              <w:left w:val="nil"/>
              <w:bottom w:val="nil"/>
              <w:right w:val="nil"/>
            </w:tcBorders>
            <w:tcMar>
              <w:top w:w="100" w:type="dxa"/>
              <w:left w:w="100" w:type="dxa"/>
              <w:bottom w:w="100" w:type="dxa"/>
              <w:right w:w="100" w:type="dxa"/>
            </w:tcMar>
            <w:vAlign w:val="bottom"/>
          </w:tcPr>
          <w:p w14:paraId="46F5A366" w14:textId="77777777" w:rsidR="00DE3EE8" w:rsidRPr="002B7E6B" w:rsidRDefault="00DE3EE8" w:rsidP="005A5ABD">
            <w:pPr>
              <w:rPr>
                <w:sz w:val="22"/>
                <w:szCs w:val="22"/>
              </w:rPr>
            </w:pPr>
            <w:r w:rsidRPr="002B7E6B">
              <w:rPr>
                <w:sz w:val="22"/>
                <w:szCs w:val="22"/>
              </w:rPr>
              <w:t>2,712</w:t>
            </w:r>
          </w:p>
        </w:tc>
        <w:tc>
          <w:tcPr>
            <w:tcW w:w="1170" w:type="dxa"/>
            <w:tcBorders>
              <w:top w:val="nil"/>
              <w:left w:val="nil"/>
              <w:bottom w:val="nil"/>
              <w:right w:val="nil"/>
            </w:tcBorders>
            <w:tcMar>
              <w:top w:w="100" w:type="dxa"/>
              <w:left w:w="100" w:type="dxa"/>
              <w:bottom w:w="100" w:type="dxa"/>
              <w:right w:w="100" w:type="dxa"/>
            </w:tcMar>
            <w:vAlign w:val="bottom"/>
          </w:tcPr>
          <w:p w14:paraId="588A6103" w14:textId="77777777" w:rsidR="00DE3EE8" w:rsidRPr="002B7E6B" w:rsidRDefault="00DE3EE8" w:rsidP="005A5ABD">
            <w:pPr>
              <w:rPr>
                <w:sz w:val="22"/>
                <w:szCs w:val="22"/>
              </w:rPr>
            </w:pPr>
            <w:r w:rsidRPr="002B7E6B">
              <w:rPr>
                <w:sz w:val="22"/>
                <w:szCs w:val="22"/>
              </w:rPr>
              <w:t>2,712</w:t>
            </w:r>
          </w:p>
        </w:tc>
        <w:tc>
          <w:tcPr>
            <w:tcW w:w="1170" w:type="dxa"/>
            <w:tcBorders>
              <w:top w:val="nil"/>
              <w:left w:val="nil"/>
              <w:bottom w:val="nil"/>
              <w:right w:val="nil"/>
            </w:tcBorders>
            <w:tcMar>
              <w:top w:w="100" w:type="dxa"/>
              <w:left w:w="100" w:type="dxa"/>
              <w:bottom w:w="100" w:type="dxa"/>
              <w:right w:w="100" w:type="dxa"/>
            </w:tcMar>
            <w:vAlign w:val="bottom"/>
          </w:tcPr>
          <w:p w14:paraId="4FB88B94" w14:textId="77777777" w:rsidR="00DE3EE8" w:rsidRPr="002B7E6B" w:rsidRDefault="00DE3EE8" w:rsidP="005A5ABD">
            <w:pPr>
              <w:rPr>
                <w:sz w:val="22"/>
                <w:szCs w:val="22"/>
              </w:rPr>
            </w:pPr>
            <w:r w:rsidRPr="002B7E6B">
              <w:rPr>
                <w:sz w:val="22"/>
                <w:szCs w:val="22"/>
              </w:rPr>
              <w:t>940</w:t>
            </w:r>
          </w:p>
        </w:tc>
      </w:tr>
      <w:tr w:rsidR="00DE3EE8" w:rsidRPr="002B7E6B" w14:paraId="1AD15081" w14:textId="77777777" w:rsidTr="005A5ABD">
        <w:trPr>
          <w:trHeight w:val="485"/>
        </w:trPr>
        <w:tc>
          <w:tcPr>
            <w:tcW w:w="1710" w:type="dxa"/>
            <w:tcBorders>
              <w:top w:val="nil"/>
              <w:left w:val="nil"/>
              <w:bottom w:val="nil"/>
              <w:right w:val="nil"/>
            </w:tcBorders>
            <w:tcMar>
              <w:top w:w="100" w:type="dxa"/>
              <w:left w:w="100" w:type="dxa"/>
              <w:bottom w:w="100" w:type="dxa"/>
              <w:right w:w="100" w:type="dxa"/>
            </w:tcMar>
            <w:vAlign w:val="bottom"/>
          </w:tcPr>
          <w:p w14:paraId="342CA856" w14:textId="77777777" w:rsidR="00DE3EE8" w:rsidRPr="002B7E6B" w:rsidRDefault="00DE3EE8" w:rsidP="005A5ABD">
            <w:pPr>
              <w:rPr>
                <w:sz w:val="22"/>
                <w:szCs w:val="22"/>
              </w:rPr>
            </w:pPr>
          </w:p>
        </w:tc>
        <w:tc>
          <w:tcPr>
            <w:tcW w:w="1170" w:type="dxa"/>
            <w:tcBorders>
              <w:top w:val="nil"/>
              <w:left w:val="nil"/>
              <w:bottom w:val="nil"/>
              <w:right w:val="nil"/>
            </w:tcBorders>
            <w:tcMar>
              <w:top w:w="100" w:type="dxa"/>
              <w:left w:w="100" w:type="dxa"/>
              <w:bottom w:w="100" w:type="dxa"/>
              <w:right w:w="100" w:type="dxa"/>
            </w:tcMar>
            <w:vAlign w:val="bottom"/>
          </w:tcPr>
          <w:p w14:paraId="3042C1C9" w14:textId="77777777" w:rsidR="00DE3EE8" w:rsidRPr="002B7E6B" w:rsidRDefault="00DE3EE8" w:rsidP="005A5ABD">
            <w:pPr>
              <w:rPr>
                <w:sz w:val="22"/>
                <w:szCs w:val="22"/>
              </w:rPr>
            </w:pPr>
            <w:r w:rsidRPr="002B7E6B">
              <w:rPr>
                <w:sz w:val="22"/>
                <w:szCs w:val="22"/>
              </w:rPr>
              <w:t>2023</w:t>
            </w:r>
          </w:p>
        </w:tc>
        <w:tc>
          <w:tcPr>
            <w:tcW w:w="1170" w:type="dxa"/>
            <w:tcBorders>
              <w:top w:val="nil"/>
              <w:left w:val="nil"/>
              <w:bottom w:val="nil"/>
              <w:right w:val="nil"/>
            </w:tcBorders>
            <w:tcMar>
              <w:top w:w="100" w:type="dxa"/>
              <w:left w:w="100" w:type="dxa"/>
              <w:bottom w:w="100" w:type="dxa"/>
              <w:right w:w="100" w:type="dxa"/>
            </w:tcMar>
            <w:vAlign w:val="bottom"/>
          </w:tcPr>
          <w:p w14:paraId="0C110DFF" w14:textId="77777777" w:rsidR="00DE3EE8" w:rsidRPr="002B7E6B" w:rsidRDefault="00DE3EE8" w:rsidP="005A5ABD">
            <w:pPr>
              <w:rPr>
                <w:sz w:val="22"/>
                <w:szCs w:val="22"/>
              </w:rPr>
            </w:pPr>
          </w:p>
        </w:tc>
        <w:tc>
          <w:tcPr>
            <w:tcW w:w="1170" w:type="dxa"/>
            <w:tcBorders>
              <w:top w:val="nil"/>
              <w:left w:val="nil"/>
              <w:bottom w:val="nil"/>
              <w:right w:val="nil"/>
            </w:tcBorders>
            <w:tcMar>
              <w:top w:w="100" w:type="dxa"/>
              <w:left w:w="100" w:type="dxa"/>
              <w:bottom w:w="100" w:type="dxa"/>
              <w:right w:w="100" w:type="dxa"/>
            </w:tcMar>
            <w:vAlign w:val="bottom"/>
          </w:tcPr>
          <w:p w14:paraId="0552982D" w14:textId="77777777" w:rsidR="00DE3EE8" w:rsidRPr="002B7E6B" w:rsidRDefault="00DE3EE8" w:rsidP="005A5ABD">
            <w:pPr>
              <w:rPr>
                <w:sz w:val="22"/>
                <w:szCs w:val="22"/>
              </w:rPr>
            </w:pPr>
            <w:r w:rsidRPr="002B7E6B">
              <w:rPr>
                <w:sz w:val="22"/>
                <w:szCs w:val="22"/>
              </w:rPr>
              <w:t>3,616</w:t>
            </w:r>
          </w:p>
        </w:tc>
        <w:tc>
          <w:tcPr>
            <w:tcW w:w="1170" w:type="dxa"/>
            <w:tcBorders>
              <w:top w:val="nil"/>
              <w:left w:val="nil"/>
              <w:bottom w:val="nil"/>
              <w:right w:val="nil"/>
            </w:tcBorders>
            <w:tcMar>
              <w:top w:w="100" w:type="dxa"/>
              <w:left w:w="100" w:type="dxa"/>
              <w:bottom w:w="100" w:type="dxa"/>
              <w:right w:w="100" w:type="dxa"/>
            </w:tcMar>
            <w:vAlign w:val="bottom"/>
          </w:tcPr>
          <w:p w14:paraId="4CA4B417" w14:textId="77777777" w:rsidR="00DE3EE8" w:rsidRPr="002B7E6B" w:rsidRDefault="00DE3EE8" w:rsidP="005A5ABD">
            <w:pPr>
              <w:rPr>
                <w:sz w:val="22"/>
                <w:szCs w:val="22"/>
              </w:rPr>
            </w:pPr>
            <w:r w:rsidRPr="002B7E6B">
              <w:rPr>
                <w:sz w:val="22"/>
                <w:szCs w:val="22"/>
              </w:rPr>
              <w:t>2,712</w:t>
            </w:r>
          </w:p>
        </w:tc>
        <w:tc>
          <w:tcPr>
            <w:tcW w:w="1170" w:type="dxa"/>
            <w:tcBorders>
              <w:top w:val="nil"/>
              <w:left w:val="nil"/>
              <w:bottom w:val="nil"/>
              <w:right w:val="nil"/>
            </w:tcBorders>
            <w:tcMar>
              <w:top w:w="100" w:type="dxa"/>
              <w:left w:w="100" w:type="dxa"/>
              <w:bottom w:w="100" w:type="dxa"/>
              <w:right w:w="100" w:type="dxa"/>
            </w:tcMar>
            <w:vAlign w:val="bottom"/>
          </w:tcPr>
          <w:p w14:paraId="659DA39B" w14:textId="77777777" w:rsidR="00DE3EE8" w:rsidRPr="002B7E6B" w:rsidRDefault="00DE3EE8" w:rsidP="005A5ABD">
            <w:pPr>
              <w:rPr>
                <w:sz w:val="22"/>
                <w:szCs w:val="22"/>
              </w:rPr>
            </w:pPr>
          </w:p>
        </w:tc>
        <w:tc>
          <w:tcPr>
            <w:tcW w:w="1170" w:type="dxa"/>
            <w:tcBorders>
              <w:top w:val="nil"/>
              <w:left w:val="nil"/>
              <w:bottom w:val="nil"/>
              <w:right w:val="nil"/>
            </w:tcBorders>
            <w:tcMar>
              <w:top w:w="100" w:type="dxa"/>
              <w:left w:w="100" w:type="dxa"/>
              <w:bottom w:w="100" w:type="dxa"/>
              <w:right w:w="100" w:type="dxa"/>
            </w:tcMar>
            <w:vAlign w:val="bottom"/>
          </w:tcPr>
          <w:p w14:paraId="6B9A558F" w14:textId="77777777" w:rsidR="00DE3EE8" w:rsidRPr="002B7E6B" w:rsidRDefault="00DE3EE8" w:rsidP="005A5ABD">
            <w:pPr>
              <w:pBdr>
                <w:top w:val="nil"/>
                <w:left w:val="nil"/>
                <w:bottom w:val="nil"/>
                <w:right w:val="nil"/>
                <w:between w:val="nil"/>
              </w:pBdr>
              <w:rPr>
                <w:sz w:val="22"/>
                <w:szCs w:val="22"/>
              </w:rPr>
            </w:pPr>
          </w:p>
        </w:tc>
      </w:tr>
      <w:tr w:rsidR="00DE3EE8" w:rsidRPr="002B7E6B" w14:paraId="2C3E209B" w14:textId="77777777" w:rsidTr="005A5ABD">
        <w:trPr>
          <w:trHeight w:val="485"/>
        </w:trPr>
        <w:tc>
          <w:tcPr>
            <w:tcW w:w="1710" w:type="dxa"/>
            <w:tcBorders>
              <w:top w:val="nil"/>
              <w:left w:val="nil"/>
              <w:bottom w:val="single" w:sz="7" w:space="0" w:color="000000"/>
              <w:right w:val="nil"/>
            </w:tcBorders>
            <w:tcMar>
              <w:top w:w="100" w:type="dxa"/>
              <w:left w:w="100" w:type="dxa"/>
              <w:bottom w:w="100" w:type="dxa"/>
              <w:right w:w="100" w:type="dxa"/>
            </w:tcMar>
            <w:vAlign w:val="bottom"/>
          </w:tcPr>
          <w:p w14:paraId="6B0A1A96" w14:textId="77777777" w:rsidR="00DE3EE8" w:rsidRPr="002B7E6B" w:rsidRDefault="00DE3EE8" w:rsidP="005A5ABD">
            <w:pPr>
              <w:rPr>
                <w:sz w:val="22"/>
                <w:szCs w:val="22"/>
              </w:rPr>
            </w:pPr>
            <w:r w:rsidRPr="002B7E6B">
              <w:rPr>
                <w:sz w:val="22"/>
                <w:szCs w:val="22"/>
              </w:rPr>
              <w:t xml:space="preserve"> </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7DAACF65" w14:textId="77777777" w:rsidR="00DE3EE8" w:rsidRPr="002B7E6B" w:rsidRDefault="00DE3EE8" w:rsidP="005A5ABD">
            <w:pPr>
              <w:rPr>
                <w:sz w:val="22"/>
                <w:szCs w:val="22"/>
              </w:rPr>
            </w:pPr>
            <w:r w:rsidRPr="002B7E6B">
              <w:rPr>
                <w:sz w:val="22"/>
                <w:szCs w:val="22"/>
              </w:rPr>
              <w:t>2024</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1CE34CE8" w14:textId="77777777" w:rsidR="00DE3EE8" w:rsidRPr="002B7E6B" w:rsidRDefault="00DE3EE8" w:rsidP="005A5ABD">
            <w:pPr>
              <w:rPr>
                <w:sz w:val="22"/>
                <w:szCs w:val="22"/>
              </w:rPr>
            </w:pPr>
            <w:r w:rsidRPr="002B7E6B">
              <w:rPr>
                <w:sz w:val="22"/>
                <w:szCs w:val="22"/>
              </w:rPr>
              <w:t xml:space="preserve"> </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570A1375" w14:textId="77777777" w:rsidR="00DE3EE8" w:rsidRPr="002B7E6B" w:rsidRDefault="00DE3EE8" w:rsidP="005A5ABD">
            <w:pPr>
              <w:rPr>
                <w:sz w:val="22"/>
                <w:szCs w:val="22"/>
              </w:rPr>
            </w:pPr>
            <w:r w:rsidRPr="002B7E6B">
              <w:rPr>
                <w:sz w:val="22"/>
                <w:szCs w:val="22"/>
              </w:rPr>
              <w:t>3,616</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38994BAB" w14:textId="77777777" w:rsidR="00DE3EE8" w:rsidRPr="002B7E6B" w:rsidRDefault="00DE3EE8" w:rsidP="005A5ABD">
            <w:pPr>
              <w:rPr>
                <w:sz w:val="22"/>
                <w:szCs w:val="22"/>
              </w:rPr>
            </w:pPr>
            <w:r w:rsidRPr="002B7E6B">
              <w:rPr>
                <w:sz w:val="22"/>
                <w:szCs w:val="22"/>
              </w:rPr>
              <w:t>2,712</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6BF8A2A1" w14:textId="77777777" w:rsidR="00DE3EE8" w:rsidRPr="002B7E6B" w:rsidRDefault="00DE3EE8" w:rsidP="005A5ABD">
            <w:pPr>
              <w:rPr>
                <w:sz w:val="22"/>
                <w:szCs w:val="22"/>
              </w:rPr>
            </w:pPr>
            <w:r w:rsidRPr="002B7E6B">
              <w:rPr>
                <w:sz w:val="22"/>
                <w:szCs w:val="22"/>
              </w:rPr>
              <w:t xml:space="preserve"> </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3C83ED94" w14:textId="77777777" w:rsidR="00DE3EE8" w:rsidRPr="002B7E6B" w:rsidRDefault="00DE3EE8" w:rsidP="005A5ABD">
            <w:pPr>
              <w:rPr>
                <w:sz w:val="22"/>
                <w:szCs w:val="22"/>
              </w:rPr>
            </w:pPr>
            <w:r w:rsidRPr="002B7E6B">
              <w:rPr>
                <w:sz w:val="22"/>
                <w:szCs w:val="22"/>
              </w:rPr>
              <w:t xml:space="preserve"> </w:t>
            </w:r>
          </w:p>
        </w:tc>
      </w:tr>
      <w:tr w:rsidR="00DE3EE8" w:rsidRPr="002B7E6B" w14:paraId="4785EDDA" w14:textId="77777777" w:rsidTr="005A5ABD">
        <w:trPr>
          <w:trHeight w:val="485"/>
        </w:trPr>
        <w:tc>
          <w:tcPr>
            <w:tcW w:w="1710" w:type="dxa"/>
            <w:tcBorders>
              <w:top w:val="nil"/>
              <w:left w:val="nil"/>
              <w:bottom w:val="nil"/>
              <w:right w:val="nil"/>
            </w:tcBorders>
            <w:tcMar>
              <w:top w:w="100" w:type="dxa"/>
              <w:left w:w="100" w:type="dxa"/>
              <w:bottom w:w="100" w:type="dxa"/>
              <w:right w:w="100" w:type="dxa"/>
            </w:tcMar>
            <w:vAlign w:val="bottom"/>
          </w:tcPr>
          <w:p w14:paraId="6675ABFA" w14:textId="77777777" w:rsidR="00DE3EE8" w:rsidRPr="002B7E6B" w:rsidRDefault="00DE3EE8" w:rsidP="005A5ABD">
            <w:pPr>
              <w:rPr>
                <w:sz w:val="22"/>
                <w:szCs w:val="22"/>
              </w:rPr>
            </w:pPr>
            <w:r w:rsidRPr="002B7E6B">
              <w:rPr>
                <w:sz w:val="22"/>
                <w:szCs w:val="22"/>
              </w:rPr>
              <w:t>Other skates</w:t>
            </w:r>
          </w:p>
        </w:tc>
        <w:tc>
          <w:tcPr>
            <w:tcW w:w="1170" w:type="dxa"/>
            <w:tcBorders>
              <w:top w:val="nil"/>
              <w:left w:val="nil"/>
              <w:bottom w:val="nil"/>
              <w:right w:val="nil"/>
            </w:tcBorders>
            <w:tcMar>
              <w:top w:w="100" w:type="dxa"/>
              <w:left w:w="100" w:type="dxa"/>
              <w:bottom w:w="100" w:type="dxa"/>
              <w:right w:w="100" w:type="dxa"/>
            </w:tcMar>
            <w:vAlign w:val="bottom"/>
          </w:tcPr>
          <w:p w14:paraId="4B539593" w14:textId="77777777" w:rsidR="00DE3EE8" w:rsidRPr="002B7E6B" w:rsidRDefault="00DE3EE8" w:rsidP="005A5ABD">
            <w:pPr>
              <w:rPr>
                <w:sz w:val="22"/>
                <w:szCs w:val="22"/>
              </w:rPr>
            </w:pPr>
            <w:r w:rsidRPr="002B7E6B">
              <w:rPr>
                <w:sz w:val="22"/>
                <w:szCs w:val="22"/>
              </w:rPr>
              <w:t>2021</w:t>
            </w:r>
          </w:p>
        </w:tc>
        <w:tc>
          <w:tcPr>
            <w:tcW w:w="1170" w:type="dxa"/>
            <w:tcBorders>
              <w:top w:val="nil"/>
              <w:left w:val="nil"/>
              <w:bottom w:val="nil"/>
              <w:right w:val="nil"/>
            </w:tcBorders>
            <w:tcMar>
              <w:top w:w="100" w:type="dxa"/>
              <w:left w:w="100" w:type="dxa"/>
              <w:bottom w:w="100" w:type="dxa"/>
              <w:right w:w="100" w:type="dxa"/>
            </w:tcMar>
            <w:vAlign w:val="bottom"/>
          </w:tcPr>
          <w:p w14:paraId="609DF6A0" w14:textId="77777777" w:rsidR="00DE3EE8" w:rsidRPr="002B7E6B" w:rsidRDefault="00DE3EE8" w:rsidP="005A5ABD">
            <w:pPr>
              <w:rPr>
                <w:sz w:val="22"/>
                <w:szCs w:val="22"/>
              </w:rPr>
            </w:pPr>
          </w:p>
        </w:tc>
        <w:tc>
          <w:tcPr>
            <w:tcW w:w="1170" w:type="dxa"/>
            <w:tcBorders>
              <w:top w:val="nil"/>
              <w:left w:val="nil"/>
              <w:bottom w:val="nil"/>
              <w:right w:val="nil"/>
            </w:tcBorders>
            <w:tcMar>
              <w:top w:w="100" w:type="dxa"/>
              <w:left w:w="100" w:type="dxa"/>
              <w:bottom w:w="100" w:type="dxa"/>
              <w:right w:w="100" w:type="dxa"/>
            </w:tcMar>
            <w:vAlign w:val="bottom"/>
          </w:tcPr>
          <w:p w14:paraId="270B4A3E" w14:textId="77777777" w:rsidR="00DE3EE8" w:rsidRPr="002B7E6B" w:rsidRDefault="00DE3EE8" w:rsidP="005A5ABD">
            <w:pPr>
              <w:rPr>
                <w:sz w:val="22"/>
                <w:szCs w:val="22"/>
              </w:rPr>
            </w:pPr>
            <w:r w:rsidRPr="002B7E6B">
              <w:rPr>
                <w:sz w:val="22"/>
                <w:szCs w:val="22"/>
              </w:rPr>
              <w:t>1,166</w:t>
            </w:r>
          </w:p>
        </w:tc>
        <w:tc>
          <w:tcPr>
            <w:tcW w:w="1170" w:type="dxa"/>
            <w:tcBorders>
              <w:top w:val="nil"/>
              <w:left w:val="nil"/>
              <w:bottom w:val="nil"/>
              <w:right w:val="nil"/>
            </w:tcBorders>
            <w:tcMar>
              <w:top w:w="100" w:type="dxa"/>
              <w:left w:w="100" w:type="dxa"/>
              <w:bottom w:w="100" w:type="dxa"/>
              <w:right w:w="100" w:type="dxa"/>
            </w:tcMar>
            <w:vAlign w:val="bottom"/>
          </w:tcPr>
          <w:p w14:paraId="772BF87F" w14:textId="77777777" w:rsidR="00DE3EE8" w:rsidRPr="002B7E6B" w:rsidRDefault="00DE3EE8" w:rsidP="005A5ABD">
            <w:pPr>
              <w:rPr>
                <w:sz w:val="22"/>
                <w:szCs w:val="22"/>
              </w:rPr>
            </w:pPr>
            <w:r w:rsidRPr="002B7E6B">
              <w:rPr>
                <w:sz w:val="22"/>
                <w:szCs w:val="22"/>
              </w:rPr>
              <w:t>875</w:t>
            </w:r>
          </w:p>
        </w:tc>
        <w:tc>
          <w:tcPr>
            <w:tcW w:w="1170" w:type="dxa"/>
            <w:tcBorders>
              <w:top w:val="nil"/>
              <w:left w:val="nil"/>
              <w:bottom w:val="nil"/>
              <w:right w:val="nil"/>
            </w:tcBorders>
            <w:tcMar>
              <w:top w:w="100" w:type="dxa"/>
              <w:left w:w="100" w:type="dxa"/>
              <w:bottom w:w="100" w:type="dxa"/>
              <w:right w:w="100" w:type="dxa"/>
            </w:tcMar>
            <w:vAlign w:val="bottom"/>
          </w:tcPr>
          <w:p w14:paraId="6CE92761" w14:textId="77777777" w:rsidR="00DE3EE8" w:rsidRPr="002B7E6B" w:rsidRDefault="00DE3EE8" w:rsidP="005A5ABD">
            <w:pPr>
              <w:rPr>
                <w:sz w:val="22"/>
                <w:szCs w:val="22"/>
              </w:rPr>
            </w:pPr>
            <w:r w:rsidRPr="002B7E6B">
              <w:rPr>
                <w:sz w:val="22"/>
                <w:szCs w:val="22"/>
              </w:rPr>
              <w:t>875</w:t>
            </w:r>
          </w:p>
        </w:tc>
        <w:tc>
          <w:tcPr>
            <w:tcW w:w="1170" w:type="dxa"/>
            <w:tcBorders>
              <w:top w:val="nil"/>
              <w:left w:val="nil"/>
              <w:bottom w:val="nil"/>
              <w:right w:val="nil"/>
            </w:tcBorders>
            <w:tcMar>
              <w:top w:w="100" w:type="dxa"/>
              <w:left w:w="100" w:type="dxa"/>
              <w:bottom w:w="100" w:type="dxa"/>
              <w:right w:w="100" w:type="dxa"/>
            </w:tcMar>
            <w:vAlign w:val="bottom"/>
          </w:tcPr>
          <w:p w14:paraId="4798AF32" w14:textId="77777777" w:rsidR="00DE3EE8" w:rsidRPr="002B7E6B" w:rsidRDefault="00DE3EE8" w:rsidP="005A5ABD">
            <w:pPr>
              <w:rPr>
                <w:sz w:val="22"/>
                <w:szCs w:val="22"/>
              </w:rPr>
            </w:pPr>
            <w:r w:rsidRPr="002B7E6B">
              <w:rPr>
                <w:sz w:val="22"/>
                <w:szCs w:val="22"/>
              </w:rPr>
              <w:t>732</w:t>
            </w:r>
          </w:p>
        </w:tc>
      </w:tr>
      <w:tr w:rsidR="00DE3EE8" w:rsidRPr="002B7E6B" w14:paraId="2015C748" w14:textId="77777777" w:rsidTr="005A5ABD">
        <w:trPr>
          <w:trHeight w:val="485"/>
        </w:trPr>
        <w:tc>
          <w:tcPr>
            <w:tcW w:w="1710" w:type="dxa"/>
            <w:tcBorders>
              <w:top w:val="nil"/>
              <w:left w:val="nil"/>
              <w:bottom w:val="nil"/>
              <w:right w:val="nil"/>
            </w:tcBorders>
            <w:tcMar>
              <w:top w:w="100" w:type="dxa"/>
              <w:left w:w="100" w:type="dxa"/>
              <w:bottom w:w="100" w:type="dxa"/>
              <w:right w:w="100" w:type="dxa"/>
            </w:tcMar>
            <w:vAlign w:val="bottom"/>
          </w:tcPr>
          <w:p w14:paraId="7802921E" w14:textId="77777777" w:rsidR="00DE3EE8" w:rsidRPr="002B7E6B" w:rsidRDefault="00DE3EE8" w:rsidP="005A5ABD">
            <w:pPr>
              <w:rPr>
                <w:sz w:val="22"/>
                <w:szCs w:val="22"/>
              </w:rPr>
            </w:pPr>
          </w:p>
        </w:tc>
        <w:tc>
          <w:tcPr>
            <w:tcW w:w="1170" w:type="dxa"/>
            <w:tcBorders>
              <w:top w:val="nil"/>
              <w:left w:val="nil"/>
              <w:bottom w:val="nil"/>
              <w:right w:val="nil"/>
            </w:tcBorders>
            <w:tcMar>
              <w:top w:w="100" w:type="dxa"/>
              <w:left w:w="100" w:type="dxa"/>
              <w:bottom w:w="100" w:type="dxa"/>
              <w:right w:w="100" w:type="dxa"/>
            </w:tcMar>
            <w:vAlign w:val="bottom"/>
          </w:tcPr>
          <w:p w14:paraId="15AC8582" w14:textId="77777777" w:rsidR="00DE3EE8" w:rsidRPr="002B7E6B" w:rsidRDefault="00DE3EE8" w:rsidP="005A5ABD">
            <w:pPr>
              <w:rPr>
                <w:sz w:val="22"/>
                <w:szCs w:val="22"/>
              </w:rPr>
            </w:pPr>
            <w:r w:rsidRPr="002B7E6B">
              <w:rPr>
                <w:sz w:val="22"/>
                <w:szCs w:val="22"/>
              </w:rPr>
              <w:t>2022</w:t>
            </w:r>
          </w:p>
        </w:tc>
        <w:tc>
          <w:tcPr>
            <w:tcW w:w="1170" w:type="dxa"/>
            <w:tcBorders>
              <w:top w:val="nil"/>
              <w:left w:val="nil"/>
              <w:bottom w:val="nil"/>
              <w:right w:val="nil"/>
            </w:tcBorders>
            <w:tcMar>
              <w:top w:w="100" w:type="dxa"/>
              <w:left w:w="100" w:type="dxa"/>
              <w:bottom w:w="100" w:type="dxa"/>
              <w:right w:w="100" w:type="dxa"/>
            </w:tcMar>
            <w:vAlign w:val="bottom"/>
          </w:tcPr>
          <w:p w14:paraId="168A8267" w14:textId="77777777" w:rsidR="00DE3EE8" w:rsidRPr="002B7E6B" w:rsidRDefault="00DE3EE8" w:rsidP="005A5ABD">
            <w:pPr>
              <w:rPr>
                <w:sz w:val="22"/>
                <w:szCs w:val="22"/>
              </w:rPr>
            </w:pPr>
          </w:p>
        </w:tc>
        <w:tc>
          <w:tcPr>
            <w:tcW w:w="1170" w:type="dxa"/>
            <w:tcBorders>
              <w:top w:val="nil"/>
              <w:left w:val="nil"/>
              <w:bottom w:val="nil"/>
              <w:right w:val="nil"/>
            </w:tcBorders>
            <w:tcMar>
              <w:top w:w="100" w:type="dxa"/>
              <w:left w:w="100" w:type="dxa"/>
              <w:bottom w:w="100" w:type="dxa"/>
              <w:right w:w="100" w:type="dxa"/>
            </w:tcMar>
            <w:vAlign w:val="bottom"/>
          </w:tcPr>
          <w:p w14:paraId="5AB96968" w14:textId="77777777" w:rsidR="00DE3EE8" w:rsidRPr="002B7E6B" w:rsidRDefault="00DE3EE8" w:rsidP="005A5ABD">
            <w:pPr>
              <w:rPr>
                <w:sz w:val="22"/>
                <w:szCs w:val="22"/>
              </w:rPr>
            </w:pPr>
            <w:r w:rsidRPr="002B7E6B">
              <w:rPr>
                <w:sz w:val="22"/>
                <w:szCs w:val="22"/>
              </w:rPr>
              <w:t>1,311</w:t>
            </w:r>
          </w:p>
        </w:tc>
        <w:tc>
          <w:tcPr>
            <w:tcW w:w="1170" w:type="dxa"/>
            <w:tcBorders>
              <w:top w:val="nil"/>
              <w:left w:val="nil"/>
              <w:bottom w:val="nil"/>
              <w:right w:val="nil"/>
            </w:tcBorders>
            <w:tcMar>
              <w:top w:w="100" w:type="dxa"/>
              <w:left w:w="100" w:type="dxa"/>
              <w:bottom w:w="100" w:type="dxa"/>
              <w:right w:w="100" w:type="dxa"/>
            </w:tcMar>
            <w:vAlign w:val="bottom"/>
          </w:tcPr>
          <w:p w14:paraId="160D9945" w14:textId="77777777" w:rsidR="00DE3EE8" w:rsidRPr="002B7E6B" w:rsidRDefault="00DE3EE8" w:rsidP="005A5ABD">
            <w:pPr>
              <w:rPr>
                <w:sz w:val="22"/>
                <w:szCs w:val="22"/>
              </w:rPr>
            </w:pPr>
            <w:r w:rsidRPr="002B7E6B">
              <w:rPr>
                <w:sz w:val="22"/>
                <w:szCs w:val="22"/>
              </w:rPr>
              <w:t>984</w:t>
            </w:r>
          </w:p>
        </w:tc>
        <w:tc>
          <w:tcPr>
            <w:tcW w:w="1170" w:type="dxa"/>
            <w:tcBorders>
              <w:top w:val="nil"/>
              <w:left w:val="nil"/>
              <w:bottom w:val="nil"/>
              <w:right w:val="nil"/>
            </w:tcBorders>
            <w:tcMar>
              <w:top w:w="100" w:type="dxa"/>
              <w:left w:w="100" w:type="dxa"/>
              <w:bottom w:w="100" w:type="dxa"/>
              <w:right w:w="100" w:type="dxa"/>
            </w:tcMar>
            <w:vAlign w:val="bottom"/>
          </w:tcPr>
          <w:p w14:paraId="22BDA16B" w14:textId="77777777" w:rsidR="00DE3EE8" w:rsidRPr="002B7E6B" w:rsidRDefault="00DE3EE8" w:rsidP="005A5ABD">
            <w:pPr>
              <w:rPr>
                <w:sz w:val="22"/>
                <w:szCs w:val="22"/>
              </w:rPr>
            </w:pPr>
            <w:r w:rsidRPr="002B7E6B">
              <w:rPr>
                <w:sz w:val="22"/>
                <w:szCs w:val="22"/>
              </w:rPr>
              <w:t>984</w:t>
            </w:r>
          </w:p>
        </w:tc>
        <w:tc>
          <w:tcPr>
            <w:tcW w:w="1170" w:type="dxa"/>
            <w:tcBorders>
              <w:top w:val="nil"/>
              <w:left w:val="nil"/>
              <w:bottom w:val="nil"/>
              <w:right w:val="nil"/>
            </w:tcBorders>
            <w:tcMar>
              <w:top w:w="100" w:type="dxa"/>
              <w:left w:w="100" w:type="dxa"/>
              <w:bottom w:w="100" w:type="dxa"/>
              <w:right w:w="100" w:type="dxa"/>
            </w:tcMar>
            <w:vAlign w:val="bottom"/>
          </w:tcPr>
          <w:p w14:paraId="5FE645EF" w14:textId="77777777" w:rsidR="00DE3EE8" w:rsidRPr="002B7E6B" w:rsidRDefault="00DE3EE8" w:rsidP="005A5ABD">
            <w:pPr>
              <w:rPr>
                <w:sz w:val="22"/>
                <w:szCs w:val="22"/>
              </w:rPr>
            </w:pPr>
            <w:r w:rsidRPr="002B7E6B">
              <w:rPr>
                <w:sz w:val="22"/>
                <w:szCs w:val="22"/>
              </w:rPr>
              <w:t>822</w:t>
            </w:r>
          </w:p>
        </w:tc>
      </w:tr>
      <w:tr w:rsidR="00DE3EE8" w:rsidRPr="002B7E6B" w14:paraId="06665D15" w14:textId="77777777" w:rsidTr="005A5ABD">
        <w:trPr>
          <w:trHeight w:val="485"/>
        </w:trPr>
        <w:tc>
          <w:tcPr>
            <w:tcW w:w="1710" w:type="dxa"/>
            <w:tcBorders>
              <w:top w:val="nil"/>
              <w:left w:val="nil"/>
              <w:bottom w:val="nil"/>
              <w:right w:val="nil"/>
            </w:tcBorders>
            <w:tcMar>
              <w:top w:w="100" w:type="dxa"/>
              <w:left w:w="100" w:type="dxa"/>
              <w:bottom w:w="100" w:type="dxa"/>
              <w:right w:w="100" w:type="dxa"/>
            </w:tcMar>
            <w:vAlign w:val="bottom"/>
          </w:tcPr>
          <w:p w14:paraId="7E8AC661" w14:textId="77777777" w:rsidR="00DE3EE8" w:rsidRPr="002B7E6B" w:rsidRDefault="00DE3EE8" w:rsidP="005A5ABD">
            <w:pPr>
              <w:rPr>
                <w:sz w:val="22"/>
                <w:szCs w:val="22"/>
              </w:rPr>
            </w:pPr>
          </w:p>
        </w:tc>
        <w:tc>
          <w:tcPr>
            <w:tcW w:w="1170" w:type="dxa"/>
            <w:tcBorders>
              <w:top w:val="nil"/>
              <w:left w:val="nil"/>
              <w:bottom w:val="nil"/>
              <w:right w:val="nil"/>
            </w:tcBorders>
            <w:tcMar>
              <w:top w:w="100" w:type="dxa"/>
              <w:left w:w="100" w:type="dxa"/>
              <w:bottom w:w="100" w:type="dxa"/>
              <w:right w:w="100" w:type="dxa"/>
            </w:tcMar>
            <w:vAlign w:val="bottom"/>
          </w:tcPr>
          <w:p w14:paraId="2CE98468" w14:textId="77777777" w:rsidR="00DE3EE8" w:rsidRPr="002B7E6B" w:rsidRDefault="00DE3EE8" w:rsidP="005A5ABD">
            <w:pPr>
              <w:rPr>
                <w:sz w:val="22"/>
                <w:szCs w:val="22"/>
              </w:rPr>
            </w:pPr>
            <w:r w:rsidRPr="002B7E6B">
              <w:rPr>
                <w:sz w:val="22"/>
                <w:szCs w:val="22"/>
              </w:rPr>
              <w:t>2023</w:t>
            </w:r>
          </w:p>
        </w:tc>
        <w:tc>
          <w:tcPr>
            <w:tcW w:w="1170" w:type="dxa"/>
            <w:tcBorders>
              <w:top w:val="nil"/>
              <w:left w:val="nil"/>
              <w:bottom w:val="nil"/>
              <w:right w:val="nil"/>
            </w:tcBorders>
            <w:tcMar>
              <w:top w:w="100" w:type="dxa"/>
              <w:left w:w="100" w:type="dxa"/>
              <w:bottom w:w="100" w:type="dxa"/>
              <w:right w:w="100" w:type="dxa"/>
            </w:tcMar>
            <w:vAlign w:val="bottom"/>
          </w:tcPr>
          <w:p w14:paraId="1589455A" w14:textId="77777777" w:rsidR="00DE3EE8" w:rsidRPr="002B7E6B" w:rsidRDefault="00DE3EE8" w:rsidP="005A5ABD">
            <w:pPr>
              <w:rPr>
                <w:sz w:val="22"/>
                <w:szCs w:val="22"/>
              </w:rPr>
            </w:pPr>
          </w:p>
        </w:tc>
        <w:tc>
          <w:tcPr>
            <w:tcW w:w="1170" w:type="dxa"/>
            <w:tcBorders>
              <w:top w:val="nil"/>
              <w:left w:val="nil"/>
              <w:bottom w:val="nil"/>
              <w:right w:val="nil"/>
            </w:tcBorders>
            <w:tcMar>
              <w:top w:w="100" w:type="dxa"/>
              <w:left w:w="100" w:type="dxa"/>
              <w:bottom w:w="100" w:type="dxa"/>
              <w:right w:w="100" w:type="dxa"/>
            </w:tcMar>
            <w:vAlign w:val="bottom"/>
          </w:tcPr>
          <w:p w14:paraId="4E3650AE" w14:textId="77777777" w:rsidR="00DE3EE8" w:rsidRPr="002B7E6B" w:rsidRDefault="00DE3EE8" w:rsidP="005A5ABD">
            <w:pPr>
              <w:rPr>
                <w:sz w:val="22"/>
                <w:szCs w:val="22"/>
              </w:rPr>
            </w:pPr>
            <w:r w:rsidRPr="002B7E6B">
              <w:rPr>
                <w:sz w:val="22"/>
                <w:szCs w:val="22"/>
              </w:rPr>
              <w:t>1,311</w:t>
            </w:r>
          </w:p>
        </w:tc>
        <w:tc>
          <w:tcPr>
            <w:tcW w:w="1170" w:type="dxa"/>
            <w:tcBorders>
              <w:top w:val="nil"/>
              <w:left w:val="nil"/>
              <w:bottom w:val="nil"/>
              <w:right w:val="nil"/>
            </w:tcBorders>
            <w:tcMar>
              <w:top w:w="100" w:type="dxa"/>
              <w:left w:w="100" w:type="dxa"/>
              <w:bottom w:w="100" w:type="dxa"/>
              <w:right w:w="100" w:type="dxa"/>
            </w:tcMar>
            <w:vAlign w:val="bottom"/>
          </w:tcPr>
          <w:p w14:paraId="14C20BE4" w14:textId="77777777" w:rsidR="00DE3EE8" w:rsidRPr="002B7E6B" w:rsidRDefault="00DE3EE8" w:rsidP="005A5ABD">
            <w:pPr>
              <w:rPr>
                <w:sz w:val="22"/>
                <w:szCs w:val="22"/>
              </w:rPr>
            </w:pPr>
            <w:r w:rsidRPr="002B7E6B">
              <w:rPr>
                <w:sz w:val="22"/>
                <w:szCs w:val="22"/>
              </w:rPr>
              <w:t>984</w:t>
            </w:r>
          </w:p>
        </w:tc>
        <w:tc>
          <w:tcPr>
            <w:tcW w:w="1170" w:type="dxa"/>
            <w:tcBorders>
              <w:top w:val="nil"/>
              <w:left w:val="nil"/>
              <w:bottom w:val="nil"/>
              <w:right w:val="nil"/>
            </w:tcBorders>
            <w:tcMar>
              <w:top w:w="100" w:type="dxa"/>
              <w:left w:w="100" w:type="dxa"/>
              <w:bottom w:w="100" w:type="dxa"/>
              <w:right w:w="100" w:type="dxa"/>
            </w:tcMar>
            <w:vAlign w:val="bottom"/>
          </w:tcPr>
          <w:p w14:paraId="734ED3C9" w14:textId="77777777" w:rsidR="00DE3EE8" w:rsidRPr="002B7E6B" w:rsidRDefault="00DE3EE8" w:rsidP="005A5ABD">
            <w:pPr>
              <w:rPr>
                <w:sz w:val="22"/>
                <w:szCs w:val="22"/>
              </w:rPr>
            </w:pPr>
          </w:p>
        </w:tc>
        <w:tc>
          <w:tcPr>
            <w:tcW w:w="1170" w:type="dxa"/>
            <w:tcBorders>
              <w:top w:val="nil"/>
              <w:left w:val="nil"/>
              <w:bottom w:val="nil"/>
              <w:right w:val="nil"/>
            </w:tcBorders>
            <w:tcMar>
              <w:top w:w="100" w:type="dxa"/>
              <w:left w:w="100" w:type="dxa"/>
              <w:bottom w:w="100" w:type="dxa"/>
              <w:right w:w="100" w:type="dxa"/>
            </w:tcMar>
            <w:vAlign w:val="bottom"/>
          </w:tcPr>
          <w:p w14:paraId="321FBB6F" w14:textId="77777777" w:rsidR="00DE3EE8" w:rsidRPr="002B7E6B" w:rsidRDefault="00DE3EE8" w:rsidP="005A5ABD">
            <w:pPr>
              <w:pBdr>
                <w:top w:val="nil"/>
                <w:left w:val="nil"/>
                <w:bottom w:val="nil"/>
                <w:right w:val="nil"/>
                <w:between w:val="nil"/>
              </w:pBdr>
              <w:rPr>
                <w:sz w:val="22"/>
                <w:szCs w:val="22"/>
              </w:rPr>
            </w:pPr>
          </w:p>
        </w:tc>
      </w:tr>
      <w:tr w:rsidR="00DE3EE8" w:rsidRPr="002B7E6B" w14:paraId="5240D7D9" w14:textId="77777777" w:rsidTr="005A5ABD">
        <w:trPr>
          <w:trHeight w:val="485"/>
        </w:trPr>
        <w:tc>
          <w:tcPr>
            <w:tcW w:w="1710" w:type="dxa"/>
            <w:tcBorders>
              <w:top w:val="nil"/>
              <w:left w:val="nil"/>
              <w:bottom w:val="single" w:sz="7" w:space="0" w:color="000000"/>
              <w:right w:val="nil"/>
            </w:tcBorders>
            <w:tcMar>
              <w:top w:w="100" w:type="dxa"/>
              <w:left w:w="100" w:type="dxa"/>
              <w:bottom w:w="100" w:type="dxa"/>
              <w:right w:w="100" w:type="dxa"/>
            </w:tcMar>
            <w:vAlign w:val="bottom"/>
          </w:tcPr>
          <w:p w14:paraId="200D943F" w14:textId="77777777" w:rsidR="00DE3EE8" w:rsidRPr="002B7E6B" w:rsidRDefault="00DE3EE8" w:rsidP="005A5ABD">
            <w:pPr>
              <w:rPr>
                <w:sz w:val="22"/>
                <w:szCs w:val="22"/>
              </w:rPr>
            </w:pPr>
            <w:r w:rsidRPr="002B7E6B">
              <w:rPr>
                <w:sz w:val="22"/>
                <w:szCs w:val="22"/>
              </w:rPr>
              <w:t xml:space="preserve"> </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43FCEF68" w14:textId="77777777" w:rsidR="00DE3EE8" w:rsidRPr="002B7E6B" w:rsidRDefault="00DE3EE8" w:rsidP="005A5ABD">
            <w:pPr>
              <w:rPr>
                <w:sz w:val="22"/>
                <w:szCs w:val="22"/>
              </w:rPr>
            </w:pPr>
            <w:r w:rsidRPr="002B7E6B">
              <w:rPr>
                <w:sz w:val="22"/>
                <w:szCs w:val="22"/>
              </w:rPr>
              <w:t>2024</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59793D4D" w14:textId="77777777" w:rsidR="00DE3EE8" w:rsidRPr="002B7E6B" w:rsidRDefault="00DE3EE8" w:rsidP="005A5ABD">
            <w:pPr>
              <w:rPr>
                <w:sz w:val="22"/>
                <w:szCs w:val="22"/>
              </w:rPr>
            </w:pPr>
            <w:r w:rsidRPr="002B7E6B">
              <w:rPr>
                <w:sz w:val="22"/>
                <w:szCs w:val="22"/>
              </w:rPr>
              <w:t xml:space="preserve"> </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1B31889E" w14:textId="77777777" w:rsidR="00DE3EE8" w:rsidRPr="002B7E6B" w:rsidRDefault="00DE3EE8" w:rsidP="005A5ABD">
            <w:pPr>
              <w:rPr>
                <w:sz w:val="22"/>
                <w:szCs w:val="22"/>
              </w:rPr>
            </w:pPr>
            <w:r w:rsidRPr="002B7E6B">
              <w:rPr>
                <w:sz w:val="22"/>
                <w:szCs w:val="22"/>
              </w:rPr>
              <w:t>1,311</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5652E07A" w14:textId="77777777" w:rsidR="00DE3EE8" w:rsidRPr="002B7E6B" w:rsidRDefault="00DE3EE8" w:rsidP="005A5ABD">
            <w:pPr>
              <w:rPr>
                <w:sz w:val="22"/>
                <w:szCs w:val="22"/>
              </w:rPr>
            </w:pPr>
            <w:r w:rsidRPr="002B7E6B">
              <w:rPr>
                <w:sz w:val="22"/>
                <w:szCs w:val="22"/>
              </w:rPr>
              <w:t>984</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447A824F" w14:textId="77777777" w:rsidR="00DE3EE8" w:rsidRPr="002B7E6B" w:rsidRDefault="00DE3EE8" w:rsidP="005A5ABD">
            <w:pPr>
              <w:rPr>
                <w:sz w:val="22"/>
                <w:szCs w:val="22"/>
              </w:rPr>
            </w:pPr>
            <w:r w:rsidRPr="002B7E6B">
              <w:rPr>
                <w:sz w:val="22"/>
                <w:szCs w:val="22"/>
              </w:rPr>
              <w:t xml:space="preserve"> </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2AE5F04F" w14:textId="77777777" w:rsidR="00DE3EE8" w:rsidRPr="002B7E6B" w:rsidRDefault="00DE3EE8" w:rsidP="005A5ABD">
            <w:pPr>
              <w:rPr>
                <w:sz w:val="22"/>
                <w:szCs w:val="22"/>
              </w:rPr>
            </w:pPr>
            <w:r w:rsidRPr="002B7E6B">
              <w:rPr>
                <w:sz w:val="22"/>
                <w:szCs w:val="22"/>
              </w:rPr>
              <w:t xml:space="preserve"> </w:t>
            </w:r>
          </w:p>
        </w:tc>
      </w:tr>
    </w:tbl>
    <w:p w14:paraId="1CA56ECF" w14:textId="77777777" w:rsidR="00DE3EE8" w:rsidRPr="002B7E6B" w:rsidRDefault="00DE3EE8" w:rsidP="00DE3EE8">
      <w:pPr>
        <w:rPr>
          <w:sz w:val="22"/>
          <w:szCs w:val="22"/>
        </w:rPr>
      </w:pPr>
    </w:p>
    <w:p w14:paraId="1198BFE9" w14:textId="77777777" w:rsidR="00DE3EE8" w:rsidRPr="002B7E6B" w:rsidRDefault="00DE3EE8" w:rsidP="00DE3EE8">
      <w:pPr>
        <w:spacing w:before="240" w:after="240"/>
        <w:rPr>
          <w:sz w:val="22"/>
          <w:szCs w:val="22"/>
        </w:rPr>
      </w:pPr>
      <w:r w:rsidRPr="002B7E6B">
        <w:rPr>
          <w:color w:val="222222"/>
          <w:sz w:val="22"/>
          <w:szCs w:val="22"/>
        </w:rPr>
        <w:t xml:space="preserve">For more information contact </w:t>
      </w:r>
      <w:r w:rsidRPr="002B7E6B">
        <w:rPr>
          <w:sz w:val="22"/>
          <w:szCs w:val="22"/>
        </w:rPr>
        <w:t>Melissa Haltuch melissa.haltuch@noaa.gov and Sandra Lowe sandra.lowe@noaa.gov</w:t>
      </w:r>
    </w:p>
    <w:p w14:paraId="2C0716C7" w14:textId="77777777" w:rsidR="00DE3EE8" w:rsidRPr="002B7E6B" w:rsidRDefault="00DE3EE8" w:rsidP="00DE3EE8">
      <w:pPr>
        <w:rPr>
          <w:sz w:val="22"/>
          <w:szCs w:val="22"/>
        </w:rPr>
      </w:pPr>
    </w:p>
    <w:p w14:paraId="27018E8F" w14:textId="77777777" w:rsidR="00DE3EE8" w:rsidRPr="002B7E6B" w:rsidRDefault="00DE3EE8" w:rsidP="00DE3EE8">
      <w:pPr>
        <w:pStyle w:val="Heading3"/>
        <w:keepNext w:val="0"/>
        <w:keepLines w:val="0"/>
        <w:numPr>
          <w:ilvl w:val="0"/>
          <w:numId w:val="4"/>
        </w:numPr>
        <w:spacing w:before="0" w:after="0"/>
        <w:rPr>
          <w:rFonts w:cs="Times New Roman"/>
          <w:sz w:val="22"/>
          <w:szCs w:val="22"/>
        </w:rPr>
      </w:pPr>
      <w:r w:rsidRPr="002B7E6B">
        <w:rPr>
          <w:rFonts w:cs="Times New Roman"/>
          <w:sz w:val="22"/>
          <w:szCs w:val="22"/>
        </w:rPr>
        <w:t xml:space="preserve"> </w:t>
      </w:r>
      <w:bookmarkStart w:id="46" w:name="_Toc131503821"/>
      <w:r w:rsidRPr="002B7E6B">
        <w:rPr>
          <w:rFonts w:cs="Times New Roman"/>
          <w:sz w:val="22"/>
          <w:szCs w:val="22"/>
        </w:rPr>
        <w:t>Pacific Cod</w:t>
      </w:r>
      <w:bookmarkEnd w:id="46"/>
    </w:p>
    <w:p w14:paraId="01C6DB9F" w14:textId="77777777" w:rsidR="00DE3EE8" w:rsidRPr="002B7E6B" w:rsidRDefault="00DE3EE8" w:rsidP="00DE3EE8">
      <w:pPr>
        <w:rPr>
          <w:sz w:val="22"/>
          <w:szCs w:val="22"/>
        </w:rPr>
      </w:pPr>
    </w:p>
    <w:p w14:paraId="44E403CE" w14:textId="680189B4" w:rsidR="00DE3EE8" w:rsidRPr="002B7E6B" w:rsidRDefault="00DE3EE8" w:rsidP="002C1E2B">
      <w:pPr>
        <w:pStyle w:val="Heading4"/>
        <w:numPr>
          <w:ilvl w:val="3"/>
          <w:numId w:val="4"/>
        </w:numPr>
        <w:ind w:left="360"/>
        <w:rPr>
          <w:szCs w:val="22"/>
        </w:rPr>
      </w:pPr>
      <w:bookmarkStart w:id="47" w:name="_Toc131503822"/>
      <w:r w:rsidRPr="002B7E6B">
        <w:rPr>
          <w:szCs w:val="22"/>
        </w:rPr>
        <w:t>Research</w:t>
      </w:r>
      <w:bookmarkEnd w:id="47"/>
    </w:p>
    <w:p w14:paraId="7A72D3A5" w14:textId="77777777" w:rsidR="00DE3EE8" w:rsidRPr="002B7E6B" w:rsidRDefault="00DE3EE8" w:rsidP="00DE3EE8">
      <w:pPr>
        <w:rPr>
          <w:sz w:val="22"/>
          <w:szCs w:val="22"/>
        </w:rPr>
      </w:pPr>
    </w:p>
    <w:p w14:paraId="222E61AC" w14:textId="6D66F4EA" w:rsidR="00DE3EE8" w:rsidRDefault="00DE3EE8" w:rsidP="002140E8">
      <w:pPr>
        <w:pStyle w:val="Heading5"/>
      </w:pPr>
      <w:bookmarkStart w:id="48" w:name="_Toc131503823"/>
      <w:r w:rsidRPr="002B7E6B">
        <w:t>Multiple AFSC research activities regarding Pacific cod</w:t>
      </w:r>
      <w:r w:rsidR="0024271A" w:rsidRPr="002B7E6B">
        <w:rPr>
          <w:sz w:val="22"/>
          <w:szCs w:val="22"/>
        </w:rPr>
        <w:t xml:space="preserve"> – </w:t>
      </w:r>
      <w:r w:rsidRPr="002B7E6B">
        <w:t>REFM</w:t>
      </w:r>
      <w:r w:rsidR="0024271A">
        <w:t>/</w:t>
      </w:r>
      <w:r w:rsidRPr="002B7E6B">
        <w:t>RACE</w:t>
      </w:r>
      <w:r w:rsidR="0024271A">
        <w:t>/</w:t>
      </w:r>
      <w:r w:rsidRPr="002B7E6B">
        <w:t>ABL</w:t>
      </w:r>
      <w:bookmarkEnd w:id="48"/>
    </w:p>
    <w:p w14:paraId="0B7E8E7C" w14:textId="77777777" w:rsidR="002140E8" w:rsidRPr="002140E8" w:rsidRDefault="002140E8" w:rsidP="002140E8"/>
    <w:p w14:paraId="6865B95B" w14:textId="77777777" w:rsidR="00DE3EE8" w:rsidRPr="002B7E6B" w:rsidRDefault="00DE3EE8" w:rsidP="00DE3EE8">
      <w:pPr>
        <w:rPr>
          <w:sz w:val="22"/>
          <w:szCs w:val="22"/>
        </w:rPr>
      </w:pPr>
      <w:bookmarkStart w:id="49" w:name="_heading=h.32hioqz" w:colFirst="0" w:colLast="0"/>
      <w:bookmarkEnd w:id="49"/>
      <w:r w:rsidRPr="002B7E6B">
        <w:rPr>
          <w:sz w:val="22"/>
          <w:szCs w:val="22"/>
        </w:rPr>
        <w:t xml:space="preserve">There have been dramatic developments regarding the Pacific cod populations in Alaskan waters over the last few years. In the BSAI region, there is strong evidence that cod moved north in the Bering Sea when temperatures were warm and ice cover was reduced. In the GOA region, the mid-decade marine heat wave appears to have negatively </w:t>
      </w:r>
      <w:proofErr w:type="gramStart"/>
      <w:r w:rsidRPr="002B7E6B">
        <w:rPr>
          <w:sz w:val="22"/>
          <w:szCs w:val="22"/>
        </w:rPr>
        <w:t>impacted</w:t>
      </w:r>
      <w:proofErr w:type="gramEnd"/>
      <w:r w:rsidRPr="002B7E6B">
        <w:rPr>
          <w:sz w:val="22"/>
          <w:szCs w:val="22"/>
        </w:rPr>
        <w:t xml:space="preserve"> the cod stock with lingering aftereffects. For these reasons and others, Pacific cod have become a major research focus for the AFSC.</w:t>
      </w:r>
    </w:p>
    <w:p w14:paraId="2184C8E7" w14:textId="77777777" w:rsidR="00DE3EE8" w:rsidRPr="002B7E6B" w:rsidRDefault="00DE3EE8" w:rsidP="00DE3EE8">
      <w:pPr>
        <w:rPr>
          <w:sz w:val="22"/>
          <w:szCs w:val="22"/>
        </w:rPr>
      </w:pPr>
      <w:bookmarkStart w:id="50" w:name="_heading=h.1hmsyys" w:colFirst="0" w:colLast="0"/>
      <w:bookmarkEnd w:id="50"/>
    </w:p>
    <w:p w14:paraId="7E1C0E85" w14:textId="77777777" w:rsidR="00DE3EE8" w:rsidRPr="002B7E6B" w:rsidRDefault="00DE3EE8" w:rsidP="00DE3EE8">
      <w:pPr>
        <w:rPr>
          <w:sz w:val="22"/>
          <w:szCs w:val="22"/>
        </w:rPr>
      </w:pPr>
      <w:bookmarkStart w:id="51" w:name="_heading=h.vx1227" w:colFirst="0" w:colLast="0"/>
      <w:bookmarkEnd w:id="51"/>
      <w:r w:rsidRPr="002B7E6B">
        <w:rPr>
          <w:sz w:val="22"/>
          <w:szCs w:val="22"/>
        </w:rPr>
        <w:t xml:space="preserve">Cod appear unique in their spatial distribution, migration patterns, and sensitivity to temperature. The projects outlined here are designed to test and implement the performance of an ecosystem-based fisheries management approach for Pacific cod in the eastern Bering Sea (EBS), Aleutian Islands (AI), and GOA and to examine key mechanisms governing the past, </w:t>
      </w:r>
      <w:proofErr w:type="gramStart"/>
      <w:r w:rsidRPr="002B7E6B">
        <w:rPr>
          <w:sz w:val="22"/>
          <w:szCs w:val="22"/>
        </w:rPr>
        <w:t>current,</w:t>
      </w:r>
      <w:proofErr w:type="gramEnd"/>
      <w:r w:rsidRPr="002B7E6B">
        <w:rPr>
          <w:sz w:val="22"/>
          <w:szCs w:val="22"/>
        </w:rPr>
        <w:t xml:space="preserve"> and future role of climate variability and change on the distribution and abundance of Pacific cod stocks. Tagging work conducted in 2021 has shown that a large proportion of cod tagged in the western Gulf of Alaska moved as far north as the northern Bering Sea. More work </w:t>
      </w:r>
      <w:proofErr w:type="gramStart"/>
      <w:r w:rsidRPr="002B7E6B">
        <w:rPr>
          <w:sz w:val="22"/>
          <w:szCs w:val="22"/>
        </w:rPr>
        <w:t>is needed</w:t>
      </w:r>
      <w:proofErr w:type="gramEnd"/>
      <w:r w:rsidRPr="002B7E6B">
        <w:rPr>
          <w:sz w:val="22"/>
          <w:szCs w:val="22"/>
        </w:rPr>
        <w:t xml:space="preserve"> to understand spawning and migration patterns and responses to climate change that can be integrated into model projections. </w:t>
      </w:r>
    </w:p>
    <w:p w14:paraId="156604E5" w14:textId="77777777" w:rsidR="00DE3EE8" w:rsidRPr="002B7E6B" w:rsidRDefault="00DE3EE8" w:rsidP="00DE3EE8">
      <w:pPr>
        <w:rPr>
          <w:sz w:val="22"/>
          <w:szCs w:val="22"/>
        </w:rPr>
      </w:pPr>
      <w:bookmarkStart w:id="52" w:name="_heading=h.19mpkgjzovp4" w:colFirst="0" w:colLast="0"/>
      <w:bookmarkEnd w:id="52"/>
    </w:p>
    <w:p w14:paraId="05D69358" w14:textId="77777777" w:rsidR="00DE3EE8" w:rsidRPr="002B7E6B" w:rsidRDefault="00DE3EE8" w:rsidP="00DE3EE8">
      <w:pPr>
        <w:rPr>
          <w:sz w:val="22"/>
          <w:szCs w:val="22"/>
        </w:rPr>
      </w:pPr>
      <w:bookmarkStart w:id="53" w:name="_heading=h.1v1yuxt" w:colFirst="0" w:colLast="0"/>
      <w:bookmarkEnd w:id="53"/>
      <w:r w:rsidRPr="002B7E6B">
        <w:rPr>
          <w:sz w:val="22"/>
          <w:szCs w:val="22"/>
        </w:rPr>
        <w:t xml:space="preserve">The research activities listed below </w:t>
      </w:r>
      <w:proofErr w:type="gramStart"/>
      <w:r w:rsidRPr="002B7E6B">
        <w:rPr>
          <w:sz w:val="22"/>
          <w:szCs w:val="22"/>
        </w:rPr>
        <w:t>are designed</w:t>
      </w:r>
      <w:proofErr w:type="gramEnd"/>
      <w:r w:rsidRPr="002B7E6B">
        <w:rPr>
          <w:sz w:val="22"/>
          <w:szCs w:val="22"/>
        </w:rPr>
        <w:t xml:space="preserve"> to provide resolution to pressing issues related to Pacific cod:</w:t>
      </w:r>
    </w:p>
    <w:p w14:paraId="13DF5BC2" w14:textId="77777777" w:rsidR="00DE3EE8" w:rsidRPr="002B7E6B" w:rsidRDefault="00DE3EE8" w:rsidP="00DE3EE8">
      <w:pPr>
        <w:rPr>
          <w:sz w:val="22"/>
          <w:szCs w:val="22"/>
        </w:rPr>
      </w:pPr>
    </w:p>
    <w:p w14:paraId="10B3B721" w14:textId="6575D645" w:rsidR="00DE3EE8" w:rsidRPr="002B7E6B" w:rsidRDefault="00DE3EE8" w:rsidP="00DE3EE8">
      <w:pPr>
        <w:rPr>
          <w:sz w:val="22"/>
          <w:szCs w:val="22"/>
        </w:rPr>
      </w:pPr>
      <w:bookmarkStart w:id="54" w:name="_heading=h.4f1mdlm" w:colFirst="0" w:colLast="0"/>
      <w:bookmarkEnd w:id="54"/>
      <w:r w:rsidRPr="002B7E6B">
        <w:rPr>
          <w:sz w:val="22"/>
          <w:szCs w:val="22"/>
        </w:rPr>
        <w:t>a. Pacific cod juveniles in the Chukchi Sea</w:t>
      </w:r>
      <w:r w:rsidR="0024271A">
        <w:rPr>
          <w:sz w:val="22"/>
          <w:szCs w:val="22"/>
        </w:rPr>
        <w:t xml:space="preserve"> – </w:t>
      </w:r>
      <w:r w:rsidRPr="002B7E6B">
        <w:rPr>
          <w:sz w:val="22"/>
          <w:szCs w:val="22"/>
        </w:rPr>
        <w:t>RPP</w:t>
      </w:r>
      <w:r w:rsidR="0024271A">
        <w:rPr>
          <w:sz w:val="22"/>
          <w:szCs w:val="22"/>
        </w:rPr>
        <w:t xml:space="preserve"> (</w:t>
      </w:r>
      <w:bookmarkStart w:id="55" w:name="_heading=h.iyyjpletjhnx" w:colFirst="0" w:colLast="0"/>
      <w:bookmarkEnd w:id="55"/>
      <w:r w:rsidRPr="002B7E6B">
        <w:rPr>
          <w:sz w:val="22"/>
          <w:szCs w:val="22"/>
        </w:rPr>
        <w:t>Dan Cooper, Kris Cieciel, Louise Copeman, Libby Logerwell, Pavel Emelin, Robert Levine, Robert Lauth, Lyle Britt, Rebecca Woodgate, Jesse Lamb, Ben Laurel, Nissa Ferm, Johanna Vollenweider, and Alexei Orlov</w:t>
      </w:r>
      <w:r w:rsidR="0024271A">
        <w:rPr>
          <w:sz w:val="22"/>
          <w:szCs w:val="22"/>
        </w:rPr>
        <w:t>)</w:t>
      </w:r>
      <w:r w:rsidRPr="002B7E6B">
        <w:rPr>
          <w:sz w:val="22"/>
          <w:szCs w:val="22"/>
        </w:rPr>
        <w:t>.</w:t>
      </w:r>
    </w:p>
    <w:p w14:paraId="59851EAA" w14:textId="77777777" w:rsidR="00DE3EE8" w:rsidRPr="002B7E6B" w:rsidRDefault="00DE3EE8" w:rsidP="00DE3EE8">
      <w:pPr>
        <w:rPr>
          <w:sz w:val="22"/>
          <w:szCs w:val="22"/>
        </w:rPr>
      </w:pPr>
      <w:bookmarkStart w:id="56" w:name="_heading=h.xe5rfjlls297" w:colFirst="0" w:colLast="0"/>
      <w:bookmarkEnd w:id="56"/>
    </w:p>
    <w:p w14:paraId="62F64A01" w14:textId="77777777" w:rsidR="00DE3EE8" w:rsidRPr="002B7E6B" w:rsidRDefault="00DE3EE8" w:rsidP="00DE3EE8">
      <w:pPr>
        <w:rPr>
          <w:sz w:val="22"/>
          <w:szCs w:val="22"/>
        </w:rPr>
      </w:pPr>
      <w:bookmarkStart w:id="57" w:name="_heading=h.yt0za4lj2hsh" w:colFirst="0" w:colLast="0"/>
      <w:bookmarkEnd w:id="57"/>
      <w:r w:rsidRPr="002B7E6B">
        <w:rPr>
          <w:sz w:val="22"/>
          <w:szCs w:val="22"/>
        </w:rPr>
        <w:t xml:space="preserve">Past data have shown that the spatial distribution of Pacific cod shifted northward in the Bering Sea between 2010 and 2017, during the recent warm period (Stevenson and Lauth, 2019).  In the Chukchi Sea, however, although Pacific cod juveniles have historically been present in some years, there are no known (to us) records of adults. From 2010 to 2019, we surveyed the eastern and western Chukchi Sea using a variety of trawl gears. We use length modes of juvenile Pacific cod to assign fish to age-0 and age-1 age classes.  Age-0 Pacific cod were present in the eastern Chukchi Sea in 2017 and 2019, but were absent in 2012.  Our data show that age-0 fish in the eastern Chukchi Sea use both pelagic and benthic habitat to feed on different prey resources, however fatty acid analysis indicates that the fish may move </w:t>
      </w:r>
      <w:r w:rsidRPr="002B7E6B">
        <w:rPr>
          <w:sz w:val="22"/>
          <w:szCs w:val="22"/>
        </w:rPr>
        <w:lastRenderedPageBreak/>
        <w:t xml:space="preserve">between pelagic and benthic habitat, and poor lipid accumulation by juvenile fish may lead to high mortality.  Age-1 fish were present in the eastern Chukchi Sea in 2012, and in the western Chukchi Sea in 2018 and 2019, suggesting that the 2011, 2017, and </w:t>
      </w:r>
      <w:proofErr w:type="gramStart"/>
      <w:r w:rsidRPr="002B7E6B">
        <w:rPr>
          <w:sz w:val="22"/>
          <w:szCs w:val="22"/>
        </w:rPr>
        <w:t>2018 year</w:t>
      </w:r>
      <w:proofErr w:type="gramEnd"/>
      <w:r w:rsidRPr="002B7E6B">
        <w:rPr>
          <w:sz w:val="22"/>
          <w:szCs w:val="22"/>
        </w:rPr>
        <w:t xml:space="preserve"> classes either successfully recruited to the Chukchi Sea and overwintered, or moved into the Chukchi Sea from the northern Bering Sea.  We suggest that age-0 recruitment to the eastern or western Chukchi Sea is associated with warm temperatures and increased northward transport through the Bering Strait in the spring, when Pacific cod larvae are present in the northern Bering Sea.  We found no evidence that Pacific cod juveniles in the Chukchi Sea survive past age-1.  The first known (to us) adult Pacific cod were present in the western Chukchi Sea in 2018 and 2019, although estimated densities were very low.  One adult Pacific cod was caught in the eastern Chukchi Sea in </w:t>
      </w:r>
      <w:proofErr w:type="gramStart"/>
      <w:r w:rsidRPr="002B7E6B">
        <w:rPr>
          <w:sz w:val="22"/>
          <w:szCs w:val="22"/>
        </w:rPr>
        <w:t>2019,</w:t>
      </w:r>
      <w:proofErr w:type="gramEnd"/>
      <w:r w:rsidRPr="002B7E6B">
        <w:rPr>
          <w:sz w:val="22"/>
          <w:szCs w:val="22"/>
        </w:rPr>
        <w:t xml:space="preserve"> however estimated densities in the eastern Chukchi Sea are unknown due to lack of monitoring with a benthic trawl capable of catching adult fish.  It is unknown whether the Pacific cod observed in the Chukchi Sea will perish, migrate somewhere else, or survive in the Chukchi Sea as part of a further northward range expansion.  </w:t>
      </w:r>
    </w:p>
    <w:p w14:paraId="1D81F7EF" w14:textId="77777777" w:rsidR="00DE3EE8" w:rsidRPr="002B7E6B" w:rsidRDefault="00DE3EE8" w:rsidP="00DE3EE8">
      <w:pPr>
        <w:rPr>
          <w:sz w:val="22"/>
          <w:szCs w:val="22"/>
        </w:rPr>
      </w:pPr>
      <w:bookmarkStart w:id="58" w:name="_heading=h.5hywjviccfo3" w:colFirst="0" w:colLast="0"/>
      <w:bookmarkEnd w:id="58"/>
    </w:p>
    <w:p w14:paraId="195F7FFF" w14:textId="77777777" w:rsidR="00DE3EE8" w:rsidRPr="002B7E6B" w:rsidRDefault="00DE3EE8" w:rsidP="00DE3EE8">
      <w:pPr>
        <w:rPr>
          <w:sz w:val="22"/>
          <w:szCs w:val="22"/>
        </w:rPr>
      </w:pPr>
      <w:bookmarkStart w:id="59" w:name="_heading=h.byqvp44pbyjj" w:colFirst="0" w:colLast="0"/>
      <w:bookmarkStart w:id="60" w:name="_heading=h.b14ldhtfe8yf" w:colFirst="0" w:colLast="0"/>
      <w:bookmarkEnd w:id="59"/>
      <w:bookmarkEnd w:id="60"/>
      <w:r w:rsidRPr="002B7E6B">
        <w:rPr>
          <w:noProof/>
          <w:sz w:val="22"/>
          <w:szCs w:val="22"/>
        </w:rPr>
        <w:lastRenderedPageBreak/>
        <w:drawing>
          <wp:inline distT="114300" distB="114300" distL="114300" distR="114300" wp14:anchorId="28769F8B" wp14:editId="69D3626C">
            <wp:extent cx="6115050" cy="9029700"/>
            <wp:effectExtent l="0" t="0" r="0" b="0"/>
            <wp:docPr id="7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1"/>
                    <a:srcRect/>
                    <a:stretch>
                      <a:fillRect/>
                    </a:stretch>
                  </pic:blipFill>
                  <pic:spPr>
                    <a:xfrm>
                      <a:off x="0" y="0"/>
                      <a:ext cx="6115050" cy="9029700"/>
                    </a:xfrm>
                    <a:prstGeom prst="rect">
                      <a:avLst/>
                    </a:prstGeom>
                    <a:ln/>
                  </pic:spPr>
                </pic:pic>
              </a:graphicData>
            </a:graphic>
          </wp:inline>
        </w:drawing>
      </w:r>
      <w:r w:rsidRPr="002B7E6B">
        <w:rPr>
          <w:sz w:val="22"/>
          <w:szCs w:val="22"/>
        </w:rPr>
        <w:lastRenderedPageBreak/>
        <w:t>Figure 1.  Age-0 Pacific cod catch per unit effort and bottom temperature interpolations from 2012, 2017, and 2019.</w:t>
      </w:r>
    </w:p>
    <w:p w14:paraId="7FBE216A" w14:textId="77777777" w:rsidR="00DE3EE8" w:rsidRPr="002B7E6B" w:rsidRDefault="00DE3EE8" w:rsidP="00DE3EE8">
      <w:pPr>
        <w:rPr>
          <w:sz w:val="22"/>
          <w:szCs w:val="22"/>
        </w:rPr>
      </w:pPr>
      <w:bookmarkStart w:id="61" w:name="_heading=h.9hsonmx7tc0h" w:colFirst="0" w:colLast="0"/>
      <w:bookmarkEnd w:id="61"/>
    </w:p>
    <w:p w14:paraId="07E85A17" w14:textId="77777777" w:rsidR="00DE3EE8" w:rsidRPr="002B7E6B" w:rsidRDefault="00DE3EE8" w:rsidP="00DE3EE8">
      <w:pPr>
        <w:rPr>
          <w:sz w:val="22"/>
          <w:szCs w:val="22"/>
        </w:rPr>
      </w:pPr>
      <w:bookmarkStart w:id="62" w:name="_heading=h.w0v63j6ba8uc" w:colFirst="0" w:colLast="0"/>
      <w:bookmarkStart w:id="63" w:name="_heading=h.i9w1c3g1ve61" w:colFirst="0" w:colLast="0"/>
      <w:bookmarkEnd w:id="62"/>
      <w:bookmarkEnd w:id="63"/>
      <w:r w:rsidRPr="002B7E6B">
        <w:rPr>
          <w:sz w:val="22"/>
          <w:szCs w:val="22"/>
        </w:rPr>
        <w:t>b. Bioinformatics support to prepare GTseq panel for rapid identification of spawning population of origin of Pacific cod: Ongoing work since 2017 (funded by a Saltonstall-Kennedy grant and AFSC) has successfully sequenced the whole genome of 384 cod throughout their range in Alaska and development of a genotyping-by-sequencing panel (GTseq) is underway. The GTseq panel will incorporate several hundred SNPs that identify Pacific cod to their spawning population of origin.</w:t>
      </w:r>
    </w:p>
    <w:p w14:paraId="77D4EBFC" w14:textId="77777777" w:rsidR="00DE3EE8" w:rsidRPr="002B7E6B" w:rsidRDefault="00DE3EE8" w:rsidP="00DE3EE8">
      <w:pPr>
        <w:rPr>
          <w:sz w:val="22"/>
          <w:szCs w:val="22"/>
        </w:rPr>
      </w:pPr>
      <w:bookmarkStart w:id="64" w:name="_heading=h.2u6wntf" w:colFirst="0" w:colLast="0"/>
      <w:bookmarkEnd w:id="64"/>
    </w:p>
    <w:p w14:paraId="4DB6012D" w14:textId="2D9555FB" w:rsidR="00DE3EE8" w:rsidRPr="002B7E6B" w:rsidRDefault="0024271A" w:rsidP="00DE3EE8">
      <w:pPr>
        <w:rPr>
          <w:sz w:val="22"/>
          <w:szCs w:val="22"/>
        </w:rPr>
      </w:pPr>
      <w:bookmarkStart w:id="65" w:name="_heading=h.19c6y18" w:colFirst="0" w:colLast="0"/>
      <w:bookmarkStart w:id="66" w:name="_heading=h.28h4qwu" w:colFirst="0" w:colLast="0"/>
      <w:bookmarkEnd w:id="65"/>
      <w:bookmarkEnd w:id="66"/>
      <w:r>
        <w:rPr>
          <w:sz w:val="22"/>
          <w:szCs w:val="22"/>
        </w:rPr>
        <w:t>c</w:t>
      </w:r>
      <w:r w:rsidR="00DE3EE8" w:rsidRPr="002B7E6B">
        <w:rPr>
          <w:sz w:val="22"/>
          <w:szCs w:val="22"/>
        </w:rPr>
        <w:t xml:space="preserve">. Incorporating Pacific cod novel spatial dynamics in the stock assessment model: During recent years, </w:t>
      </w:r>
      <w:proofErr w:type="gramStart"/>
      <w:r w:rsidR="00DE3EE8" w:rsidRPr="002B7E6B">
        <w:rPr>
          <w:sz w:val="22"/>
          <w:szCs w:val="22"/>
        </w:rPr>
        <w:t>Pacific cod movement patterns</w:t>
      </w:r>
      <w:proofErr w:type="gramEnd"/>
      <w:r w:rsidR="00DE3EE8" w:rsidRPr="002B7E6B">
        <w:rPr>
          <w:sz w:val="22"/>
          <w:szCs w:val="22"/>
        </w:rPr>
        <w:t xml:space="preserve"> have changed in the EBS, increasing the displacement northwards into the NBS. These patterns are expected to persist in future due to global climate change, and will cause changes in several aspects of the cod population dynamics such as spawning and recruitment areas and natural mortality rates, aspects that need to be considered in the assessment. The </w:t>
      </w:r>
      <w:proofErr w:type="gramStart"/>
      <w:r w:rsidR="00DE3EE8" w:rsidRPr="002B7E6B">
        <w:rPr>
          <w:sz w:val="22"/>
          <w:szCs w:val="22"/>
        </w:rPr>
        <w:t>Pacific cod stock assessment</w:t>
      </w:r>
      <w:proofErr w:type="gramEnd"/>
      <w:r w:rsidR="00DE3EE8" w:rsidRPr="002B7E6B">
        <w:rPr>
          <w:sz w:val="22"/>
          <w:szCs w:val="22"/>
        </w:rPr>
        <w:t xml:space="preserve"> is implemented in Stock Synthesis (SS), a flexible modeling platform that allows for a wide range of data types, including movement patterns. Using SS and information from previous and ongoing studies, we evaluate the effects of observed spatial patterns on stock assessment outputs by simulating: i) spatial changes in spawning grounds and recruitment areas, and ii) variations in survival and growth of new recruits. </w:t>
      </w:r>
      <w:proofErr w:type="gramStart"/>
      <w:r w:rsidR="00DE3EE8" w:rsidRPr="002B7E6B">
        <w:rPr>
          <w:sz w:val="22"/>
          <w:szCs w:val="22"/>
        </w:rPr>
        <w:t>Also</w:t>
      </w:r>
      <w:proofErr w:type="gramEnd"/>
      <w:r w:rsidR="00DE3EE8" w:rsidRPr="002B7E6B">
        <w:rPr>
          <w:sz w:val="22"/>
          <w:szCs w:val="22"/>
        </w:rPr>
        <w:t>, we will evaluate effective ways to incorporate this complex spatial dynamic into the stock assessment model. The results of this effort will provide an important improvement to the current assessment and plan for future consequences to the productivity of the stock.</w:t>
      </w:r>
    </w:p>
    <w:p w14:paraId="5A57EEBE" w14:textId="77777777" w:rsidR="00DE3EE8" w:rsidRPr="002B7E6B" w:rsidRDefault="00DE3EE8" w:rsidP="00DE3EE8">
      <w:pPr>
        <w:rPr>
          <w:sz w:val="22"/>
          <w:szCs w:val="22"/>
        </w:rPr>
      </w:pPr>
      <w:bookmarkStart w:id="67" w:name="_heading=h.nmf14n" w:colFirst="0" w:colLast="0"/>
      <w:bookmarkEnd w:id="67"/>
    </w:p>
    <w:p w14:paraId="7A6ECF3A" w14:textId="1947A054" w:rsidR="00DE3EE8" w:rsidRPr="002B7E6B" w:rsidRDefault="0024271A" w:rsidP="00DE3EE8">
      <w:pPr>
        <w:rPr>
          <w:sz w:val="22"/>
          <w:szCs w:val="22"/>
        </w:rPr>
      </w:pPr>
      <w:bookmarkStart w:id="68" w:name="_heading=h.37m2jsg" w:colFirst="0" w:colLast="0"/>
      <w:bookmarkEnd w:id="68"/>
      <w:r>
        <w:rPr>
          <w:sz w:val="22"/>
          <w:szCs w:val="22"/>
        </w:rPr>
        <w:t>d</w:t>
      </w:r>
      <w:r w:rsidR="00DE3EE8" w:rsidRPr="002B7E6B">
        <w:rPr>
          <w:sz w:val="22"/>
          <w:szCs w:val="22"/>
        </w:rPr>
        <w:t xml:space="preserve">. Understanding Pacific cod availability to survey vs. fishery: This work will analyze existing fishery and survey catch data from EBS and Aleutian Islands including spatial and temporal comparison of catch rates and length distribution and existing tag data (conventional, PSAT, and archival) to better understand cod availability to the survey vs. fishery. Project will incorporate existing selectivity ratio estimation methodology developed by Kotwicki and will result in a peer-reviewed publication and priors for stock assessment. Further, this study will incorporate food habits data to identify occurrences of midwater species prey. </w:t>
      </w:r>
    </w:p>
    <w:p w14:paraId="0810ECF8" w14:textId="77777777" w:rsidR="00DE3EE8" w:rsidRPr="002B7E6B" w:rsidRDefault="00DE3EE8" w:rsidP="00DE3EE8">
      <w:pPr>
        <w:rPr>
          <w:sz w:val="22"/>
          <w:szCs w:val="22"/>
        </w:rPr>
      </w:pPr>
      <w:bookmarkStart w:id="69" w:name="_heading=h.1mrcu09" w:colFirst="0" w:colLast="0"/>
      <w:bookmarkEnd w:id="69"/>
    </w:p>
    <w:p w14:paraId="0C5F942E" w14:textId="27910486" w:rsidR="00DE3EE8" w:rsidRPr="002B7E6B" w:rsidRDefault="0024271A" w:rsidP="00DE3EE8">
      <w:pPr>
        <w:rPr>
          <w:sz w:val="22"/>
          <w:szCs w:val="22"/>
        </w:rPr>
      </w:pPr>
      <w:bookmarkStart w:id="70" w:name="_heading=h.46r0co2" w:colFirst="0" w:colLast="0"/>
      <w:bookmarkEnd w:id="70"/>
      <w:r>
        <w:rPr>
          <w:sz w:val="22"/>
          <w:szCs w:val="22"/>
        </w:rPr>
        <w:t>e</w:t>
      </w:r>
      <w:r w:rsidR="00DE3EE8" w:rsidRPr="002B7E6B">
        <w:rPr>
          <w:sz w:val="22"/>
          <w:szCs w:val="22"/>
        </w:rPr>
        <w:t xml:space="preserve">. Assessment of age-0 juvenile cod in the Western GOA: This is the </w:t>
      </w:r>
      <w:r>
        <w:rPr>
          <w:sz w:val="22"/>
          <w:szCs w:val="22"/>
        </w:rPr>
        <w:t>4th</w:t>
      </w:r>
      <w:r w:rsidR="00DE3EE8" w:rsidRPr="002B7E6B">
        <w:rPr>
          <w:sz w:val="22"/>
          <w:szCs w:val="22"/>
        </w:rPr>
        <w:t xml:space="preserve"> year of annual sampling using a beach seine in 0-3 m water along 13 different bays from the east side of Kodiak Island, the Alaska Peninsula, and into the Shumagin Islands. Sampling covers 72 fixed-site locations and 36 non-fixed sets of video surveys (baited cameras, 5</w:t>
      </w:r>
      <w:r>
        <w:rPr>
          <w:sz w:val="22"/>
          <w:szCs w:val="22"/>
        </w:rPr>
        <w:t xml:space="preserve"> – </w:t>
      </w:r>
      <w:r w:rsidR="00DE3EE8" w:rsidRPr="002B7E6B">
        <w:rPr>
          <w:sz w:val="22"/>
          <w:szCs w:val="22"/>
        </w:rPr>
        <w:t xml:space="preserve">20 m). The project provides CPUE data for age-0 Pacific cod and other key species. Age-0 Pacific cod length, weight, condition, diet, and tissue samples (for lipids and genetics) </w:t>
      </w:r>
      <w:proofErr w:type="gramStart"/>
      <w:r w:rsidR="00DE3EE8" w:rsidRPr="002B7E6B">
        <w:rPr>
          <w:sz w:val="22"/>
          <w:szCs w:val="22"/>
        </w:rPr>
        <w:t>are also obtained</w:t>
      </w:r>
      <w:proofErr w:type="gramEnd"/>
      <w:r w:rsidR="00DE3EE8" w:rsidRPr="002B7E6B">
        <w:rPr>
          <w:sz w:val="22"/>
          <w:szCs w:val="22"/>
        </w:rPr>
        <w:t xml:space="preserve"> from each of the 13 bays. This survey, along with a smaller-scale Kodiak survey, provides direct observations on the lingering effects of marine heatwaves on Pacific cod populations in the GOA at a spatial scale that overlaps with the presumed main spawning area of the region. This work is also a sampling platform for a funded genetics project to identify the natal spawning area of sampled juveniles. </w:t>
      </w:r>
    </w:p>
    <w:p w14:paraId="49C45106" w14:textId="77777777" w:rsidR="00DE3EE8" w:rsidRPr="002B7E6B" w:rsidRDefault="00DE3EE8" w:rsidP="00DE3EE8">
      <w:pPr>
        <w:rPr>
          <w:sz w:val="22"/>
          <w:szCs w:val="22"/>
        </w:rPr>
      </w:pPr>
      <w:bookmarkStart w:id="71" w:name="_heading=h.2lwamvv" w:colFirst="0" w:colLast="0"/>
      <w:bookmarkEnd w:id="71"/>
    </w:p>
    <w:p w14:paraId="0B652262" w14:textId="3E37267C" w:rsidR="00DE3EE8" w:rsidRPr="002B7E6B" w:rsidRDefault="0024271A" w:rsidP="00DE3EE8">
      <w:pPr>
        <w:rPr>
          <w:sz w:val="22"/>
          <w:szCs w:val="22"/>
        </w:rPr>
      </w:pPr>
      <w:bookmarkStart w:id="72" w:name="_heading=h.111kx3o" w:colFirst="0" w:colLast="0"/>
      <w:bookmarkEnd w:id="72"/>
      <w:r>
        <w:rPr>
          <w:sz w:val="22"/>
          <w:szCs w:val="22"/>
        </w:rPr>
        <w:t>f</w:t>
      </w:r>
      <w:r w:rsidR="00DE3EE8" w:rsidRPr="002B7E6B">
        <w:rPr>
          <w:sz w:val="22"/>
          <w:szCs w:val="22"/>
        </w:rPr>
        <w:t xml:space="preserve">. Can cod spawn </w:t>
      </w:r>
      <w:proofErr w:type="gramStart"/>
      <w:r w:rsidR="00DE3EE8" w:rsidRPr="002B7E6B">
        <w:rPr>
          <w:sz w:val="22"/>
          <w:szCs w:val="22"/>
        </w:rPr>
        <w:t>North</w:t>
      </w:r>
      <w:proofErr w:type="gramEnd"/>
      <w:r w:rsidR="00DE3EE8" w:rsidRPr="002B7E6B">
        <w:rPr>
          <w:sz w:val="22"/>
          <w:szCs w:val="22"/>
        </w:rPr>
        <w:t xml:space="preserve">? </w:t>
      </w:r>
      <w:proofErr w:type="gramStart"/>
      <w:r w:rsidR="00DE3EE8" w:rsidRPr="002B7E6B">
        <w:rPr>
          <w:sz w:val="22"/>
          <w:szCs w:val="22"/>
        </w:rPr>
        <w:t>Pacific cod larval and juvenile dispersal from the NBS: Using retrospective analyses on Pacific cod larval and juvenile distribution in the Bering Sea, we will: 1) statistically determine phenology and habitat features that correlate with Pacific cod larvae and juveniles, and 2) simulate larval dispersal trajectories, foraging, and growth, from newly putative spawning areas, using IBM and hindcast/forecast of existing ocean circulation models.</w:t>
      </w:r>
      <w:proofErr w:type="gramEnd"/>
      <w:r w:rsidR="00DE3EE8" w:rsidRPr="002B7E6B">
        <w:rPr>
          <w:sz w:val="22"/>
          <w:szCs w:val="22"/>
        </w:rPr>
        <w:t xml:space="preserve"> Simulations will include scenarios to address potential adaptive strategies, such as change in phenology and pelagic larval duration (PLD). These simulations will reveal whether new spawning activity northward of current spawning grounds is likely to be successful, given the foraging and nursery requirements of larval and juvenile cod, and whether there is adaptive potential (phenology, PLD) for establishing new spawning areas. Specifically this project will fund a post-doc for 1 year.</w:t>
      </w:r>
    </w:p>
    <w:p w14:paraId="31EE7F75" w14:textId="0D58300B" w:rsidR="00BD2341" w:rsidRPr="00BD2341" w:rsidRDefault="00BD2341" w:rsidP="00BD2341">
      <w:pPr>
        <w:pStyle w:val="NormalWeb"/>
        <w:spacing w:before="0" w:beforeAutospacing="0" w:after="0" w:afterAutospacing="0"/>
        <w:rPr>
          <w:sz w:val="22"/>
          <w:szCs w:val="22"/>
        </w:rPr>
      </w:pPr>
      <w:bookmarkStart w:id="73" w:name="_heading=h.3l18frh" w:colFirst="0" w:colLast="0"/>
      <w:bookmarkStart w:id="74" w:name="_heading=h.4k668n3" w:colFirst="0" w:colLast="0"/>
      <w:bookmarkEnd w:id="73"/>
      <w:bookmarkEnd w:id="74"/>
      <w:r>
        <w:rPr>
          <w:rFonts w:eastAsia="Arial"/>
          <w:sz w:val="22"/>
          <w:szCs w:val="22"/>
        </w:rPr>
        <w:lastRenderedPageBreak/>
        <w:t xml:space="preserve">g. </w:t>
      </w:r>
      <w:r w:rsidRPr="00BD2341">
        <w:rPr>
          <w:color w:val="222222"/>
          <w:sz w:val="22"/>
          <w:szCs w:val="22"/>
        </w:rPr>
        <w:t>Management stock structure of Pacific cod in the Gulf of Alaska</w:t>
      </w:r>
    </w:p>
    <w:p w14:paraId="259C6760" w14:textId="77777777" w:rsidR="00BD2341" w:rsidRPr="00BD2341" w:rsidRDefault="00BD2341" w:rsidP="00BD2341">
      <w:pPr>
        <w:pStyle w:val="NormalWeb"/>
        <w:shd w:val="clear" w:color="auto" w:fill="FFFFFF"/>
        <w:spacing w:before="0" w:beforeAutospacing="0" w:after="0" w:afterAutospacing="0"/>
        <w:rPr>
          <w:sz w:val="22"/>
          <w:szCs w:val="22"/>
        </w:rPr>
      </w:pPr>
      <w:r w:rsidRPr="00BD2341">
        <w:rPr>
          <w:color w:val="222222"/>
          <w:sz w:val="22"/>
          <w:szCs w:val="22"/>
        </w:rPr>
        <w:t>PI: Lorenzo Ciannelli, College of Earth, Ocean and Atmospheric Sciences, Oregon State University, Corvallis OR, 97330.</w:t>
      </w:r>
    </w:p>
    <w:p w14:paraId="7C369D5F" w14:textId="77777777" w:rsidR="00BD2341" w:rsidRPr="00BD2341" w:rsidRDefault="00BD2341" w:rsidP="00BD2341">
      <w:pPr>
        <w:pStyle w:val="NormalWeb"/>
        <w:shd w:val="clear" w:color="auto" w:fill="FFFFFF"/>
        <w:spacing w:before="0" w:beforeAutospacing="0" w:after="0" w:afterAutospacing="0"/>
        <w:rPr>
          <w:sz w:val="22"/>
          <w:szCs w:val="22"/>
        </w:rPr>
      </w:pPr>
      <w:r w:rsidRPr="00BD2341">
        <w:rPr>
          <w:color w:val="222222"/>
          <w:sz w:val="22"/>
          <w:szCs w:val="22"/>
        </w:rPr>
        <w:t xml:space="preserve">Email: </w:t>
      </w:r>
      <w:r w:rsidRPr="00BD2341">
        <w:rPr>
          <w:color w:val="000000"/>
          <w:sz w:val="22"/>
          <w:szCs w:val="22"/>
        </w:rPr>
        <w:t>lorenzo.ciannelli@oregonstate.edu</w:t>
      </w:r>
      <w:r w:rsidRPr="00BD2341">
        <w:rPr>
          <w:color w:val="222222"/>
          <w:sz w:val="22"/>
          <w:szCs w:val="22"/>
        </w:rPr>
        <w:t>, Tel: (541) 737-3142</w:t>
      </w:r>
    </w:p>
    <w:p w14:paraId="56403B00" w14:textId="77777777" w:rsidR="00BD2341" w:rsidRPr="00BD2341" w:rsidRDefault="00BD2341" w:rsidP="00BD2341">
      <w:pPr>
        <w:pStyle w:val="NormalWeb"/>
        <w:shd w:val="clear" w:color="auto" w:fill="FFFFFF"/>
        <w:spacing w:before="0" w:beforeAutospacing="0" w:after="0" w:afterAutospacing="0"/>
        <w:rPr>
          <w:sz w:val="22"/>
          <w:szCs w:val="22"/>
        </w:rPr>
      </w:pPr>
    </w:p>
    <w:p w14:paraId="792441A5" w14:textId="77777777" w:rsidR="00BD2341" w:rsidRPr="00BD2341" w:rsidRDefault="00BD2341" w:rsidP="00BD2341">
      <w:pPr>
        <w:pStyle w:val="NormalWeb"/>
        <w:shd w:val="clear" w:color="auto" w:fill="FFFFFF"/>
        <w:spacing w:before="0" w:beforeAutospacing="0" w:after="0" w:afterAutospacing="0"/>
        <w:rPr>
          <w:sz w:val="22"/>
          <w:szCs w:val="22"/>
        </w:rPr>
      </w:pPr>
      <w:r w:rsidRPr="00BD2341">
        <w:rPr>
          <w:color w:val="222222"/>
          <w:sz w:val="22"/>
          <w:szCs w:val="22"/>
        </w:rPr>
        <w:t>The primary objectives for this project are to:</w:t>
      </w:r>
    </w:p>
    <w:p w14:paraId="7EF73E30" w14:textId="77777777" w:rsidR="00BD2341" w:rsidRPr="00BD2341" w:rsidRDefault="00BD2341" w:rsidP="00BD2341">
      <w:pPr>
        <w:pStyle w:val="NormalWeb"/>
        <w:shd w:val="clear" w:color="auto" w:fill="FFFFFF"/>
        <w:spacing w:before="0" w:beforeAutospacing="0" w:after="0" w:afterAutospacing="0"/>
        <w:rPr>
          <w:sz w:val="22"/>
          <w:szCs w:val="22"/>
        </w:rPr>
      </w:pPr>
      <w:r w:rsidRPr="00BD2341">
        <w:rPr>
          <w:color w:val="222222"/>
          <w:sz w:val="22"/>
          <w:szCs w:val="22"/>
        </w:rPr>
        <w:t>1. Perform empirical retrospective analyses of Pacific cod over different life history stages.</w:t>
      </w:r>
    </w:p>
    <w:p w14:paraId="6E19C353" w14:textId="77777777" w:rsidR="00BD2341" w:rsidRPr="00BD2341" w:rsidRDefault="00BD2341" w:rsidP="00BD2341">
      <w:pPr>
        <w:pStyle w:val="NormalWeb"/>
        <w:shd w:val="clear" w:color="auto" w:fill="FFFFFF"/>
        <w:spacing w:before="0" w:beforeAutospacing="0" w:after="0" w:afterAutospacing="0"/>
        <w:rPr>
          <w:sz w:val="22"/>
          <w:szCs w:val="22"/>
        </w:rPr>
      </w:pPr>
      <w:r w:rsidRPr="00BD2341">
        <w:rPr>
          <w:color w:val="222222"/>
          <w:sz w:val="22"/>
          <w:szCs w:val="22"/>
        </w:rPr>
        <w:t>2. Develop mechanistic feeding and transport model of cod movement and survival during early life-history stages, and conduct simulation scenarios for assessing habitat connectivity.</w:t>
      </w:r>
    </w:p>
    <w:p w14:paraId="6D674C26" w14:textId="77777777" w:rsidR="00BD2341" w:rsidRPr="00BD2341" w:rsidRDefault="00BD2341" w:rsidP="00BD2341">
      <w:pPr>
        <w:pStyle w:val="NormalWeb"/>
        <w:shd w:val="clear" w:color="auto" w:fill="FFFFFF"/>
        <w:spacing w:before="0" w:beforeAutospacing="0" w:after="0" w:afterAutospacing="0"/>
        <w:rPr>
          <w:sz w:val="22"/>
          <w:szCs w:val="22"/>
        </w:rPr>
      </w:pPr>
      <w:r w:rsidRPr="00BD2341">
        <w:rPr>
          <w:color w:val="222222"/>
          <w:sz w:val="22"/>
          <w:szCs w:val="22"/>
        </w:rPr>
        <w:t>3. Build scenarios and assess consequences of multi-stock configurations forPacific cod in the GOA.</w:t>
      </w:r>
    </w:p>
    <w:p w14:paraId="2EE13788" w14:textId="77777777" w:rsidR="00BD2341" w:rsidRPr="00BD2341" w:rsidRDefault="00BD2341" w:rsidP="00BD2341">
      <w:pPr>
        <w:pStyle w:val="NormalWeb"/>
        <w:shd w:val="clear" w:color="auto" w:fill="FFFFFF"/>
        <w:spacing w:before="0" w:beforeAutospacing="0" w:after="0" w:afterAutospacing="0"/>
        <w:rPr>
          <w:sz w:val="22"/>
          <w:szCs w:val="22"/>
        </w:rPr>
      </w:pPr>
    </w:p>
    <w:p w14:paraId="111C1B46" w14:textId="77777777" w:rsidR="00BD2341" w:rsidRPr="00BD2341" w:rsidRDefault="00BD2341" w:rsidP="00BD2341">
      <w:pPr>
        <w:pStyle w:val="NormalWeb"/>
        <w:shd w:val="clear" w:color="auto" w:fill="FFFFFF"/>
        <w:spacing w:before="0" w:beforeAutospacing="0" w:after="0" w:afterAutospacing="0"/>
        <w:rPr>
          <w:sz w:val="22"/>
          <w:szCs w:val="22"/>
        </w:rPr>
      </w:pPr>
      <w:r w:rsidRPr="00BD2341">
        <w:rPr>
          <w:color w:val="222222"/>
          <w:sz w:val="22"/>
          <w:szCs w:val="22"/>
        </w:rPr>
        <w:t xml:space="preserve">The objective of this project is to develop a spatial management model to improve stock assessment and management of Pacific cod in the western Gulf of Alaska (GOA). </w:t>
      </w:r>
      <w:proofErr w:type="gramStart"/>
      <w:r w:rsidRPr="00BD2341">
        <w:rPr>
          <w:color w:val="222222"/>
          <w:sz w:val="22"/>
          <w:szCs w:val="22"/>
        </w:rPr>
        <w:t>The spatial structure of a population can be defined with different disciplinary lenses, including oceanographic (i.e., based on ocean conditions experienced by different group of individuals), demographic (i.e., rate of changes of individuals), ecological (i.e., variations of life history traits), genetic (i.e., variations of coding and neutral portion of genome), and socio-economic (i.e., based on harvest technologies, cultural links with the resource, and policy boundaries).</w:t>
      </w:r>
      <w:proofErr w:type="gramEnd"/>
      <w:r w:rsidRPr="00BD2341">
        <w:rPr>
          <w:color w:val="222222"/>
          <w:sz w:val="22"/>
          <w:szCs w:val="22"/>
        </w:rPr>
        <w:t xml:space="preserve"> All of these structures influence the way in which</w:t>
      </w:r>
    </w:p>
    <w:p w14:paraId="7E4F0F1D" w14:textId="77777777" w:rsidR="00BD2341" w:rsidRPr="00BD2341" w:rsidRDefault="00BD2341" w:rsidP="00BD2341">
      <w:pPr>
        <w:pStyle w:val="NormalWeb"/>
        <w:shd w:val="clear" w:color="auto" w:fill="FFFFFF"/>
        <w:spacing w:before="0" w:beforeAutospacing="0" w:after="0" w:afterAutospacing="0"/>
        <w:rPr>
          <w:sz w:val="22"/>
          <w:szCs w:val="22"/>
        </w:rPr>
      </w:pPr>
      <w:proofErr w:type="gramStart"/>
      <w:r w:rsidRPr="00BD2341">
        <w:rPr>
          <w:color w:val="222222"/>
          <w:sz w:val="22"/>
          <w:szCs w:val="22"/>
        </w:rPr>
        <w:t>resources</w:t>
      </w:r>
      <w:proofErr w:type="gramEnd"/>
      <w:r w:rsidRPr="00BD2341">
        <w:rPr>
          <w:color w:val="222222"/>
          <w:sz w:val="22"/>
          <w:szCs w:val="22"/>
        </w:rPr>
        <w:t xml:space="preserve"> are surveyed, their abundance are assessed, and their harvest is managed. Currently the western GOA Pacific cod is assessed and managed as a single stock that </w:t>
      </w:r>
      <w:proofErr w:type="gramStart"/>
      <w:r w:rsidRPr="00BD2341">
        <w:rPr>
          <w:color w:val="222222"/>
          <w:sz w:val="22"/>
          <w:szCs w:val="22"/>
        </w:rPr>
        <w:t>is combined</w:t>
      </w:r>
      <w:proofErr w:type="gramEnd"/>
      <w:r w:rsidRPr="00BD2341">
        <w:rPr>
          <w:color w:val="222222"/>
          <w:sz w:val="22"/>
          <w:szCs w:val="22"/>
        </w:rPr>
        <w:t xml:space="preserve"> with the rest of the GOA, but recent genetic, tagging and oceanographic studies, challenge this assumption. To date, an assessment of how different stock structures influence metrics relevant to management is missing. This project will fill in this knowledge gap.</w:t>
      </w:r>
    </w:p>
    <w:p w14:paraId="3A03BEB3" w14:textId="77777777" w:rsidR="00BD2341" w:rsidRPr="00BD2341" w:rsidRDefault="00BD2341" w:rsidP="00BD2341">
      <w:pPr>
        <w:pStyle w:val="NormalWeb"/>
        <w:shd w:val="clear" w:color="auto" w:fill="FFFFFF"/>
        <w:spacing w:before="0" w:beforeAutospacing="0" w:after="0" w:afterAutospacing="0"/>
        <w:rPr>
          <w:sz w:val="22"/>
          <w:szCs w:val="22"/>
        </w:rPr>
      </w:pPr>
    </w:p>
    <w:p w14:paraId="3CB7B9E9" w14:textId="12007471" w:rsidR="00BD2341" w:rsidRPr="00BD2341" w:rsidRDefault="00BD2341" w:rsidP="00BD2341">
      <w:pPr>
        <w:pStyle w:val="NormalWeb"/>
        <w:shd w:val="clear" w:color="auto" w:fill="FFFFFF"/>
        <w:spacing w:before="0" w:beforeAutospacing="0" w:after="0" w:afterAutospacing="0"/>
        <w:rPr>
          <w:sz w:val="22"/>
          <w:szCs w:val="22"/>
        </w:rPr>
      </w:pPr>
      <w:r>
        <w:rPr>
          <w:color w:val="222222"/>
          <w:sz w:val="22"/>
          <w:szCs w:val="22"/>
        </w:rPr>
        <w:t>h</w:t>
      </w:r>
      <w:r w:rsidRPr="00BD2341">
        <w:rPr>
          <w:color w:val="222222"/>
          <w:sz w:val="22"/>
          <w:szCs w:val="22"/>
        </w:rPr>
        <w:t>. Evaluation of Pacific Cod Movement, Stock Structure and Habitat Use in the Gulf of Alaska using Pop-up Satellite Tagging</w:t>
      </w:r>
    </w:p>
    <w:p w14:paraId="6F63F429" w14:textId="77777777" w:rsidR="00BD2341" w:rsidRPr="00BD2341" w:rsidRDefault="00BD2341" w:rsidP="00BD2341">
      <w:pPr>
        <w:pStyle w:val="NormalWeb"/>
        <w:shd w:val="clear" w:color="auto" w:fill="FFFFFF"/>
        <w:spacing w:before="0" w:beforeAutospacing="0" w:after="0" w:afterAutospacing="0"/>
        <w:rPr>
          <w:sz w:val="22"/>
          <w:szCs w:val="22"/>
        </w:rPr>
      </w:pPr>
      <w:r w:rsidRPr="00BD2341">
        <w:rPr>
          <w:color w:val="222222"/>
          <w:sz w:val="22"/>
          <w:szCs w:val="22"/>
        </w:rPr>
        <w:t xml:space="preserve">PI: Charlotte Levy, Aleutians East Borough, Natural Resources Department, 3380 C Street Suite 205 Anchorage, </w:t>
      </w:r>
      <w:r w:rsidRPr="00BD2341">
        <w:rPr>
          <w:color w:val="222222"/>
          <w:sz w:val="22"/>
          <w:szCs w:val="22"/>
          <w:shd w:val="clear" w:color="auto" w:fill="FFFFFF"/>
        </w:rPr>
        <w:t xml:space="preserve">AK 99502, (206) 457-7197, </w:t>
      </w:r>
      <w:r w:rsidRPr="00BD2341">
        <w:rPr>
          <w:color w:val="000000"/>
          <w:sz w:val="22"/>
          <w:szCs w:val="22"/>
          <w:shd w:val="clear" w:color="auto" w:fill="FFFFFF"/>
        </w:rPr>
        <w:t>clevy@aeboro.org</w:t>
      </w:r>
    </w:p>
    <w:p w14:paraId="689AC4E6" w14:textId="77777777" w:rsidR="00BD2341" w:rsidRPr="00BD2341" w:rsidRDefault="00BD2341" w:rsidP="00BD2341">
      <w:pPr>
        <w:pStyle w:val="NormalWeb"/>
        <w:shd w:val="clear" w:color="auto" w:fill="FFFFFF"/>
        <w:spacing w:before="0" w:beforeAutospacing="0" w:after="0" w:afterAutospacing="0"/>
        <w:rPr>
          <w:sz w:val="22"/>
          <w:szCs w:val="22"/>
        </w:rPr>
      </w:pPr>
    </w:p>
    <w:p w14:paraId="14809D13" w14:textId="77777777" w:rsidR="00BD2341" w:rsidRPr="00BD2341" w:rsidRDefault="00BD2341" w:rsidP="00BD2341">
      <w:pPr>
        <w:pStyle w:val="NormalWeb"/>
        <w:shd w:val="clear" w:color="auto" w:fill="FFFFFF"/>
        <w:spacing w:before="0" w:beforeAutospacing="0" w:after="0" w:afterAutospacing="0"/>
        <w:rPr>
          <w:sz w:val="22"/>
          <w:szCs w:val="22"/>
        </w:rPr>
      </w:pPr>
      <w:r w:rsidRPr="00BD2341">
        <w:rPr>
          <w:color w:val="222222"/>
          <w:sz w:val="22"/>
          <w:szCs w:val="22"/>
        </w:rPr>
        <w:t>The primary objectives for this project are to</w:t>
      </w:r>
      <w:r w:rsidRPr="00BD2341">
        <w:rPr>
          <w:i/>
          <w:iCs/>
          <w:color w:val="222222"/>
          <w:sz w:val="22"/>
          <w:szCs w:val="22"/>
        </w:rPr>
        <w:t>:</w:t>
      </w:r>
    </w:p>
    <w:p w14:paraId="25169C80" w14:textId="77777777" w:rsidR="00BD2341" w:rsidRPr="00BD2341" w:rsidRDefault="00BD2341" w:rsidP="00BD2341">
      <w:pPr>
        <w:pStyle w:val="NormalWeb"/>
        <w:shd w:val="clear" w:color="auto" w:fill="FFFFFF"/>
        <w:spacing w:before="0" w:beforeAutospacing="0" w:after="0" w:afterAutospacing="0"/>
        <w:rPr>
          <w:sz w:val="22"/>
          <w:szCs w:val="22"/>
        </w:rPr>
      </w:pPr>
      <w:r w:rsidRPr="00BD2341">
        <w:rPr>
          <w:color w:val="222222"/>
          <w:sz w:val="22"/>
          <w:szCs w:val="22"/>
        </w:rPr>
        <w:t>1. Assess connectivity of Pacific cod stocks by estimating seasonal movement of GOA Pacific cod in relation to management boundaries and environmental variables.</w:t>
      </w:r>
    </w:p>
    <w:p w14:paraId="6F7E8F9F" w14:textId="77777777" w:rsidR="00BD2341" w:rsidRPr="00BD2341" w:rsidRDefault="00BD2341" w:rsidP="00BD2341">
      <w:pPr>
        <w:pStyle w:val="NormalWeb"/>
        <w:shd w:val="clear" w:color="auto" w:fill="FFFFFF"/>
        <w:spacing w:before="0" w:beforeAutospacing="0" w:after="0" w:afterAutospacing="0"/>
        <w:rPr>
          <w:sz w:val="22"/>
          <w:szCs w:val="22"/>
        </w:rPr>
      </w:pPr>
      <w:r w:rsidRPr="00BD2341">
        <w:rPr>
          <w:color w:val="222222"/>
          <w:sz w:val="22"/>
          <w:szCs w:val="22"/>
        </w:rPr>
        <w:t>2. Examine Pacific cod spatial stock structure by linking seasonal movement patterns to genetic, demographic, and maturity data.</w:t>
      </w:r>
    </w:p>
    <w:p w14:paraId="6558BEA5" w14:textId="77777777" w:rsidR="00BD2341" w:rsidRPr="00BD2341" w:rsidRDefault="00BD2341" w:rsidP="00BD2341">
      <w:pPr>
        <w:pStyle w:val="NormalWeb"/>
        <w:shd w:val="clear" w:color="auto" w:fill="FFFFFF"/>
        <w:spacing w:before="0" w:beforeAutospacing="0" w:after="0" w:afterAutospacing="0"/>
        <w:rPr>
          <w:sz w:val="22"/>
          <w:szCs w:val="22"/>
        </w:rPr>
      </w:pPr>
      <w:proofErr w:type="gramStart"/>
      <w:r w:rsidRPr="00BD2341">
        <w:rPr>
          <w:color w:val="222222"/>
          <w:sz w:val="22"/>
          <w:szCs w:val="22"/>
        </w:rPr>
        <w:t>3. Better</w:t>
      </w:r>
      <w:proofErr w:type="gramEnd"/>
      <w:r w:rsidRPr="00BD2341">
        <w:rPr>
          <w:color w:val="222222"/>
          <w:sz w:val="22"/>
          <w:szCs w:val="22"/>
        </w:rPr>
        <w:t xml:space="preserve"> understand Pacific cod ecology and habitat use by linking seasonal movement and environmental data to depth, temperature, and behavioral data from tagged fish.</w:t>
      </w:r>
    </w:p>
    <w:p w14:paraId="1896B1C3" w14:textId="77777777" w:rsidR="00BD2341" w:rsidRPr="00BD2341" w:rsidRDefault="00BD2341" w:rsidP="00BD2341">
      <w:pPr>
        <w:pStyle w:val="NormalWeb"/>
        <w:shd w:val="clear" w:color="auto" w:fill="FFFFFF"/>
        <w:spacing w:before="0" w:beforeAutospacing="0" w:after="0" w:afterAutospacing="0"/>
        <w:rPr>
          <w:sz w:val="22"/>
          <w:szCs w:val="22"/>
        </w:rPr>
      </w:pPr>
    </w:p>
    <w:p w14:paraId="682E35F1" w14:textId="77777777" w:rsidR="00BD2341" w:rsidRPr="00BD2341" w:rsidRDefault="00BD2341" w:rsidP="00BD2341">
      <w:pPr>
        <w:pStyle w:val="NormalWeb"/>
        <w:shd w:val="clear" w:color="auto" w:fill="FFFFFF"/>
        <w:spacing w:before="0" w:beforeAutospacing="0" w:after="0" w:afterAutospacing="0"/>
        <w:rPr>
          <w:sz w:val="22"/>
          <w:szCs w:val="22"/>
        </w:rPr>
      </w:pPr>
      <w:r w:rsidRPr="00BD2341">
        <w:rPr>
          <w:color w:val="222222"/>
          <w:sz w:val="22"/>
          <w:szCs w:val="22"/>
        </w:rPr>
        <w:t xml:space="preserve">Recent marine heatwaves have caused dramatic changes in Pacific cod abundance in the Gulf of Alaska (GOA), which </w:t>
      </w:r>
      <w:proofErr w:type="gramStart"/>
      <w:r w:rsidRPr="00BD2341">
        <w:rPr>
          <w:color w:val="222222"/>
          <w:sz w:val="22"/>
          <w:szCs w:val="22"/>
        </w:rPr>
        <w:t>were attributed</w:t>
      </w:r>
      <w:proofErr w:type="gramEnd"/>
      <w:r w:rsidRPr="00BD2341">
        <w:rPr>
          <w:color w:val="222222"/>
          <w:sz w:val="22"/>
          <w:szCs w:val="22"/>
        </w:rPr>
        <w:t xml:space="preserve"> to increased mortality, reduced recruitment, and possible migration of adult fish to colder waters in the Bering Sea (BS) in the summer. Information on Pacific cod movement patterns, behavior, demographics, and genetics is essential to understanding stock structure and population responses to changing environmental conditions. This study proposes to estimate seasonal movement patterns of GOA Pacific cod by deploying 173 pop-up satellite tags 1) at GOA spawning sites in March of 2023 and 2024 from a chartered fishing vessel, and 2) opportunistically during the Alaska Fisheries Science Center summer surveys in the GOA and the BS. We will also collect genetic information and demographic characteristics for each spawning location. Satellite tag data </w:t>
      </w:r>
      <w:proofErr w:type="gramStart"/>
      <w:r w:rsidRPr="00BD2341">
        <w:rPr>
          <w:color w:val="222222"/>
          <w:sz w:val="22"/>
          <w:szCs w:val="22"/>
        </w:rPr>
        <w:t>will be incorporated</w:t>
      </w:r>
      <w:proofErr w:type="gramEnd"/>
      <w:r w:rsidRPr="00BD2341">
        <w:rPr>
          <w:color w:val="222222"/>
          <w:sz w:val="22"/>
          <w:szCs w:val="22"/>
        </w:rPr>
        <w:t xml:space="preserve"> in a geolocation model that can estimate movement paths for individual fish. Linking movement patterns to genetic data will give us insight into the stock structure of the Western and Central GOA Pacific cod stock. Movement patterns </w:t>
      </w:r>
      <w:proofErr w:type="gramStart"/>
      <w:r w:rsidRPr="00BD2341">
        <w:rPr>
          <w:color w:val="222222"/>
          <w:sz w:val="22"/>
          <w:szCs w:val="22"/>
        </w:rPr>
        <w:t>will be linked</w:t>
      </w:r>
      <w:proofErr w:type="gramEnd"/>
      <w:r w:rsidRPr="00BD2341">
        <w:rPr>
          <w:color w:val="222222"/>
          <w:sz w:val="22"/>
          <w:szCs w:val="22"/>
        </w:rPr>
        <w:t xml:space="preserve"> to geographical, oceanographic, and biological data to study the connectivity between GOA and BS stocks and characterize habitat use. A high degree of seasonal movement between management regions could adversely impact the sustainability of individual </w:t>
      </w:r>
      <w:r w:rsidRPr="00BD2341">
        <w:rPr>
          <w:color w:val="222222"/>
          <w:sz w:val="22"/>
          <w:szCs w:val="22"/>
        </w:rPr>
        <w:lastRenderedPageBreak/>
        <w:t>stocks and stakeholders who depend on them, because fish in each region are managed as separate stocks with varying stock assessment parameters such as growth, recruitment, and natural mortality.</w:t>
      </w:r>
    </w:p>
    <w:p w14:paraId="4FD84FEB" w14:textId="77777777" w:rsidR="00BD2341" w:rsidRPr="00BD2341" w:rsidRDefault="00BD2341" w:rsidP="00BD2341">
      <w:pPr>
        <w:pStyle w:val="NormalWeb"/>
        <w:shd w:val="clear" w:color="auto" w:fill="FFFFFF"/>
        <w:spacing w:before="0" w:beforeAutospacing="0" w:after="0" w:afterAutospacing="0"/>
        <w:rPr>
          <w:sz w:val="22"/>
          <w:szCs w:val="22"/>
        </w:rPr>
      </w:pPr>
    </w:p>
    <w:p w14:paraId="387EBD64" w14:textId="57A29ECF" w:rsidR="00BD2341" w:rsidRPr="00BD2341" w:rsidRDefault="00BD2341" w:rsidP="00BD2341">
      <w:pPr>
        <w:pStyle w:val="NormalWeb"/>
        <w:shd w:val="clear" w:color="auto" w:fill="FFFFFF"/>
        <w:spacing w:before="0" w:beforeAutospacing="0" w:after="0" w:afterAutospacing="0"/>
        <w:rPr>
          <w:sz w:val="22"/>
          <w:szCs w:val="22"/>
        </w:rPr>
      </w:pPr>
      <w:r>
        <w:rPr>
          <w:color w:val="222222"/>
          <w:sz w:val="22"/>
          <w:szCs w:val="22"/>
        </w:rPr>
        <w:t>i.</w:t>
      </w:r>
      <w:r w:rsidRPr="00BD2341">
        <w:rPr>
          <w:color w:val="222222"/>
          <w:sz w:val="22"/>
          <w:szCs w:val="22"/>
        </w:rPr>
        <w:t xml:space="preserve"> Leveraging a stock collapse to produce climate-enhanced stock assessment models for the</w:t>
      </w:r>
    </w:p>
    <w:p w14:paraId="7134890E" w14:textId="77777777" w:rsidR="00BD2341" w:rsidRPr="00BD2341" w:rsidRDefault="00BD2341" w:rsidP="00BD2341">
      <w:pPr>
        <w:pStyle w:val="NormalWeb"/>
        <w:shd w:val="clear" w:color="auto" w:fill="FFFFFF"/>
        <w:spacing w:before="0" w:beforeAutospacing="0" w:after="0" w:afterAutospacing="0"/>
        <w:rPr>
          <w:sz w:val="22"/>
          <w:szCs w:val="22"/>
        </w:rPr>
      </w:pPr>
      <w:r w:rsidRPr="00BD2341">
        <w:rPr>
          <w:color w:val="222222"/>
          <w:sz w:val="22"/>
          <w:szCs w:val="22"/>
          <w:shd w:val="clear" w:color="auto" w:fill="FFFFFF"/>
        </w:rPr>
        <w:t>Gulf of Alaska and Bering Sea Pacific cod</w:t>
      </w:r>
    </w:p>
    <w:p w14:paraId="077AD53A" w14:textId="77777777" w:rsidR="00BD2341" w:rsidRPr="00BD2341" w:rsidRDefault="00BD2341" w:rsidP="00BD2341">
      <w:pPr>
        <w:pStyle w:val="NormalWeb"/>
        <w:shd w:val="clear" w:color="auto" w:fill="FFFFFF"/>
        <w:spacing w:before="0" w:beforeAutospacing="0" w:after="0" w:afterAutospacing="0"/>
        <w:rPr>
          <w:sz w:val="22"/>
          <w:szCs w:val="22"/>
        </w:rPr>
      </w:pPr>
      <w:r w:rsidRPr="00BD2341">
        <w:rPr>
          <w:color w:val="222222"/>
          <w:sz w:val="22"/>
          <w:szCs w:val="22"/>
        </w:rPr>
        <w:t xml:space="preserve">PI: Bradley Harris, Institute of Culture and Environment, Alaska Pacific </w:t>
      </w:r>
      <w:r w:rsidRPr="00BD2341">
        <w:rPr>
          <w:color w:val="222222"/>
          <w:sz w:val="22"/>
          <w:szCs w:val="22"/>
          <w:shd w:val="clear" w:color="auto" w:fill="FFFFFF"/>
        </w:rPr>
        <w:t xml:space="preserve">University, Anchorage, AK. </w:t>
      </w:r>
      <w:hyperlink r:id="rId52" w:history="1">
        <w:r w:rsidRPr="00BD2341">
          <w:rPr>
            <w:rStyle w:val="Hyperlink"/>
            <w:color w:val="000000"/>
            <w:sz w:val="22"/>
            <w:szCs w:val="22"/>
            <w:shd w:val="clear" w:color="auto" w:fill="FFFFFF"/>
          </w:rPr>
          <w:t>bharris@alaskapacific.edu</w:t>
        </w:r>
      </w:hyperlink>
    </w:p>
    <w:p w14:paraId="0E52BE5B" w14:textId="77777777" w:rsidR="00BD2341" w:rsidRPr="00BD2341" w:rsidRDefault="00BD2341" w:rsidP="00BD2341">
      <w:pPr>
        <w:pStyle w:val="NormalWeb"/>
        <w:shd w:val="clear" w:color="auto" w:fill="FFFFFF"/>
        <w:spacing w:before="0" w:beforeAutospacing="0" w:after="0" w:afterAutospacing="0"/>
        <w:rPr>
          <w:sz w:val="22"/>
          <w:szCs w:val="22"/>
        </w:rPr>
      </w:pPr>
    </w:p>
    <w:p w14:paraId="175D69F3" w14:textId="77777777" w:rsidR="00BD2341" w:rsidRPr="00BD2341" w:rsidRDefault="00BD2341" w:rsidP="00BD2341">
      <w:pPr>
        <w:pStyle w:val="NormalWeb"/>
        <w:shd w:val="clear" w:color="auto" w:fill="FFFFFF"/>
        <w:spacing w:before="0" w:beforeAutospacing="0" w:after="0" w:afterAutospacing="0"/>
        <w:rPr>
          <w:sz w:val="22"/>
          <w:szCs w:val="22"/>
        </w:rPr>
      </w:pPr>
      <w:r w:rsidRPr="00BD2341">
        <w:rPr>
          <w:color w:val="222222"/>
          <w:sz w:val="22"/>
          <w:szCs w:val="22"/>
        </w:rPr>
        <w:t>The primary objectives for this project are to:</w:t>
      </w:r>
    </w:p>
    <w:p w14:paraId="75B64E4A" w14:textId="77777777" w:rsidR="00BD2341" w:rsidRPr="00BD2341" w:rsidRDefault="00BD2341" w:rsidP="00BD2341">
      <w:pPr>
        <w:pStyle w:val="NormalWeb"/>
        <w:shd w:val="clear" w:color="auto" w:fill="FFFFFF"/>
        <w:spacing w:before="0" w:beforeAutospacing="0" w:after="0" w:afterAutospacing="0"/>
        <w:rPr>
          <w:sz w:val="22"/>
          <w:szCs w:val="22"/>
        </w:rPr>
      </w:pPr>
      <w:r w:rsidRPr="00BD2341">
        <w:rPr>
          <w:color w:val="222222"/>
          <w:sz w:val="22"/>
          <w:szCs w:val="22"/>
        </w:rPr>
        <w:t>1. Re-analysis and evaluation of alternative parameterizations within the GOA Pacific cod stock assessment model that explain the stock collapse leading to the 2018 fishery disaster and whether this collapse could have been predicted.</w:t>
      </w:r>
    </w:p>
    <w:p w14:paraId="6DE663DE" w14:textId="77777777" w:rsidR="00BD2341" w:rsidRPr="00BD2341" w:rsidRDefault="00BD2341" w:rsidP="00BD2341">
      <w:pPr>
        <w:pStyle w:val="NormalWeb"/>
        <w:shd w:val="clear" w:color="auto" w:fill="FFFFFF"/>
        <w:spacing w:before="0" w:beforeAutospacing="0" w:after="0" w:afterAutospacing="0"/>
        <w:rPr>
          <w:sz w:val="22"/>
          <w:szCs w:val="22"/>
        </w:rPr>
      </w:pPr>
      <w:r w:rsidRPr="00BD2341">
        <w:rPr>
          <w:color w:val="222222"/>
          <w:sz w:val="22"/>
          <w:szCs w:val="22"/>
        </w:rPr>
        <w:t>2. Investigation of environmental links to growth, mortality, recruitment, survey catchability, and survey/fishery selectivity within the GOA and BS Pacific cod assessments to evaluate the similarities and differences in response to climate change between these two stocks.</w:t>
      </w:r>
    </w:p>
    <w:p w14:paraId="3A922692" w14:textId="77777777" w:rsidR="00BD2341" w:rsidRPr="00BD2341" w:rsidRDefault="00BD2341" w:rsidP="00BD2341">
      <w:pPr>
        <w:pStyle w:val="NormalWeb"/>
        <w:shd w:val="clear" w:color="auto" w:fill="FFFFFF"/>
        <w:spacing w:before="0" w:beforeAutospacing="0" w:after="0" w:afterAutospacing="0"/>
        <w:rPr>
          <w:sz w:val="22"/>
          <w:szCs w:val="22"/>
        </w:rPr>
      </w:pPr>
    </w:p>
    <w:p w14:paraId="13DE90AC" w14:textId="77777777" w:rsidR="00BD2341" w:rsidRPr="00BD2341" w:rsidRDefault="00BD2341" w:rsidP="00BD2341">
      <w:pPr>
        <w:pStyle w:val="NormalWeb"/>
        <w:shd w:val="clear" w:color="auto" w:fill="FFFFFF"/>
        <w:spacing w:before="0" w:beforeAutospacing="0" w:after="0" w:afterAutospacing="0"/>
        <w:rPr>
          <w:sz w:val="22"/>
          <w:szCs w:val="22"/>
        </w:rPr>
      </w:pPr>
      <w:r w:rsidRPr="00BD2341">
        <w:rPr>
          <w:color w:val="222222"/>
          <w:sz w:val="22"/>
          <w:szCs w:val="22"/>
        </w:rPr>
        <w:t xml:space="preserve">To undertake objective </w:t>
      </w:r>
      <w:proofErr w:type="gramStart"/>
      <w:r w:rsidRPr="00BD2341">
        <w:rPr>
          <w:color w:val="222222"/>
          <w:sz w:val="22"/>
          <w:szCs w:val="22"/>
        </w:rPr>
        <w:t>1</w:t>
      </w:r>
      <w:proofErr w:type="gramEnd"/>
      <w:r w:rsidRPr="00BD2341">
        <w:rPr>
          <w:color w:val="222222"/>
          <w:sz w:val="22"/>
          <w:szCs w:val="22"/>
        </w:rPr>
        <w:t xml:space="preserve">, the performance of the current GOA stock assessment model with several alternative parameterizations will be evaluated. These include parameters that estimate mortality, selectivity, and catchability, all of which </w:t>
      </w:r>
      <w:proofErr w:type="gramStart"/>
      <w:r w:rsidRPr="00BD2341">
        <w:rPr>
          <w:color w:val="222222"/>
          <w:sz w:val="22"/>
          <w:szCs w:val="22"/>
        </w:rPr>
        <w:t>may be influenced</w:t>
      </w:r>
      <w:proofErr w:type="gramEnd"/>
      <w:r w:rsidRPr="00BD2341">
        <w:rPr>
          <w:color w:val="222222"/>
          <w:sz w:val="22"/>
          <w:szCs w:val="22"/>
        </w:rPr>
        <w:t xml:space="preserve"> by environmental conditions, and which can result in shifts in population size and cod availability to the survey. Further, a suite of techniques to estimate time-dependence in parameters </w:t>
      </w:r>
      <w:proofErr w:type="gramStart"/>
      <w:r w:rsidRPr="00BD2341">
        <w:rPr>
          <w:color w:val="222222"/>
          <w:sz w:val="22"/>
          <w:szCs w:val="22"/>
        </w:rPr>
        <w:t>will be explored</w:t>
      </w:r>
      <w:proofErr w:type="gramEnd"/>
      <w:r w:rsidRPr="00BD2341">
        <w:rPr>
          <w:color w:val="222222"/>
          <w:sz w:val="22"/>
          <w:szCs w:val="22"/>
        </w:rPr>
        <w:t xml:space="preserve">. These include time-blocks following the approach currently used on the assessment, smoothing techniques (e.g. random walks or splines), and inclusion of environmental indices through covariance modeling. Both retrospective analyses and comparisons of fit </w:t>
      </w:r>
      <w:proofErr w:type="gramStart"/>
      <w:r w:rsidRPr="00BD2341">
        <w:rPr>
          <w:color w:val="222222"/>
          <w:sz w:val="22"/>
          <w:szCs w:val="22"/>
        </w:rPr>
        <w:t>will be used</w:t>
      </w:r>
      <w:proofErr w:type="gramEnd"/>
      <w:r w:rsidRPr="00BD2341">
        <w:rPr>
          <w:color w:val="222222"/>
          <w:sz w:val="22"/>
          <w:szCs w:val="22"/>
        </w:rPr>
        <w:t xml:space="preserve"> to evaluate model performance and the appropriateness and effectiveness of the hypothesized scenarios and associated parameterizations, focusing in particular on the ability of the model to predict the GOA Pacific cod collapse.</w:t>
      </w:r>
    </w:p>
    <w:p w14:paraId="5C60E3F5" w14:textId="77777777" w:rsidR="00BD2341" w:rsidRPr="00BD2341" w:rsidRDefault="00BD2341" w:rsidP="00BD2341">
      <w:pPr>
        <w:pStyle w:val="NormalWeb"/>
        <w:shd w:val="clear" w:color="auto" w:fill="FFFFFF"/>
        <w:spacing w:before="0" w:beforeAutospacing="0" w:after="0" w:afterAutospacing="0"/>
        <w:rPr>
          <w:sz w:val="22"/>
          <w:szCs w:val="22"/>
        </w:rPr>
      </w:pPr>
    </w:p>
    <w:p w14:paraId="0C16272B" w14:textId="77777777" w:rsidR="00BD2341" w:rsidRPr="00BD2341" w:rsidRDefault="00BD2341" w:rsidP="00BD2341">
      <w:pPr>
        <w:pStyle w:val="NormalWeb"/>
        <w:shd w:val="clear" w:color="auto" w:fill="FFFFFF"/>
        <w:spacing w:before="0" w:beforeAutospacing="0" w:after="0" w:afterAutospacing="0"/>
        <w:rPr>
          <w:sz w:val="22"/>
          <w:szCs w:val="22"/>
        </w:rPr>
      </w:pPr>
      <w:r w:rsidRPr="00BD2341">
        <w:rPr>
          <w:color w:val="222222"/>
          <w:sz w:val="22"/>
          <w:szCs w:val="22"/>
        </w:rPr>
        <w:t xml:space="preserve">To accomplish objective </w:t>
      </w:r>
      <w:proofErr w:type="gramStart"/>
      <w:r w:rsidRPr="00BD2341">
        <w:rPr>
          <w:color w:val="222222"/>
          <w:sz w:val="22"/>
          <w:szCs w:val="22"/>
        </w:rPr>
        <w:t>2</w:t>
      </w:r>
      <w:proofErr w:type="gramEnd"/>
      <w:r w:rsidRPr="00BD2341">
        <w:rPr>
          <w:color w:val="222222"/>
          <w:sz w:val="22"/>
          <w:szCs w:val="22"/>
        </w:rPr>
        <w:t>, environmental indices that have been identified and collected for both the GOA and BS will be leveraged to explore mechanistic links with growth, mortality, recruitment, and other demographic processes, to refine model parameters within the GOA and BS assessment models. Through retrospective analysis, cross-validation, and model fit diagnostics, we will evaluate the similarities and differences between the responses of the GOA and BS models to the inclusion of environmental links. Ultimately, these analyses and diagnostics will shed light on how the suite of environmental covariates affects the predictive ability and therefore the efficacy of employing these indices in the assessment models to provide forewarning of sudden shifts in population abundance. We will focus on the retrospective aspect of these evaluations to investigate the robustness of the environmental links across time.</w:t>
      </w:r>
    </w:p>
    <w:p w14:paraId="48E94515" w14:textId="77777777" w:rsidR="00BD2341" w:rsidRPr="00BD2341" w:rsidRDefault="00BD2341" w:rsidP="00BD2341">
      <w:pPr>
        <w:rPr>
          <w:sz w:val="22"/>
          <w:szCs w:val="22"/>
        </w:rPr>
      </w:pPr>
    </w:p>
    <w:p w14:paraId="380C13C4" w14:textId="77777777" w:rsidR="00BD2341" w:rsidRPr="00BD2341" w:rsidRDefault="00BD2341" w:rsidP="00BD2341">
      <w:pPr>
        <w:pStyle w:val="NormalWeb"/>
        <w:spacing w:before="0" w:beforeAutospacing="0" w:after="0" w:afterAutospacing="0"/>
        <w:rPr>
          <w:sz w:val="22"/>
          <w:szCs w:val="22"/>
        </w:rPr>
      </w:pPr>
      <w:r w:rsidRPr="00BD2341">
        <w:rPr>
          <w:color w:val="000000"/>
          <w:sz w:val="22"/>
          <w:szCs w:val="22"/>
        </w:rPr>
        <w:t xml:space="preserve">For more </w:t>
      </w:r>
      <w:proofErr w:type="gramStart"/>
      <w:r w:rsidRPr="00BD2341">
        <w:rPr>
          <w:color w:val="000000"/>
          <w:sz w:val="22"/>
          <w:szCs w:val="22"/>
        </w:rPr>
        <w:t>information</w:t>
      </w:r>
      <w:proofErr w:type="gramEnd"/>
      <w:r w:rsidRPr="00BD2341">
        <w:rPr>
          <w:color w:val="000000"/>
          <w:sz w:val="22"/>
          <w:szCs w:val="22"/>
        </w:rPr>
        <w:t xml:space="preserve"> please contact Steve Barbeaux (</w:t>
      </w:r>
      <w:hyperlink r:id="rId53" w:history="1">
        <w:r w:rsidRPr="00BD2341">
          <w:rPr>
            <w:rStyle w:val="Hyperlink"/>
            <w:color w:val="000000"/>
            <w:sz w:val="22"/>
            <w:szCs w:val="22"/>
          </w:rPr>
          <w:t>steve.barbeaux@noaa.gov</w:t>
        </w:r>
      </w:hyperlink>
      <w:r w:rsidRPr="00BD2341">
        <w:rPr>
          <w:color w:val="000000"/>
          <w:sz w:val="22"/>
          <w:szCs w:val="22"/>
        </w:rPr>
        <w:t>) or Ingrid Spies (ingrid.spies@noaa.gov).</w:t>
      </w:r>
    </w:p>
    <w:p w14:paraId="1F8E95D5" w14:textId="057628FD" w:rsidR="00DE3EE8" w:rsidRPr="002B7E6B" w:rsidRDefault="00BD2341" w:rsidP="00BD2341">
      <w:pPr>
        <w:spacing w:before="240" w:after="240"/>
        <w:rPr>
          <w:sz w:val="22"/>
          <w:szCs w:val="22"/>
        </w:rPr>
      </w:pPr>
      <w:r>
        <w:rPr>
          <w:rFonts w:eastAsia="Arial"/>
          <w:sz w:val="22"/>
          <w:szCs w:val="22"/>
        </w:rPr>
        <w:t>j</w:t>
      </w:r>
      <w:r w:rsidR="00DE3EE8" w:rsidRPr="002B7E6B">
        <w:rPr>
          <w:rFonts w:eastAsia="Arial"/>
          <w:sz w:val="22"/>
          <w:szCs w:val="22"/>
        </w:rPr>
        <w:t xml:space="preserve">. </w:t>
      </w:r>
      <w:r w:rsidR="00DE3EE8" w:rsidRPr="002B7E6B">
        <w:rPr>
          <w:sz w:val="22"/>
          <w:szCs w:val="22"/>
        </w:rPr>
        <w:t>Ocean warming and acidification effects on Pacific cod early life stages (RACE-FBEP):</w:t>
      </w:r>
    </w:p>
    <w:p w14:paraId="3C16CF37" w14:textId="77777777" w:rsidR="00DE3EE8" w:rsidRPr="002B7E6B" w:rsidRDefault="00DE3EE8" w:rsidP="00DE3EE8">
      <w:pPr>
        <w:spacing w:before="240" w:after="240"/>
        <w:rPr>
          <w:sz w:val="22"/>
          <w:szCs w:val="22"/>
        </w:rPr>
      </w:pPr>
      <w:r w:rsidRPr="002B7E6B">
        <w:rPr>
          <w:sz w:val="22"/>
          <w:szCs w:val="22"/>
        </w:rPr>
        <w:t xml:space="preserve">Laboratory experiments were conducted to assess how combined ocean warming and ocean acidification may </w:t>
      </w:r>
      <w:proofErr w:type="gramStart"/>
      <w:r w:rsidRPr="002B7E6B">
        <w:rPr>
          <w:sz w:val="22"/>
          <w:szCs w:val="22"/>
        </w:rPr>
        <w:t>impact</w:t>
      </w:r>
      <w:proofErr w:type="gramEnd"/>
      <w:r w:rsidRPr="002B7E6B">
        <w:rPr>
          <w:sz w:val="22"/>
          <w:szCs w:val="22"/>
        </w:rPr>
        <w:t xml:space="preserve"> the early life stages of Pacific cod as previous studies demonstrated sensitivity to both temperature and CO</w:t>
      </w:r>
      <w:r w:rsidRPr="002B7E6B">
        <w:rPr>
          <w:sz w:val="22"/>
          <w:szCs w:val="22"/>
          <w:vertAlign w:val="subscript"/>
        </w:rPr>
        <w:t>2</w:t>
      </w:r>
      <w:r w:rsidRPr="002B7E6B">
        <w:rPr>
          <w:sz w:val="22"/>
          <w:szCs w:val="22"/>
        </w:rPr>
        <w:t xml:space="preserve"> level. Pacific cod embryos and larvae were reared across three temperatures (3, 6, 10°C) and two CO</w:t>
      </w:r>
      <w:r w:rsidRPr="002B7E6B">
        <w:rPr>
          <w:sz w:val="22"/>
          <w:szCs w:val="22"/>
          <w:vertAlign w:val="subscript"/>
        </w:rPr>
        <w:t>2</w:t>
      </w:r>
      <w:r w:rsidRPr="002B7E6B">
        <w:rPr>
          <w:sz w:val="22"/>
          <w:szCs w:val="22"/>
        </w:rPr>
        <w:t xml:space="preserve"> levels (ambient: ~360μtm; high: ~1560μatm) to 5-weeks post-hatch. Survival, size, growth, and condition </w:t>
      </w:r>
      <w:proofErr w:type="gramStart"/>
      <w:r w:rsidRPr="002B7E6B">
        <w:rPr>
          <w:sz w:val="22"/>
          <w:szCs w:val="22"/>
        </w:rPr>
        <w:t>were examined</w:t>
      </w:r>
      <w:proofErr w:type="gramEnd"/>
      <w:r w:rsidRPr="002B7E6B">
        <w:rPr>
          <w:sz w:val="22"/>
          <w:szCs w:val="22"/>
        </w:rPr>
        <w:t xml:space="preserve">. Temperature had a pervasive influence on all measured traits. The optimal temperature for Pacific cod development was 6°C, which led to high condition, low mortality, and rapid growth. At 10°C, Pacific cod mortality at both the embryonic and larval stages was very high, suggesting this temperature was outside their thermal tolerance. Compared to temperature, the effect of </w:t>
      </w:r>
      <w:r w:rsidRPr="002B7E6B">
        <w:rPr>
          <w:sz w:val="22"/>
          <w:szCs w:val="22"/>
        </w:rPr>
        <w:lastRenderedPageBreak/>
        <w:t>elevated CO</w:t>
      </w:r>
      <w:r w:rsidRPr="002B7E6B">
        <w:rPr>
          <w:sz w:val="22"/>
          <w:szCs w:val="22"/>
          <w:vertAlign w:val="subscript"/>
        </w:rPr>
        <w:t>2</w:t>
      </w:r>
      <w:r w:rsidRPr="002B7E6B">
        <w:rPr>
          <w:sz w:val="22"/>
          <w:szCs w:val="22"/>
        </w:rPr>
        <w:t xml:space="preserve"> was not consistent across developmental stages and measured traits. Elevated CO</w:t>
      </w:r>
      <w:r w:rsidRPr="002B7E6B">
        <w:rPr>
          <w:sz w:val="22"/>
          <w:szCs w:val="22"/>
          <w:vertAlign w:val="subscript"/>
        </w:rPr>
        <w:t>2</w:t>
      </w:r>
      <w:r w:rsidRPr="002B7E6B">
        <w:rPr>
          <w:sz w:val="22"/>
          <w:szCs w:val="22"/>
        </w:rPr>
        <w:t xml:space="preserve"> reduced embryonic mortality rates and increased growth rates of early stage fish, but as fish aged, these CO</w:t>
      </w:r>
      <w:r w:rsidRPr="002B7E6B">
        <w:rPr>
          <w:sz w:val="22"/>
          <w:szCs w:val="22"/>
          <w:vertAlign w:val="subscript"/>
        </w:rPr>
        <w:t>2</w:t>
      </w:r>
      <w:r w:rsidRPr="002B7E6B">
        <w:rPr>
          <w:sz w:val="22"/>
          <w:szCs w:val="22"/>
        </w:rPr>
        <w:t xml:space="preserve"> effects diminished. At 6°C, high CO­</w:t>
      </w:r>
      <w:r w:rsidRPr="002B7E6B">
        <w:rPr>
          <w:sz w:val="22"/>
          <w:szCs w:val="22"/>
          <w:vertAlign w:val="subscript"/>
        </w:rPr>
        <w:t>2</w:t>
      </w:r>
      <w:r w:rsidRPr="002B7E6B">
        <w:rPr>
          <w:sz w:val="22"/>
          <w:szCs w:val="22"/>
        </w:rPr>
        <w:t xml:space="preserve"> resulted in reduced condition as fish developed. There were no interactive effects of elevated CO­</w:t>
      </w:r>
      <w:r w:rsidRPr="002B7E6B">
        <w:rPr>
          <w:sz w:val="22"/>
          <w:szCs w:val="22"/>
          <w:vertAlign w:val="subscript"/>
        </w:rPr>
        <w:t>2</w:t>
      </w:r>
      <w:r w:rsidRPr="002B7E6B">
        <w:rPr>
          <w:sz w:val="22"/>
          <w:szCs w:val="22"/>
        </w:rPr>
        <w:t xml:space="preserve"> and high temperature (10°C) indicating the negative effects from ocean warming were not exacerbated by ocean acidification. These findings suggest ocean warming will likely be more detrimental to Pacific cod than ongoing ocean acidification and provide additional insight into changing habitat suitability in the Gulf of Alaska and Bering Sea. Samples from these experiments </w:t>
      </w:r>
      <w:proofErr w:type="gramStart"/>
      <w:r w:rsidRPr="002B7E6B">
        <w:rPr>
          <w:sz w:val="22"/>
          <w:szCs w:val="22"/>
        </w:rPr>
        <w:t>are being analyzed</w:t>
      </w:r>
      <w:proofErr w:type="gramEnd"/>
      <w:r w:rsidRPr="002B7E6B">
        <w:rPr>
          <w:sz w:val="22"/>
          <w:szCs w:val="22"/>
        </w:rPr>
        <w:t xml:space="preserve"> for metabolic enzyme activities and gene expression to examine the physiological processes responsible for observed patterns of vulnerability and resilience to climate conditions identified in this study.  </w:t>
      </w:r>
    </w:p>
    <w:p w14:paraId="52184BB8" w14:textId="77777777" w:rsidR="00DE3EE8" w:rsidRPr="002B7E6B" w:rsidRDefault="00DE3EE8" w:rsidP="00DE3EE8">
      <w:pPr>
        <w:spacing w:before="240" w:after="240"/>
        <w:rPr>
          <w:rFonts w:eastAsia="Arial"/>
          <w:i/>
          <w:sz w:val="22"/>
          <w:szCs w:val="22"/>
        </w:rPr>
      </w:pPr>
      <w:r w:rsidRPr="002B7E6B">
        <w:rPr>
          <w:rFonts w:eastAsia="Arial"/>
          <w:i/>
          <w:sz w:val="22"/>
          <w:szCs w:val="22"/>
        </w:rPr>
        <w:t xml:space="preserve">For further information contact Tom Hurst </w:t>
      </w:r>
      <w:hyperlink r:id="rId54">
        <w:r w:rsidRPr="002B7E6B">
          <w:rPr>
            <w:rFonts w:eastAsia="Arial"/>
            <w:i/>
            <w:color w:val="1155CC"/>
            <w:sz w:val="22"/>
            <w:szCs w:val="22"/>
            <w:u w:val="single"/>
          </w:rPr>
          <w:t>thomas.hurst@noaa.gov</w:t>
        </w:r>
      </w:hyperlink>
      <w:r w:rsidRPr="002B7E6B">
        <w:rPr>
          <w:rFonts w:eastAsia="Arial"/>
          <w:i/>
          <w:color w:val="1155CC"/>
          <w:sz w:val="22"/>
          <w:szCs w:val="22"/>
        </w:rPr>
        <w:t xml:space="preserve"> </w:t>
      </w:r>
      <w:r w:rsidRPr="002B7E6B">
        <w:rPr>
          <w:rFonts w:eastAsia="Arial"/>
          <w:i/>
          <w:sz w:val="22"/>
          <w:szCs w:val="22"/>
        </w:rPr>
        <w:t xml:space="preserve">or Emily Slesinger </w:t>
      </w:r>
      <w:hyperlink r:id="rId55">
        <w:r w:rsidRPr="002B7E6B">
          <w:rPr>
            <w:rFonts w:eastAsia="Arial"/>
            <w:i/>
            <w:color w:val="1155CC"/>
            <w:sz w:val="22"/>
            <w:szCs w:val="22"/>
            <w:u w:val="single"/>
          </w:rPr>
          <w:t>emily.slesinger@noaa.gov</w:t>
        </w:r>
      </w:hyperlink>
      <w:r w:rsidRPr="002B7E6B">
        <w:rPr>
          <w:rFonts w:eastAsia="Arial"/>
          <w:i/>
          <w:sz w:val="22"/>
          <w:szCs w:val="22"/>
        </w:rPr>
        <w:t xml:space="preserve"> </w:t>
      </w:r>
    </w:p>
    <w:p w14:paraId="15C48423" w14:textId="40FF5AC0" w:rsidR="00DE3EE8" w:rsidRPr="002C1E2B" w:rsidRDefault="00DE3EE8" w:rsidP="002C1E2B">
      <w:pPr>
        <w:pStyle w:val="ListParagraph"/>
        <w:numPr>
          <w:ilvl w:val="3"/>
          <w:numId w:val="4"/>
        </w:numPr>
        <w:spacing w:before="240" w:after="240"/>
        <w:ind w:left="360"/>
        <w:rPr>
          <w:sz w:val="22"/>
          <w:szCs w:val="22"/>
        </w:rPr>
      </w:pPr>
      <w:r w:rsidRPr="002C1E2B">
        <w:rPr>
          <w:sz w:val="22"/>
          <w:szCs w:val="22"/>
        </w:rPr>
        <w:t>Stock Assessment</w:t>
      </w:r>
    </w:p>
    <w:p w14:paraId="2F0DFA93" w14:textId="2FCF2872" w:rsidR="00DE3EE8" w:rsidRPr="002B7E6B" w:rsidRDefault="00DE3EE8" w:rsidP="00DE3EE8">
      <w:pPr>
        <w:pStyle w:val="Heading5"/>
        <w:rPr>
          <w:sz w:val="22"/>
          <w:szCs w:val="22"/>
        </w:rPr>
      </w:pPr>
      <w:bookmarkStart w:id="75" w:name="_Toc131503824"/>
      <w:r w:rsidRPr="002B7E6B">
        <w:rPr>
          <w:sz w:val="22"/>
          <w:szCs w:val="22"/>
        </w:rPr>
        <w:t>Eastern Bering Sea</w:t>
      </w:r>
      <w:r w:rsidR="0024271A" w:rsidRPr="002B7E6B">
        <w:rPr>
          <w:sz w:val="22"/>
          <w:szCs w:val="22"/>
        </w:rPr>
        <w:t xml:space="preserve"> – </w:t>
      </w:r>
      <w:r w:rsidRPr="002B7E6B">
        <w:rPr>
          <w:sz w:val="22"/>
          <w:szCs w:val="22"/>
        </w:rPr>
        <w:t>REFM</w:t>
      </w:r>
      <w:bookmarkEnd w:id="75"/>
    </w:p>
    <w:p w14:paraId="4652944C" w14:textId="77777777" w:rsidR="00DE3EE8" w:rsidRPr="002B7E6B" w:rsidRDefault="00DE3EE8" w:rsidP="00DE3EE8">
      <w:pPr>
        <w:spacing w:before="240" w:after="240"/>
        <w:rPr>
          <w:sz w:val="22"/>
          <w:szCs w:val="22"/>
        </w:rPr>
      </w:pPr>
      <w:r w:rsidRPr="002B7E6B">
        <w:rPr>
          <w:sz w:val="22"/>
          <w:szCs w:val="22"/>
        </w:rPr>
        <w:t xml:space="preserve">Pacific cod (Gadus macrocephalus) is a transoceanic species, ranging from Santa Monica Bay, California, northward along the North American coast; across the Gulf of Alaska and Bering Sea north to Norton Sound; and southward along the Asian coast from the Gulf of Anadyr to the northern Yellow Sea; and occurring at depths from shoreline to 500 m. The southern limit of the species’ distribution is about 34 N latitude, with a northern limit of about 65 N latitude. Pacific cod </w:t>
      </w:r>
      <w:proofErr w:type="gramStart"/>
      <w:r w:rsidRPr="002B7E6B">
        <w:rPr>
          <w:sz w:val="22"/>
          <w:szCs w:val="22"/>
        </w:rPr>
        <w:t>is distributed</w:t>
      </w:r>
      <w:proofErr w:type="gramEnd"/>
      <w:r w:rsidRPr="002B7E6B">
        <w:rPr>
          <w:sz w:val="22"/>
          <w:szCs w:val="22"/>
        </w:rPr>
        <w:t xml:space="preserve"> widely over the eastern Bering Sea (EBS) as well as in the Aleutian Islands (AI) area. Tagging studies have demonstrated significant migration both within and between the EBS, AI, and Gulf of Alaska (GOA). However, recent research indicates the existence of discrete stocks in the EBS and AI (Spies, 2012). Research conducted in 2018 indicates that the genetic samples from the NBS survey in 2017 are very similar to those from the EBS survey area, and quite distinct from samples collected in the Aleutian Islands and the Gulf of Alaska (Spies et al., 2020). Although the resource in the combined EBS and AI (BSAI) region </w:t>
      </w:r>
      <w:proofErr w:type="gramStart"/>
      <w:r w:rsidRPr="002B7E6B">
        <w:rPr>
          <w:sz w:val="22"/>
          <w:szCs w:val="22"/>
        </w:rPr>
        <w:t>had been managed</w:t>
      </w:r>
      <w:proofErr w:type="gramEnd"/>
      <w:r w:rsidRPr="002B7E6B">
        <w:rPr>
          <w:sz w:val="22"/>
          <w:szCs w:val="22"/>
        </w:rPr>
        <w:t xml:space="preserve"> as a single unit from 1977 through 2013, separate harvest specifications have been set for the two areas since the 2014 season.</w:t>
      </w:r>
    </w:p>
    <w:p w14:paraId="690FF89B" w14:textId="77777777" w:rsidR="00DE3EE8" w:rsidRPr="002B7E6B" w:rsidRDefault="00DE3EE8" w:rsidP="00DE3EE8">
      <w:pPr>
        <w:spacing w:before="240" w:after="240"/>
        <w:rPr>
          <w:sz w:val="22"/>
          <w:szCs w:val="22"/>
        </w:rPr>
      </w:pPr>
      <w:r w:rsidRPr="002B7E6B">
        <w:rPr>
          <w:sz w:val="22"/>
          <w:szCs w:val="22"/>
        </w:rPr>
        <w:t xml:space="preserve">The EBS Pacific cod model has undergone numerous model changes and refinements over the last decade. The model uses the Stock Synthesis 3 framework. A major issue in recent years has been an apparent shift in the distribution of EBS Pacific cod into the northern Bering Sea (NBS), an area </w:t>
      </w:r>
      <w:proofErr w:type="gramStart"/>
      <w:r w:rsidRPr="002B7E6B">
        <w:rPr>
          <w:sz w:val="22"/>
          <w:szCs w:val="22"/>
        </w:rPr>
        <w:t>which</w:t>
      </w:r>
      <w:proofErr w:type="gramEnd"/>
      <w:r w:rsidRPr="002B7E6B">
        <w:rPr>
          <w:sz w:val="22"/>
          <w:szCs w:val="22"/>
        </w:rPr>
        <w:t xml:space="preserve"> historically has not been surveyed. Surveys in the NBS </w:t>
      </w:r>
      <w:proofErr w:type="gramStart"/>
      <w:r w:rsidRPr="002B7E6B">
        <w:rPr>
          <w:sz w:val="22"/>
          <w:szCs w:val="22"/>
        </w:rPr>
        <w:t>were conducted</w:t>
      </w:r>
      <w:proofErr w:type="gramEnd"/>
      <w:r w:rsidRPr="002B7E6B">
        <w:rPr>
          <w:sz w:val="22"/>
          <w:szCs w:val="22"/>
        </w:rPr>
        <w:t xml:space="preserve"> in 2010, 2017-2019, and 2021. Regular NBS surveys are likely to </w:t>
      </w:r>
      <w:proofErr w:type="gramStart"/>
      <w:r w:rsidRPr="002B7E6B">
        <w:rPr>
          <w:sz w:val="22"/>
          <w:szCs w:val="22"/>
        </w:rPr>
        <w:t>be conducted</w:t>
      </w:r>
      <w:proofErr w:type="gramEnd"/>
      <w:r w:rsidRPr="002B7E6B">
        <w:rPr>
          <w:sz w:val="22"/>
          <w:szCs w:val="22"/>
        </w:rPr>
        <w:t xml:space="preserve"> into the future as EBS groundfish stocks experience changes in distribution. The lack of survey data in the NBS has caused assessment difficulties for Pacific cod and other stocks.</w:t>
      </w:r>
    </w:p>
    <w:p w14:paraId="24C139B6" w14:textId="77777777" w:rsidR="00DE3EE8" w:rsidRPr="002B7E6B" w:rsidRDefault="00DE3EE8" w:rsidP="00DE3EE8">
      <w:pPr>
        <w:spacing w:before="240" w:after="240"/>
        <w:rPr>
          <w:sz w:val="22"/>
          <w:szCs w:val="22"/>
        </w:rPr>
      </w:pPr>
      <w:r w:rsidRPr="002B7E6B">
        <w:rPr>
          <w:sz w:val="22"/>
          <w:szCs w:val="22"/>
        </w:rPr>
        <w:t>Authorship of EBS Pacific cod transitioned from Dr. Grant Thompson, who led the assessment from 1988-2021, to Dr. Steve Barbeaux. The ensemble of models presented and accepted for use in 2021 were rerun with new data as parameterized in last year’s assessment.</w:t>
      </w:r>
    </w:p>
    <w:p w14:paraId="23CFC812" w14:textId="72AFE124" w:rsidR="00DE3EE8" w:rsidRPr="002B7E6B" w:rsidRDefault="00DE3EE8" w:rsidP="00DE3EE8">
      <w:pPr>
        <w:spacing w:before="240" w:after="240"/>
        <w:rPr>
          <w:sz w:val="22"/>
          <w:szCs w:val="22"/>
        </w:rPr>
      </w:pPr>
      <w:r w:rsidRPr="002B7E6B">
        <w:rPr>
          <w:sz w:val="22"/>
          <w:szCs w:val="22"/>
        </w:rPr>
        <w:t xml:space="preserve">Recruitment is estimated to have been </w:t>
      </w:r>
      <w:r w:rsidR="0024271A">
        <w:rPr>
          <w:sz w:val="22"/>
          <w:szCs w:val="22"/>
        </w:rPr>
        <w:t xml:space="preserve">below average for the 2014-2017 and </w:t>
      </w:r>
      <w:proofErr w:type="gramStart"/>
      <w:r w:rsidR="0024271A">
        <w:rPr>
          <w:sz w:val="22"/>
          <w:szCs w:val="22"/>
        </w:rPr>
        <w:t xml:space="preserve">2019 </w:t>
      </w:r>
      <w:r w:rsidRPr="002B7E6B">
        <w:rPr>
          <w:sz w:val="22"/>
          <w:szCs w:val="22"/>
        </w:rPr>
        <w:t>year</w:t>
      </w:r>
      <w:proofErr w:type="gramEnd"/>
      <w:r w:rsidRPr="002B7E6B">
        <w:rPr>
          <w:sz w:val="22"/>
          <w:szCs w:val="22"/>
        </w:rPr>
        <w:t xml:space="preserve"> classes, above average for 2018, and near average for 2020. Estimated spawning biomass from the ensemble increased from 2010 through 2019 to 332,967 t and has been on a downward trajectory since that time. Spawning biomass </w:t>
      </w:r>
      <w:proofErr w:type="gramStart"/>
      <w:r w:rsidRPr="002B7E6B">
        <w:rPr>
          <w:sz w:val="22"/>
          <w:szCs w:val="22"/>
        </w:rPr>
        <w:t>is projected</w:t>
      </w:r>
      <w:proofErr w:type="gramEnd"/>
      <w:r w:rsidRPr="002B7E6B">
        <w:rPr>
          <w:sz w:val="22"/>
          <w:szCs w:val="22"/>
        </w:rPr>
        <w:t xml:space="preserve"> to be 245,594 in 2023.</w:t>
      </w:r>
    </w:p>
    <w:p w14:paraId="753B22EB" w14:textId="77777777" w:rsidR="00DE3EE8" w:rsidRPr="002B7E6B" w:rsidRDefault="00DE3EE8" w:rsidP="00DE3EE8">
      <w:pPr>
        <w:rPr>
          <w:sz w:val="22"/>
          <w:szCs w:val="22"/>
        </w:rPr>
      </w:pPr>
      <w:r w:rsidRPr="002B7E6B">
        <w:rPr>
          <w:sz w:val="22"/>
          <w:szCs w:val="22"/>
        </w:rPr>
        <w:t xml:space="preserve">The 2023 maxABC in this tier as calculated using the weighted average of the models in the ensemble is 144,834 t and the projected 2024 maxABC is 140,159 t. The 2023 OFL from the weighted ensemble is </w:t>
      </w:r>
      <w:r w:rsidRPr="002B7E6B">
        <w:rPr>
          <w:sz w:val="22"/>
          <w:szCs w:val="22"/>
        </w:rPr>
        <w:lastRenderedPageBreak/>
        <w:t>172,495 t. The 2024 projected OFL is 166,814 t.</w:t>
      </w:r>
    </w:p>
    <w:p w14:paraId="78B77D0A" w14:textId="77777777" w:rsidR="00DE3EE8" w:rsidRPr="002B7E6B" w:rsidRDefault="00DE3EE8" w:rsidP="00DE3EE8">
      <w:pPr>
        <w:pStyle w:val="Heading5"/>
        <w:rPr>
          <w:sz w:val="22"/>
          <w:szCs w:val="22"/>
        </w:rPr>
      </w:pPr>
      <w:bookmarkStart w:id="76" w:name="_heading=h.8t973ixyhydu" w:colFirst="0" w:colLast="0"/>
      <w:bookmarkEnd w:id="76"/>
    </w:p>
    <w:p w14:paraId="3244E996" w14:textId="11C9D605" w:rsidR="00DE3EE8" w:rsidRPr="0024271A" w:rsidRDefault="00DE3EE8" w:rsidP="0024271A">
      <w:pPr>
        <w:pStyle w:val="Heading5"/>
      </w:pPr>
      <w:bookmarkStart w:id="77" w:name="_heading=h.1b9k5bpd63m" w:colFirst="0" w:colLast="0"/>
      <w:bookmarkStart w:id="78" w:name="_Toc131503825"/>
      <w:bookmarkEnd w:id="77"/>
      <w:r w:rsidRPr="0024271A">
        <w:t>Aleutian Islands</w:t>
      </w:r>
      <w:r w:rsidR="0024271A" w:rsidRPr="0024271A">
        <w:t xml:space="preserve"> – </w:t>
      </w:r>
      <w:r w:rsidRPr="0024271A">
        <w:t>REFM</w:t>
      </w:r>
      <w:bookmarkEnd w:id="78"/>
    </w:p>
    <w:p w14:paraId="18C1EA33" w14:textId="77777777" w:rsidR="00DE3EE8" w:rsidRPr="002B7E6B" w:rsidRDefault="00DE3EE8" w:rsidP="00DE3EE8">
      <w:pPr>
        <w:spacing w:before="240" w:after="240"/>
        <w:rPr>
          <w:sz w:val="22"/>
          <w:szCs w:val="22"/>
        </w:rPr>
      </w:pPr>
      <w:r w:rsidRPr="002B7E6B">
        <w:rPr>
          <w:sz w:val="22"/>
          <w:szCs w:val="22"/>
        </w:rPr>
        <w:t xml:space="preserve">This stock </w:t>
      </w:r>
      <w:proofErr w:type="gramStart"/>
      <w:r w:rsidRPr="002B7E6B">
        <w:rPr>
          <w:sz w:val="22"/>
          <w:szCs w:val="22"/>
        </w:rPr>
        <w:t>has been assessed separately from Eastern Bering Sea Pacific cod since 2013 and managed separately since 2014</w:t>
      </w:r>
      <w:proofErr w:type="gramEnd"/>
      <w:r w:rsidRPr="002B7E6B">
        <w:rPr>
          <w:sz w:val="22"/>
          <w:szCs w:val="22"/>
        </w:rPr>
        <w:t xml:space="preserve">. The stock </w:t>
      </w:r>
      <w:proofErr w:type="gramStart"/>
      <w:r w:rsidRPr="002B7E6B">
        <w:rPr>
          <w:sz w:val="22"/>
          <w:szCs w:val="22"/>
        </w:rPr>
        <w:t>has been managed</w:t>
      </w:r>
      <w:proofErr w:type="gramEnd"/>
      <w:r w:rsidRPr="002B7E6B">
        <w:rPr>
          <w:sz w:val="22"/>
          <w:szCs w:val="22"/>
        </w:rPr>
        <w:t xml:space="preserve"> under Tier 5 since it was first assessed separately. The authors presented two alternative age-structured models this year. However, </w:t>
      </w:r>
      <w:proofErr w:type="gramStart"/>
      <w:r w:rsidRPr="002B7E6B">
        <w:rPr>
          <w:sz w:val="22"/>
          <w:szCs w:val="22"/>
        </w:rPr>
        <w:t>these models were not accepted for management by the BSAI Groundfish Plan Team</w:t>
      </w:r>
      <w:proofErr w:type="gramEnd"/>
      <w:r w:rsidRPr="002B7E6B">
        <w:rPr>
          <w:sz w:val="22"/>
          <w:szCs w:val="22"/>
        </w:rPr>
        <w:t xml:space="preserve">. Therefore, no changes </w:t>
      </w:r>
      <w:proofErr w:type="gramStart"/>
      <w:r w:rsidRPr="002B7E6B">
        <w:rPr>
          <w:sz w:val="22"/>
          <w:szCs w:val="22"/>
        </w:rPr>
        <w:t>were made</w:t>
      </w:r>
      <w:proofErr w:type="gramEnd"/>
      <w:r w:rsidRPr="002B7E6B">
        <w:rPr>
          <w:sz w:val="22"/>
          <w:szCs w:val="22"/>
        </w:rPr>
        <w:t xml:space="preserve"> to the methodology used for recommending harvest specifications. Catch data from 1991-2021 were updated and preliminary catch data for 2022 were included in the assessment, but these have no impact on recommended harvest specifications under Tier 5. The 2022 Aleutian Islands </w:t>
      </w:r>
      <w:proofErr w:type="gramStart"/>
      <w:r w:rsidRPr="002B7E6B">
        <w:rPr>
          <w:sz w:val="22"/>
          <w:szCs w:val="22"/>
        </w:rPr>
        <w:t>bottom trawl survey biomass index</w:t>
      </w:r>
      <w:proofErr w:type="gramEnd"/>
      <w:r w:rsidRPr="002B7E6B">
        <w:rPr>
          <w:sz w:val="22"/>
          <w:szCs w:val="22"/>
        </w:rPr>
        <w:t xml:space="preserve"> was added to the Tier 5 random effects model.</w:t>
      </w:r>
    </w:p>
    <w:p w14:paraId="62425DAC" w14:textId="77777777" w:rsidR="00DE3EE8" w:rsidRPr="002B7E6B" w:rsidRDefault="00DE3EE8" w:rsidP="00DE3EE8">
      <w:pPr>
        <w:spacing w:before="240" w:after="240"/>
        <w:rPr>
          <w:sz w:val="22"/>
          <w:szCs w:val="22"/>
        </w:rPr>
      </w:pPr>
      <w:r w:rsidRPr="002B7E6B">
        <w:rPr>
          <w:sz w:val="22"/>
          <w:szCs w:val="22"/>
        </w:rPr>
        <w:t>After declining by more than 50% between 1991 and 2002, survey biomass has since stayed in the range of 50-90 kilotons. The 2018 Aleutians survey biomass estimate (81,272 t) was down approximately 4% from the 2016 estimate (84,409 t). There was no Aleutian Island survey in 2020 and the most recent Aleutian Island survey for Pacific cod conducted in 2022 was 51,539 t, 37% below the 2018 estimate.</w:t>
      </w:r>
    </w:p>
    <w:p w14:paraId="271083B3" w14:textId="77777777" w:rsidR="00DE3EE8" w:rsidRPr="002B7E6B" w:rsidRDefault="00DE3EE8" w:rsidP="00DE3EE8">
      <w:pPr>
        <w:spacing w:before="240" w:after="240"/>
        <w:rPr>
          <w:sz w:val="22"/>
          <w:szCs w:val="22"/>
        </w:rPr>
      </w:pPr>
      <w:r w:rsidRPr="002B7E6B">
        <w:rPr>
          <w:sz w:val="22"/>
          <w:szCs w:val="22"/>
        </w:rPr>
        <w:t>The Plan Team’s recommended ABC is 13,812 t, and OFL is 18,416 t. The estimate of the natural mortality rate is 0.34, which is unchanged from the previous assessment.</w:t>
      </w:r>
    </w:p>
    <w:p w14:paraId="3F99394D" w14:textId="3A246213" w:rsidR="00DE3EE8" w:rsidRPr="0024271A" w:rsidRDefault="00DE3EE8" w:rsidP="0024271A">
      <w:pPr>
        <w:pStyle w:val="Heading5"/>
      </w:pPr>
      <w:bookmarkStart w:id="79" w:name="_Toc131503826"/>
      <w:r w:rsidRPr="0024271A">
        <w:t>Gulf of Alaska</w:t>
      </w:r>
      <w:r w:rsidR="0024271A" w:rsidRPr="0024271A">
        <w:t xml:space="preserve"> – </w:t>
      </w:r>
      <w:r w:rsidRPr="0024271A">
        <w:t>ABL</w:t>
      </w:r>
      <w:bookmarkEnd w:id="79"/>
    </w:p>
    <w:p w14:paraId="74381F8D" w14:textId="77777777" w:rsidR="00DE3EE8" w:rsidRPr="002B7E6B" w:rsidRDefault="00DE3EE8" w:rsidP="0024271A">
      <w:pPr>
        <w:spacing w:before="240" w:after="240"/>
        <w:rPr>
          <w:sz w:val="22"/>
          <w:szCs w:val="22"/>
        </w:rPr>
      </w:pPr>
      <w:r w:rsidRPr="002B7E6B">
        <w:rPr>
          <w:sz w:val="22"/>
          <w:szCs w:val="22"/>
        </w:rPr>
        <w:t xml:space="preserve">In 2022, an assessment </w:t>
      </w:r>
      <w:proofErr w:type="gramStart"/>
      <w:r w:rsidRPr="002B7E6B">
        <w:rPr>
          <w:sz w:val="22"/>
          <w:szCs w:val="22"/>
        </w:rPr>
        <w:t>was conducted</w:t>
      </w:r>
      <w:proofErr w:type="gramEnd"/>
      <w:r w:rsidRPr="002B7E6B">
        <w:rPr>
          <w:sz w:val="22"/>
          <w:szCs w:val="22"/>
        </w:rPr>
        <w:t xml:space="preserve"> for Gulf of Alaska Pacific cod. Data updated for the 2022 assessment included federal and state catch data for 2021, preliminary federal and state catch data for 2022, commercial federal and state fishery size composition data for 2021, and preliminary commercial federal and state fishery size composition data for 2022. The AFSC longline survey Pacific cod abundance index and length composition data for the GOA for 2022, the AFSC bottom trawl survey conditional length-at-age data for 2021, commercial federal conditional length-at-age data for 2021 were included, and commercial state catch from 1997 – 2002 were added to the model’s catch time series. The AFSC longline survey Relative Population Number index in 2022 compared to 2021 declined by 24%.</w:t>
      </w:r>
    </w:p>
    <w:p w14:paraId="5822D258" w14:textId="77777777" w:rsidR="00DE3EE8" w:rsidRPr="002B7E6B" w:rsidRDefault="00DE3EE8" w:rsidP="00DE3EE8">
      <w:pPr>
        <w:widowControl/>
        <w:rPr>
          <w:sz w:val="22"/>
          <w:szCs w:val="22"/>
        </w:rPr>
      </w:pPr>
      <w:r w:rsidRPr="002B7E6B">
        <w:rPr>
          <w:sz w:val="22"/>
          <w:szCs w:val="22"/>
        </w:rPr>
        <w:t xml:space="preserve">Spawning biomass was above the </w:t>
      </w:r>
      <w:proofErr w:type="gramStart"/>
      <w:r w:rsidRPr="002B7E6B">
        <w:rPr>
          <w:i/>
          <w:sz w:val="22"/>
          <w:szCs w:val="22"/>
        </w:rPr>
        <w:t>B</w:t>
      </w:r>
      <w:r w:rsidRPr="002B7E6B">
        <w:rPr>
          <w:i/>
          <w:sz w:val="22"/>
          <w:szCs w:val="22"/>
          <w:vertAlign w:val="subscript"/>
        </w:rPr>
        <w:t>40%</w:t>
      </w:r>
      <w:proofErr w:type="gramEnd"/>
      <w:r w:rsidRPr="002B7E6B">
        <w:rPr>
          <w:i/>
          <w:sz w:val="22"/>
          <w:szCs w:val="22"/>
        </w:rPr>
        <w:t xml:space="preserve"> </w:t>
      </w:r>
      <w:r w:rsidRPr="002B7E6B">
        <w:rPr>
          <w:sz w:val="22"/>
          <w:szCs w:val="22"/>
        </w:rPr>
        <w:t xml:space="preserve">reference point and projected to be 42,764 t in 2023 and to slightly decrease in 2024. The SSC has determined that reliable estimates of </w:t>
      </w:r>
      <w:proofErr w:type="gramStart"/>
      <w:r w:rsidRPr="002B7E6B">
        <w:rPr>
          <w:i/>
          <w:sz w:val="22"/>
          <w:szCs w:val="22"/>
        </w:rPr>
        <w:t>B</w:t>
      </w:r>
      <w:r w:rsidRPr="002B7E6B">
        <w:rPr>
          <w:i/>
          <w:sz w:val="22"/>
          <w:szCs w:val="22"/>
          <w:vertAlign w:val="subscript"/>
        </w:rPr>
        <w:t>40%</w:t>
      </w:r>
      <w:proofErr w:type="gramEnd"/>
      <w:r w:rsidRPr="002B7E6B">
        <w:rPr>
          <w:i/>
          <w:sz w:val="22"/>
          <w:szCs w:val="22"/>
        </w:rPr>
        <w:t>, F</w:t>
      </w:r>
      <w:r w:rsidRPr="002B7E6B">
        <w:rPr>
          <w:i/>
          <w:sz w:val="22"/>
          <w:szCs w:val="22"/>
          <w:vertAlign w:val="subscript"/>
        </w:rPr>
        <w:t>40%</w:t>
      </w:r>
      <w:r w:rsidRPr="002B7E6B">
        <w:rPr>
          <w:i/>
          <w:sz w:val="22"/>
          <w:szCs w:val="22"/>
        </w:rPr>
        <w:t xml:space="preserve">, </w:t>
      </w:r>
      <w:r w:rsidRPr="002B7E6B">
        <w:rPr>
          <w:sz w:val="22"/>
          <w:szCs w:val="22"/>
        </w:rPr>
        <w:t xml:space="preserve">and </w:t>
      </w:r>
      <w:r w:rsidRPr="002B7E6B">
        <w:rPr>
          <w:i/>
          <w:sz w:val="22"/>
          <w:szCs w:val="22"/>
        </w:rPr>
        <w:t>F</w:t>
      </w:r>
      <w:r w:rsidRPr="002B7E6B">
        <w:rPr>
          <w:i/>
          <w:sz w:val="22"/>
          <w:szCs w:val="22"/>
          <w:vertAlign w:val="subscript"/>
        </w:rPr>
        <w:t>35%</w:t>
      </w:r>
      <w:r w:rsidRPr="002B7E6B">
        <w:rPr>
          <w:i/>
          <w:sz w:val="22"/>
          <w:szCs w:val="22"/>
        </w:rPr>
        <w:t xml:space="preserve"> </w:t>
      </w:r>
      <w:r w:rsidRPr="002B7E6B">
        <w:rPr>
          <w:sz w:val="22"/>
          <w:szCs w:val="22"/>
        </w:rPr>
        <w:t xml:space="preserve">exist for this stock, thereby qualifying Pacific cod for management under Tier 3. The current estimates of </w:t>
      </w:r>
      <w:proofErr w:type="gramStart"/>
      <w:r w:rsidRPr="002B7E6B">
        <w:rPr>
          <w:i/>
          <w:sz w:val="22"/>
          <w:szCs w:val="22"/>
        </w:rPr>
        <w:t>B</w:t>
      </w:r>
      <w:r w:rsidRPr="002B7E6B">
        <w:rPr>
          <w:i/>
          <w:sz w:val="22"/>
          <w:szCs w:val="22"/>
          <w:vertAlign w:val="subscript"/>
        </w:rPr>
        <w:t>40%</w:t>
      </w:r>
      <w:proofErr w:type="gramEnd"/>
      <w:r w:rsidRPr="002B7E6B">
        <w:rPr>
          <w:i/>
          <w:sz w:val="22"/>
          <w:szCs w:val="22"/>
        </w:rPr>
        <w:t>, F</w:t>
      </w:r>
      <w:r w:rsidRPr="002B7E6B">
        <w:rPr>
          <w:i/>
          <w:sz w:val="22"/>
          <w:szCs w:val="22"/>
          <w:vertAlign w:val="subscript"/>
        </w:rPr>
        <w:t>40%</w:t>
      </w:r>
      <w:r w:rsidRPr="002B7E6B">
        <w:rPr>
          <w:i/>
          <w:sz w:val="22"/>
          <w:szCs w:val="22"/>
        </w:rPr>
        <w:t xml:space="preserve">, </w:t>
      </w:r>
      <w:r w:rsidRPr="002B7E6B">
        <w:rPr>
          <w:sz w:val="22"/>
          <w:szCs w:val="22"/>
        </w:rPr>
        <w:t xml:space="preserve">and </w:t>
      </w:r>
      <w:r w:rsidRPr="002B7E6B">
        <w:rPr>
          <w:i/>
          <w:sz w:val="22"/>
          <w:szCs w:val="22"/>
        </w:rPr>
        <w:t>F</w:t>
      </w:r>
      <w:r w:rsidRPr="002B7E6B">
        <w:rPr>
          <w:i/>
          <w:sz w:val="22"/>
          <w:szCs w:val="22"/>
          <w:vertAlign w:val="subscript"/>
        </w:rPr>
        <w:t>35%</w:t>
      </w:r>
      <w:r w:rsidRPr="002B7E6B">
        <w:rPr>
          <w:i/>
          <w:sz w:val="22"/>
          <w:szCs w:val="22"/>
        </w:rPr>
        <w:t xml:space="preserve"> </w:t>
      </w:r>
      <w:r w:rsidRPr="002B7E6B">
        <w:rPr>
          <w:sz w:val="22"/>
          <w:szCs w:val="22"/>
        </w:rPr>
        <w:t xml:space="preserve">are 66,966 t, 0.41, and 0.51, respectively. Spawning biomass for 2023 is projected to be lower than </w:t>
      </w:r>
      <w:proofErr w:type="gramStart"/>
      <w:r w:rsidRPr="002B7E6B">
        <w:rPr>
          <w:i/>
          <w:sz w:val="22"/>
          <w:szCs w:val="22"/>
        </w:rPr>
        <w:t>B</w:t>
      </w:r>
      <w:r w:rsidRPr="002B7E6B">
        <w:rPr>
          <w:i/>
          <w:sz w:val="22"/>
          <w:szCs w:val="22"/>
          <w:vertAlign w:val="subscript"/>
        </w:rPr>
        <w:t>40%</w:t>
      </w:r>
      <w:proofErr w:type="gramEnd"/>
      <w:r w:rsidRPr="002B7E6B">
        <w:rPr>
          <w:sz w:val="22"/>
          <w:szCs w:val="22"/>
        </w:rPr>
        <w:t xml:space="preserve">, thereby placing Pacific cod in sub-tier “b” of Tier 3. The 2023 and 2024 catches associated with the </w:t>
      </w:r>
      <w:proofErr w:type="gramStart"/>
      <w:r w:rsidRPr="002B7E6B">
        <w:rPr>
          <w:i/>
          <w:sz w:val="22"/>
          <w:szCs w:val="22"/>
        </w:rPr>
        <w:t>F</w:t>
      </w:r>
      <w:r w:rsidRPr="002B7E6B">
        <w:rPr>
          <w:i/>
          <w:sz w:val="22"/>
          <w:szCs w:val="22"/>
          <w:vertAlign w:val="subscript"/>
        </w:rPr>
        <w:t>40%</w:t>
      </w:r>
      <w:proofErr w:type="gramEnd"/>
      <w:r w:rsidRPr="002B7E6B">
        <w:rPr>
          <w:i/>
          <w:sz w:val="22"/>
          <w:szCs w:val="22"/>
        </w:rPr>
        <w:t xml:space="preserve"> </w:t>
      </w:r>
      <w:r w:rsidRPr="002B7E6B">
        <w:rPr>
          <w:sz w:val="22"/>
          <w:szCs w:val="22"/>
        </w:rPr>
        <w:t>level of 0.41 are 24,634 t and 22,683 t, respectively, and were the authors’ and Plan Team’s recommended ABCs. The 2023 and 2024 OFLs are 29,737 t and 27,507 t.</w:t>
      </w:r>
    </w:p>
    <w:p w14:paraId="4AEC69E9" w14:textId="77777777" w:rsidR="00DE3EE8" w:rsidRPr="002B7E6B" w:rsidRDefault="00DE3EE8" w:rsidP="00DE3EE8">
      <w:pPr>
        <w:widowControl/>
        <w:rPr>
          <w:sz w:val="22"/>
          <w:szCs w:val="22"/>
        </w:rPr>
      </w:pPr>
      <w:r w:rsidRPr="002B7E6B">
        <w:rPr>
          <w:sz w:val="22"/>
          <w:szCs w:val="22"/>
        </w:rPr>
        <w:t> </w:t>
      </w:r>
    </w:p>
    <w:p w14:paraId="6AA7F7B8" w14:textId="77777777" w:rsidR="00DE3EE8" w:rsidRPr="002B7E6B" w:rsidRDefault="00DE3EE8" w:rsidP="00DE3EE8">
      <w:pPr>
        <w:widowControl/>
        <w:rPr>
          <w:sz w:val="22"/>
          <w:szCs w:val="22"/>
        </w:rPr>
      </w:pPr>
      <w:r w:rsidRPr="002B7E6B">
        <w:rPr>
          <w:sz w:val="22"/>
          <w:szCs w:val="22"/>
        </w:rPr>
        <w:t>A random effects model was used to set regional ABCs based on the proportions of model-based estimates for 2023: Western GOA = 7,464 t, Central GOA = 14,830 t, and Eastern GOA = 2,340 t. Pacific cod is not being subjected to overfishing, is not overfished, and is not approaching an overfished condition.</w:t>
      </w:r>
    </w:p>
    <w:p w14:paraId="48D73326" w14:textId="77777777" w:rsidR="00DE3EE8" w:rsidRPr="002B7E6B" w:rsidRDefault="00DE3EE8" w:rsidP="00DE3EE8">
      <w:pPr>
        <w:widowControl/>
        <w:rPr>
          <w:sz w:val="22"/>
          <w:szCs w:val="22"/>
        </w:rPr>
      </w:pPr>
      <w:r w:rsidRPr="002B7E6B">
        <w:rPr>
          <w:sz w:val="22"/>
          <w:szCs w:val="22"/>
        </w:rPr>
        <w:t xml:space="preserve">For more </w:t>
      </w:r>
      <w:proofErr w:type="gramStart"/>
      <w:r w:rsidRPr="002B7E6B">
        <w:rPr>
          <w:sz w:val="22"/>
          <w:szCs w:val="22"/>
        </w:rPr>
        <w:t>information</w:t>
      </w:r>
      <w:proofErr w:type="gramEnd"/>
      <w:r w:rsidRPr="002B7E6B">
        <w:rPr>
          <w:sz w:val="22"/>
          <w:szCs w:val="22"/>
        </w:rPr>
        <w:t xml:space="preserve"> contact Pete Hulson, ABL, at (907) 789-6060 or pete.hulson@noaa.gov.</w:t>
      </w:r>
    </w:p>
    <w:p w14:paraId="02D20277" w14:textId="77777777" w:rsidR="00DE3EE8" w:rsidRPr="002B7E6B" w:rsidRDefault="00DE3EE8" w:rsidP="00DE3EE8">
      <w:pPr>
        <w:rPr>
          <w:sz w:val="22"/>
          <w:szCs w:val="22"/>
        </w:rPr>
      </w:pPr>
    </w:p>
    <w:p w14:paraId="4DB5318C" w14:textId="77777777" w:rsidR="00DE3EE8" w:rsidRPr="002B7E6B" w:rsidRDefault="00DE3EE8" w:rsidP="00DE3EE8">
      <w:pPr>
        <w:pStyle w:val="Heading3"/>
        <w:keepNext w:val="0"/>
        <w:keepLines w:val="0"/>
        <w:numPr>
          <w:ilvl w:val="0"/>
          <w:numId w:val="3"/>
        </w:numPr>
        <w:spacing w:before="0" w:after="0"/>
        <w:ind w:left="360"/>
        <w:rPr>
          <w:rFonts w:cs="Times New Roman"/>
          <w:sz w:val="22"/>
          <w:szCs w:val="22"/>
        </w:rPr>
      </w:pPr>
      <w:bookmarkStart w:id="80" w:name="_Toc131503827"/>
      <w:r w:rsidRPr="002B7E6B">
        <w:rPr>
          <w:rFonts w:cs="Times New Roman"/>
          <w:sz w:val="22"/>
          <w:szCs w:val="22"/>
        </w:rPr>
        <w:t>Walleye Pollock</w:t>
      </w:r>
      <w:bookmarkEnd w:id="80"/>
      <w:r w:rsidRPr="002B7E6B">
        <w:rPr>
          <w:rFonts w:cs="Times New Roman"/>
          <w:sz w:val="22"/>
          <w:szCs w:val="22"/>
        </w:rPr>
        <w:t xml:space="preserve">  </w:t>
      </w:r>
    </w:p>
    <w:p w14:paraId="3B3AA90B" w14:textId="77777777" w:rsidR="00DE3EE8" w:rsidRPr="002B7E6B" w:rsidRDefault="00DE3EE8" w:rsidP="00DE3EE8">
      <w:pPr>
        <w:rPr>
          <w:sz w:val="22"/>
          <w:szCs w:val="22"/>
        </w:rPr>
      </w:pPr>
    </w:p>
    <w:p w14:paraId="5473EC07" w14:textId="77777777" w:rsidR="00DE3EE8" w:rsidRPr="002B7E6B" w:rsidRDefault="00DE3EE8" w:rsidP="00DE3EE8">
      <w:pPr>
        <w:pStyle w:val="Heading4"/>
        <w:numPr>
          <w:ilvl w:val="0"/>
          <w:numId w:val="1"/>
        </w:numPr>
        <w:ind w:left="270" w:hanging="270"/>
        <w:rPr>
          <w:szCs w:val="22"/>
        </w:rPr>
      </w:pPr>
      <w:bookmarkStart w:id="81" w:name="_Toc131503828"/>
      <w:r w:rsidRPr="002B7E6B">
        <w:rPr>
          <w:szCs w:val="22"/>
        </w:rPr>
        <w:t>Research</w:t>
      </w:r>
      <w:bookmarkEnd w:id="81"/>
    </w:p>
    <w:p w14:paraId="7E32AAFF" w14:textId="77777777" w:rsidR="00DE3EE8" w:rsidRPr="002B7E6B" w:rsidRDefault="00DE3EE8" w:rsidP="00DE3EE8">
      <w:pPr>
        <w:spacing w:line="276" w:lineRule="auto"/>
        <w:rPr>
          <w:sz w:val="22"/>
          <w:szCs w:val="22"/>
        </w:rPr>
      </w:pPr>
    </w:p>
    <w:p w14:paraId="57E20A64" w14:textId="26FBA6F7" w:rsidR="00EA25B4" w:rsidRPr="00EA25B4" w:rsidRDefault="00DE3EE8" w:rsidP="00EA25B4">
      <w:pPr>
        <w:pStyle w:val="Heading5"/>
      </w:pPr>
      <w:bookmarkStart w:id="82" w:name="_Toc131503829"/>
      <w:r w:rsidRPr="00EA25B4">
        <w:t xml:space="preserve">Pre- and Post-Winter Temperature Change Index and the Recruitment of Bering Sea Pollock </w:t>
      </w:r>
      <w:r w:rsidR="00EA25B4">
        <w:t>–</w:t>
      </w:r>
      <w:r w:rsidRPr="00EA25B4">
        <w:t xml:space="preserve"> </w:t>
      </w:r>
      <w:r w:rsidRPr="00EA25B4">
        <w:lastRenderedPageBreak/>
        <w:t>AB</w:t>
      </w:r>
      <w:r w:rsidR="002140E8" w:rsidRPr="00EA25B4">
        <w:t>L</w:t>
      </w:r>
      <w:bookmarkEnd w:id="82"/>
    </w:p>
    <w:p w14:paraId="6C59A9AD" w14:textId="77777777" w:rsidR="00DE3EE8" w:rsidRPr="002B7E6B" w:rsidRDefault="00DE3EE8" w:rsidP="00DE3EE8">
      <w:pPr>
        <w:rPr>
          <w:sz w:val="22"/>
          <w:szCs w:val="22"/>
        </w:rPr>
      </w:pPr>
    </w:p>
    <w:p w14:paraId="46CF4649" w14:textId="77777777" w:rsidR="00DE3EE8" w:rsidRPr="002B7E6B" w:rsidRDefault="00DE3EE8" w:rsidP="00DE3EE8">
      <w:pPr>
        <w:widowControl/>
        <w:rPr>
          <w:sz w:val="22"/>
          <w:szCs w:val="22"/>
        </w:rPr>
      </w:pPr>
      <w:r w:rsidRPr="002B7E6B">
        <w:rPr>
          <w:sz w:val="22"/>
          <w:szCs w:val="22"/>
        </w:rPr>
        <w:t xml:space="preserve">According to the original Oscillating Control Hypothesis (OCH), warmer spring temperatures and earlier ice retreat led to a later oceanic and pelagic phytoplankton bloom and more food in the pelagic waters at an optimal time for use by pelagic species. The revised OCH indicated that age-0 pollock were more energy-rich and have higher overwintering survival to age-1 in a year with a cooler late summer. Therefore, the warmer later summers during the age-0 phase followed by warmer spring temperatures during the age-1 phase </w:t>
      </w:r>
      <w:proofErr w:type="gramStart"/>
      <w:r w:rsidRPr="002B7E6B">
        <w:rPr>
          <w:sz w:val="22"/>
          <w:szCs w:val="22"/>
        </w:rPr>
        <w:t>are assumed</w:t>
      </w:r>
      <w:proofErr w:type="gramEnd"/>
      <w:r w:rsidRPr="002B7E6B">
        <w:rPr>
          <w:sz w:val="22"/>
          <w:szCs w:val="22"/>
        </w:rPr>
        <w:t xml:space="preserve"> unfavorable for the survival of pollock from age-0 to age-1. </w:t>
      </w:r>
    </w:p>
    <w:p w14:paraId="18C842DA" w14:textId="77777777" w:rsidR="00DE3EE8" w:rsidRPr="002B7E6B" w:rsidRDefault="00DE3EE8" w:rsidP="00DE3EE8">
      <w:pPr>
        <w:widowControl/>
        <w:jc w:val="both"/>
        <w:rPr>
          <w:b/>
          <w:sz w:val="22"/>
          <w:szCs w:val="22"/>
        </w:rPr>
      </w:pPr>
    </w:p>
    <w:p w14:paraId="55B960FD" w14:textId="77777777" w:rsidR="00DE3EE8" w:rsidRPr="002B7E6B" w:rsidRDefault="00DE3EE8" w:rsidP="00DE3EE8">
      <w:pPr>
        <w:widowControl/>
        <w:jc w:val="both"/>
        <w:rPr>
          <w:sz w:val="22"/>
          <w:szCs w:val="22"/>
        </w:rPr>
      </w:pPr>
      <w:r w:rsidRPr="002B7E6B">
        <w:rPr>
          <w:sz w:val="22"/>
          <w:szCs w:val="22"/>
        </w:rPr>
        <w:t>The temperature change (TC) index is a composite index for the pre- and post-winter thermal conditions experienced by walleye pollock (</w:t>
      </w:r>
      <w:r w:rsidRPr="002B7E6B">
        <w:rPr>
          <w:i/>
          <w:sz w:val="22"/>
          <w:szCs w:val="22"/>
        </w:rPr>
        <w:t>Gadus chalcogrammus</w:t>
      </w:r>
      <w:r w:rsidRPr="002B7E6B">
        <w:rPr>
          <w:sz w:val="22"/>
          <w:szCs w:val="22"/>
        </w:rPr>
        <w:t xml:space="preserve">) from age-0 to age-1 in the eastern Bering Sea (Martinson et al., 2012). The TC index (year t) is calculated as the difference in the average monthly sea surface temperature in June (t+1) and August (t) (Figure 1) in the southern region of the eastern Bering Sea. Less negative values represent a cool late summer during the age-0 phase followed by a warm spring during the age-1 phase for pollock. The </w:t>
      </w:r>
      <w:proofErr w:type="gramStart"/>
      <w:r w:rsidRPr="002B7E6B">
        <w:rPr>
          <w:sz w:val="22"/>
          <w:szCs w:val="22"/>
        </w:rPr>
        <w:t>2020 year</w:t>
      </w:r>
      <w:proofErr w:type="gramEnd"/>
      <w:r w:rsidRPr="002B7E6B">
        <w:rPr>
          <w:sz w:val="22"/>
          <w:szCs w:val="22"/>
        </w:rPr>
        <w:t xml:space="preserve"> class of pollock experienced above average summer temperatures during the age-0 stage and a warm spring in 2021 during the age-1 stage indicating below average conditions for overwintering survival from age-0 to age-1. The 2021 TC index value of -4.36 was similar to the long-term average of -</w:t>
      </w:r>
      <w:proofErr w:type="gramStart"/>
      <w:r w:rsidRPr="002B7E6B">
        <w:rPr>
          <w:sz w:val="22"/>
          <w:szCs w:val="22"/>
        </w:rPr>
        <w:t>4.59,</w:t>
      </w:r>
      <w:proofErr w:type="gramEnd"/>
      <w:r w:rsidRPr="002B7E6B">
        <w:rPr>
          <w:sz w:val="22"/>
          <w:szCs w:val="22"/>
        </w:rPr>
        <w:t xml:space="preserve"> therefore we expect average recruitment of pollock to age-4 in 2025 from the 2021 year class (Figure 2). </w:t>
      </w:r>
    </w:p>
    <w:p w14:paraId="43CAA1CD" w14:textId="77777777" w:rsidR="00DE3EE8" w:rsidRPr="002B7E6B" w:rsidRDefault="00DE3EE8" w:rsidP="00DE3EE8">
      <w:pPr>
        <w:widowControl/>
        <w:spacing w:before="188"/>
        <w:ind w:left="40" w:right="119"/>
        <w:jc w:val="both"/>
        <w:rPr>
          <w:sz w:val="22"/>
          <w:szCs w:val="22"/>
        </w:rPr>
      </w:pPr>
      <w:r w:rsidRPr="002B7E6B">
        <w:rPr>
          <w:noProof/>
          <w:sz w:val="22"/>
          <w:szCs w:val="22"/>
        </w:rPr>
        <w:drawing>
          <wp:inline distT="0" distB="0" distL="0" distR="0" wp14:anchorId="49E11A48" wp14:editId="5BBA1FF6">
            <wp:extent cx="4615180" cy="2755900"/>
            <wp:effectExtent l="0" t="0" r="0" b="0"/>
            <wp:docPr id="5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6"/>
                    <a:srcRect/>
                    <a:stretch>
                      <a:fillRect/>
                    </a:stretch>
                  </pic:blipFill>
                  <pic:spPr>
                    <a:xfrm>
                      <a:off x="0" y="0"/>
                      <a:ext cx="4615180" cy="2755900"/>
                    </a:xfrm>
                    <a:prstGeom prst="rect">
                      <a:avLst/>
                    </a:prstGeom>
                    <a:ln/>
                  </pic:spPr>
                </pic:pic>
              </a:graphicData>
            </a:graphic>
          </wp:inline>
        </w:drawing>
      </w:r>
    </w:p>
    <w:p w14:paraId="4FAE11C9" w14:textId="77777777" w:rsidR="00DE3EE8" w:rsidRPr="002B7E6B" w:rsidRDefault="00DE3EE8" w:rsidP="00DE3EE8">
      <w:pPr>
        <w:widowControl/>
        <w:spacing w:before="188"/>
        <w:ind w:left="40" w:right="119"/>
        <w:jc w:val="both"/>
        <w:rPr>
          <w:sz w:val="22"/>
          <w:szCs w:val="22"/>
        </w:rPr>
      </w:pPr>
      <w:r w:rsidRPr="002B7E6B">
        <w:rPr>
          <w:sz w:val="22"/>
          <w:szCs w:val="22"/>
        </w:rPr>
        <w:t xml:space="preserve">Figure 1: The Temperature Change index values for the 1950 to 2021 year classes of pollock. Values represent the differences in sea temperatures in the </w:t>
      </w:r>
      <w:proofErr w:type="gramStart"/>
      <w:r w:rsidRPr="002B7E6B">
        <w:rPr>
          <w:sz w:val="22"/>
          <w:szCs w:val="22"/>
        </w:rPr>
        <w:t>south eastern</w:t>
      </w:r>
      <w:proofErr w:type="gramEnd"/>
      <w:r w:rsidRPr="002B7E6B">
        <w:rPr>
          <w:sz w:val="22"/>
          <w:szCs w:val="22"/>
        </w:rPr>
        <w:t xml:space="preserve"> Bering Sea shelf. Less favorable conditions (more negative values) represent a warm summer during the age-0 life stage followed by a relatively cool spring during the age-1 life stage.</w:t>
      </w:r>
    </w:p>
    <w:p w14:paraId="63ED1D77" w14:textId="77777777" w:rsidR="00DE3EE8" w:rsidRPr="002B7E6B" w:rsidRDefault="00DE3EE8" w:rsidP="00DE3EE8">
      <w:pPr>
        <w:widowControl/>
        <w:ind w:left="40"/>
        <w:rPr>
          <w:sz w:val="22"/>
          <w:szCs w:val="22"/>
        </w:rPr>
      </w:pPr>
      <w:r w:rsidRPr="002B7E6B">
        <w:rPr>
          <w:noProof/>
          <w:sz w:val="22"/>
          <w:szCs w:val="22"/>
        </w:rPr>
        <w:lastRenderedPageBreak/>
        <w:drawing>
          <wp:inline distT="0" distB="0" distL="0" distR="0" wp14:anchorId="0E68F81D" wp14:editId="6C03188B">
            <wp:extent cx="3688715" cy="2755900"/>
            <wp:effectExtent l="0" t="0" r="0" b="0"/>
            <wp:docPr id="6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7"/>
                    <a:srcRect/>
                    <a:stretch>
                      <a:fillRect/>
                    </a:stretch>
                  </pic:blipFill>
                  <pic:spPr>
                    <a:xfrm>
                      <a:off x="0" y="0"/>
                      <a:ext cx="3688715" cy="2755900"/>
                    </a:xfrm>
                    <a:prstGeom prst="rect">
                      <a:avLst/>
                    </a:prstGeom>
                    <a:ln/>
                  </pic:spPr>
                </pic:pic>
              </a:graphicData>
            </a:graphic>
          </wp:inline>
        </w:drawing>
      </w:r>
    </w:p>
    <w:p w14:paraId="1A904915" w14:textId="77777777" w:rsidR="00DE3EE8" w:rsidRPr="002B7E6B" w:rsidRDefault="00DE3EE8" w:rsidP="00DE3EE8">
      <w:pPr>
        <w:widowControl/>
        <w:ind w:left="40"/>
        <w:rPr>
          <w:sz w:val="22"/>
          <w:szCs w:val="22"/>
        </w:rPr>
      </w:pPr>
      <w:r w:rsidRPr="002B7E6B">
        <w:rPr>
          <w:sz w:val="22"/>
          <w:szCs w:val="22"/>
        </w:rPr>
        <w:t xml:space="preserve">Figure 2: Normalized time series values of the temperature change index indicating conditions experienced by the 1960-2021 year classes of pollock during the summer age-0 and spring age-1 life stages.  Normalized values of the estimated abundance of age-4 walleye pollock in the eastern Bering Sea from 1964-2021 for the 1960-2017 year classes. Age-4 walleye pollock estimates are from the </w:t>
      </w:r>
      <w:proofErr w:type="gramStart"/>
      <w:r w:rsidRPr="002B7E6B">
        <w:rPr>
          <w:sz w:val="22"/>
          <w:szCs w:val="22"/>
        </w:rPr>
        <w:t>Alaska walleye pollock stock assessment</w:t>
      </w:r>
      <w:proofErr w:type="gramEnd"/>
      <w:r w:rsidRPr="002B7E6B">
        <w:rPr>
          <w:sz w:val="22"/>
          <w:szCs w:val="22"/>
        </w:rPr>
        <w:t xml:space="preserve"> (Ianelli et al. 2021). </w:t>
      </w:r>
    </w:p>
    <w:p w14:paraId="2C505EDB" w14:textId="77777777" w:rsidR="00DE3EE8" w:rsidRPr="002B7E6B" w:rsidRDefault="00DE3EE8" w:rsidP="00DE3EE8">
      <w:pPr>
        <w:widowControl/>
        <w:rPr>
          <w:sz w:val="22"/>
          <w:szCs w:val="22"/>
        </w:rPr>
      </w:pPr>
    </w:p>
    <w:p w14:paraId="2253C230" w14:textId="39BEF0C8" w:rsidR="00DE3EE8" w:rsidRDefault="00DE3EE8" w:rsidP="00DE3EE8">
      <w:pPr>
        <w:widowControl/>
        <w:rPr>
          <w:sz w:val="22"/>
          <w:szCs w:val="22"/>
        </w:rPr>
      </w:pPr>
      <w:r w:rsidRPr="002B7E6B">
        <w:rPr>
          <w:sz w:val="22"/>
          <w:szCs w:val="22"/>
        </w:rPr>
        <w:t>Literature Cited</w:t>
      </w:r>
    </w:p>
    <w:p w14:paraId="6D27FAB3" w14:textId="77777777" w:rsidR="002140E8" w:rsidRPr="002B7E6B" w:rsidRDefault="002140E8" w:rsidP="00DE3EE8">
      <w:pPr>
        <w:widowControl/>
        <w:rPr>
          <w:color w:val="222222"/>
          <w:sz w:val="22"/>
          <w:szCs w:val="22"/>
          <w:highlight w:val="white"/>
        </w:rPr>
      </w:pPr>
    </w:p>
    <w:p w14:paraId="3EA2E90D" w14:textId="77777777" w:rsidR="002140E8" w:rsidRDefault="00DE3EE8" w:rsidP="002140E8">
      <w:pPr>
        <w:widowControl/>
        <w:spacing w:after="200"/>
        <w:ind w:left="720" w:hanging="720"/>
        <w:rPr>
          <w:color w:val="222222"/>
          <w:sz w:val="22"/>
          <w:szCs w:val="22"/>
          <w:highlight w:val="white"/>
        </w:rPr>
      </w:pPr>
      <w:r w:rsidRPr="002B7E6B">
        <w:rPr>
          <w:color w:val="222222"/>
          <w:sz w:val="22"/>
          <w:szCs w:val="22"/>
          <w:highlight w:val="white"/>
        </w:rPr>
        <w:t>Martinson, E. C., Stokes, H. H., &amp; Scarnecchia, D. L. 2012. Use of juvenile salmon growth and temperature change indices to predict groundfish post age</w:t>
      </w:r>
      <w:r w:rsidRPr="002B7E6B">
        <w:rPr>
          <w:rFonts w:eastAsia="Cambria Math"/>
          <w:color w:val="222222"/>
          <w:sz w:val="22"/>
          <w:szCs w:val="22"/>
          <w:highlight w:val="white"/>
        </w:rPr>
        <w:t>‐</w:t>
      </w:r>
      <w:r w:rsidRPr="002B7E6B">
        <w:rPr>
          <w:color w:val="222222"/>
          <w:sz w:val="22"/>
          <w:szCs w:val="22"/>
          <w:highlight w:val="white"/>
        </w:rPr>
        <w:t>0 yr class strengths in the Gulf of Alaska and eastern Bering Sea. </w:t>
      </w:r>
      <w:r w:rsidRPr="002B7E6B">
        <w:rPr>
          <w:i/>
          <w:color w:val="222222"/>
          <w:sz w:val="22"/>
          <w:szCs w:val="22"/>
          <w:highlight w:val="white"/>
        </w:rPr>
        <w:t>Fisheries Oceanography</w:t>
      </w:r>
      <w:r w:rsidRPr="002B7E6B">
        <w:rPr>
          <w:color w:val="222222"/>
          <w:sz w:val="22"/>
          <w:szCs w:val="22"/>
          <w:highlight w:val="white"/>
        </w:rPr>
        <w:t>, </w:t>
      </w:r>
      <w:r w:rsidRPr="002B7E6B">
        <w:rPr>
          <w:i/>
          <w:color w:val="222222"/>
          <w:sz w:val="22"/>
          <w:szCs w:val="22"/>
          <w:highlight w:val="white"/>
        </w:rPr>
        <w:t>21</w:t>
      </w:r>
      <w:r w:rsidRPr="002B7E6B">
        <w:rPr>
          <w:color w:val="222222"/>
          <w:sz w:val="22"/>
          <w:szCs w:val="22"/>
          <w:highlight w:val="white"/>
        </w:rPr>
        <w:t xml:space="preserve">(4), 307-319. </w:t>
      </w:r>
    </w:p>
    <w:p w14:paraId="024D81FC" w14:textId="37D9EE97" w:rsidR="00DE3EE8" w:rsidRPr="002B7E6B" w:rsidRDefault="00DE3EE8" w:rsidP="00DE3EE8">
      <w:pPr>
        <w:widowControl/>
        <w:spacing w:after="200"/>
        <w:rPr>
          <w:color w:val="222222"/>
          <w:sz w:val="22"/>
          <w:szCs w:val="22"/>
          <w:highlight w:val="white"/>
        </w:rPr>
      </w:pPr>
      <w:r w:rsidRPr="002B7E6B">
        <w:rPr>
          <w:color w:val="222222"/>
          <w:sz w:val="22"/>
          <w:szCs w:val="22"/>
          <w:highlight w:val="white"/>
        </w:rPr>
        <w:t xml:space="preserve">For more </w:t>
      </w:r>
      <w:proofErr w:type="gramStart"/>
      <w:r w:rsidRPr="002B7E6B">
        <w:rPr>
          <w:color w:val="222222"/>
          <w:sz w:val="22"/>
          <w:szCs w:val="22"/>
          <w:highlight w:val="white"/>
        </w:rPr>
        <w:t>information</w:t>
      </w:r>
      <w:proofErr w:type="gramEnd"/>
      <w:r w:rsidRPr="002B7E6B">
        <w:rPr>
          <w:color w:val="222222"/>
          <w:sz w:val="22"/>
          <w:szCs w:val="22"/>
          <w:highlight w:val="white"/>
        </w:rPr>
        <w:t xml:space="preserve"> contact Ellen.Yasumiishi@noaa.gov</w:t>
      </w:r>
    </w:p>
    <w:p w14:paraId="72804C27" w14:textId="77777777" w:rsidR="00DE3EE8" w:rsidRPr="002B7E6B" w:rsidRDefault="00DE3EE8" w:rsidP="00DE3EE8">
      <w:pPr>
        <w:widowControl/>
        <w:spacing w:after="200"/>
        <w:rPr>
          <w:color w:val="222222"/>
          <w:sz w:val="22"/>
          <w:szCs w:val="22"/>
          <w:highlight w:val="white"/>
        </w:rPr>
      </w:pPr>
    </w:p>
    <w:p w14:paraId="3EF6696F" w14:textId="17E6367A" w:rsidR="00DE3EE8" w:rsidRDefault="00DE3EE8" w:rsidP="00EA25B4">
      <w:pPr>
        <w:pStyle w:val="Heading5"/>
      </w:pPr>
      <w:bookmarkStart w:id="83" w:name="_Toc131503830"/>
      <w:r w:rsidRPr="00EA25B4">
        <w:t>Large copepod abundance sample-based and modeled) as an indicator of pollock recruitment to age-3</w:t>
      </w:r>
      <w:r w:rsidR="00EA25B4">
        <w:t xml:space="preserve"> in the southeastern Bering Sea</w:t>
      </w:r>
      <w:r w:rsidR="0024271A">
        <w:t xml:space="preserve"> – </w:t>
      </w:r>
      <w:r w:rsidRPr="00EA25B4">
        <w:t>ABL</w:t>
      </w:r>
      <w:bookmarkEnd w:id="83"/>
    </w:p>
    <w:p w14:paraId="0B2E4012" w14:textId="77777777" w:rsidR="00EA25B4" w:rsidRPr="00EA25B4" w:rsidRDefault="00EA25B4" w:rsidP="00EA25B4"/>
    <w:p w14:paraId="0E379C12" w14:textId="77777777" w:rsidR="00DE3EE8" w:rsidRPr="002B7E6B" w:rsidRDefault="00DE3EE8" w:rsidP="00DE3EE8">
      <w:pPr>
        <w:widowControl/>
        <w:spacing w:after="200"/>
        <w:rPr>
          <w:sz w:val="22"/>
          <w:szCs w:val="22"/>
        </w:rPr>
      </w:pPr>
      <w:r w:rsidRPr="002B7E6B">
        <w:rPr>
          <w:sz w:val="22"/>
          <w:szCs w:val="22"/>
        </w:rPr>
        <w:t>Interannual variations in large copepod abundance during the pollock age-0 life stage were compared to age-3 walleye pollock (</w:t>
      </w:r>
      <w:r w:rsidRPr="002B7E6B">
        <w:rPr>
          <w:i/>
          <w:sz w:val="22"/>
          <w:szCs w:val="22"/>
        </w:rPr>
        <w:t>Gadus</w:t>
      </w:r>
      <w:r w:rsidRPr="002B7E6B">
        <w:rPr>
          <w:sz w:val="22"/>
          <w:szCs w:val="22"/>
        </w:rPr>
        <w:t xml:space="preserve"> </w:t>
      </w:r>
      <w:r w:rsidRPr="002B7E6B">
        <w:rPr>
          <w:i/>
          <w:sz w:val="22"/>
          <w:szCs w:val="22"/>
        </w:rPr>
        <w:t>chalcogrammus</w:t>
      </w:r>
      <w:r w:rsidRPr="002B7E6B">
        <w:rPr>
          <w:sz w:val="22"/>
          <w:szCs w:val="22"/>
        </w:rPr>
        <w:t xml:space="preserve">) abundance (billions of fish) for the 2002-2018 year classes on the southeastern Bering Sea shelf, south of 60°N, &lt; 200 m bathymetry. The large copepod index sums the abundances of </w:t>
      </w:r>
      <w:r w:rsidRPr="002B7E6B">
        <w:rPr>
          <w:i/>
          <w:sz w:val="22"/>
          <w:szCs w:val="22"/>
        </w:rPr>
        <w:t xml:space="preserve">Calanus marshallae/glacialis </w:t>
      </w:r>
      <w:r w:rsidRPr="002B7E6B">
        <w:rPr>
          <w:sz w:val="22"/>
          <w:szCs w:val="22"/>
        </w:rPr>
        <w:t xml:space="preserve">(copepodite stage 3 (C3)-adult), </w:t>
      </w:r>
      <w:r w:rsidRPr="002B7E6B">
        <w:rPr>
          <w:i/>
          <w:sz w:val="22"/>
          <w:szCs w:val="22"/>
        </w:rPr>
        <w:t>Neocalanus</w:t>
      </w:r>
      <w:r w:rsidRPr="002B7E6B">
        <w:rPr>
          <w:sz w:val="22"/>
          <w:szCs w:val="22"/>
        </w:rPr>
        <w:t xml:space="preserve"> spp. (C3-adult), and </w:t>
      </w:r>
      <w:r w:rsidRPr="002B7E6B">
        <w:rPr>
          <w:i/>
          <w:sz w:val="22"/>
          <w:szCs w:val="22"/>
        </w:rPr>
        <w:t xml:space="preserve">Metridia </w:t>
      </w:r>
      <w:proofErr w:type="gramStart"/>
      <w:r w:rsidRPr="002B7E6B">
        <w:rPr>
          <w:i/>
          <w:sz w:val="22"/>
          <w:szCs w:val="22"/>
        </w:rPr>
        <w:t>pacifica</w:t>
      </w:r>
      <w:proofErr w:type="gramEnd"/>
      <w:r w:rsidRPr="002B7E6B">
        <w:rPr>
          <w:sz w:val="22"/>
          <w:szCs w:val="22"/>
        </w:rPr>
        <w:t xml:space="preserve"> (C4-adult), taxa typically important in age 0 pollock diets. Data were collected on the Bering Arctic Subarctic Integrated Survey (BASIS) fishery oceanography surveys and along the 70 misobath during mid-August to late September, for four warm years (2002-2005) followed by one average (2006), six cold (2007-2012), four warm (2014-2016, 2018) and an average year (2017, 70 m isobath only). Zooplankton data were not available for 2013. Age-3 pollock abundance </w:t>
      </w:r>
      <w:proofErr w:type="gramStart"/>
      <w:r w:rsidRPr="002B7E6B">
        <w:rPr>
          <w:sz w:val="22"/>
          <w:szCs w:val="22"/>
        </w:rPr>
        <w:t>was obtained</w:t>
      </w:r>
      <w:proofErr w:type="gramEnd"/>
      <w:r w:rsidRPr="002B7E6B">
        <w:rPr>
          <w:sz w:val="22"/>
          <w:szCs w:val="22"/>
        </w:rPr>
        <w:t xml:space="preserve"> from the stock assessment report for the 2002-2018 year classes. Two estimates of large copepod abundances were calculated, the first using means among stations (sample-based), and the second using the means estimated from the geostatistical model, Vector Autoregressive Spatial Temporal (VAST) package version 9.4.0. </w:t>
      </w:r>
    </w:p>
    <w:p w14:paraId="066B22BA" w14:textId="77777777" w:rsidR="00DE3EE8" w:rsidRPr="002B7E6B" w:rsidRDefault="00DE3EE8" w:rsidP="00DE3EE8">
      <w:pPr>
        <w:widowControl/>
        <w:spacing w:after="200"/>
        <w:rPr>
          <w:sz w:val="22"/>
          <w:szCs w:val="22"/>
        </w:rPr>
      </w:pPr>
      <w:r w:rsidRPr="002B7E6B">
        <w:rPr>
          <w:sz w:val="22"/>
          <w:szCs w:val="22"/>
        </w:rPr>
        <w:lastRenderedPageBreak/>
        <w:t>Positive, significant linear relationships were found between age-3 pollock abundance and the 1) the BASIS sample-based mean abundances and 2) the BASIS VAST-modeled mean abundances of large copepods collected during the age-0 stage for the 2002-2018 year classes (Figure 1). There was a stronger relationship between the VAST model copepod estimates and the age-3 pollock abundance (</w:t>
      </w:r>
      <w:r w:rsidRPr="002B7E6B">
        <w:rPr>
          <w:i/>
          <w:sz w:val="22"/>
          <w:szCs w:val="22"/>
        </w:rPr>
        <w:t>R</w:t>
      </w:r>
      <w:r w:rsidRPr="002B7E6B">
        <w:rPr>
          <w:sz w:val="22"/>
          <w:szCs w:val="22"/>
          <w:vertAlign w:val="superscript"/>
        </w:rPr>
        <w:t>2</w:t>
      </w:r>
      <w:r w:rsidRPr="002B7E6B">
        <w:rPr>
          <w:sz w:val="22"/>
          <w:szCs w:val="22"/>
        </w:rPr>
        <w:t xml:space="preserve"> = 0.57 vs </w:t>
      </w:r>
      <w:r w:rsidRPr="002B7E6B">
        <w:rPr>
          <w:i/>
          <w:sz w:val="22"/>
          <w:szCs w:val="22"/>
        </w:rPr>
        <w:t>R</w:t>
      </w:r>
      <w:r w:rsidRPr="002B7E6B">
        <w:rPr>
          <w:sz w:val="22"/>
          <w:szCs w:val="22"/>
          <w:vertAlign w:val="superscript"/>
        </w:rPr>
        <w:t>2</w:t>
      </w:r>
      <w:r w:rsidRPr="002B7E6B">
        <w:rPr>
          <w:sz w:val="22"/>
          <w:szCs w:val="22"/>
        </w:rPr>
        <w:t xml:space="preserve">= 0.27). </w:t>
      </w:r>
      <w:proofErr w:type="gramStart"/>
      <w:r w:rsidRPr="002B7E6B">
        <w:rPr>
          <w:sz w:val="22"/>
          <w:szCs w:val="22"/>
        </w:rPr>
        <w:t>This appeared to be partially due to the VAST model filling in data for survey areas missed in some years (e.g., 2008).</w:t>
      </w:r>
      <w:proofErr w:type="gramEnd"/>
      <w:r w:rsidRPr="002B7E6B">
        <w:rPr>
          <w:sz w:val="22"/>
          <w:szCs w:val="22"/>
        </w:rPr>
        <w:t xml:space="preserve"> The results show a low availability of large copepod prey for age-0 pollock during the first year of life in 2019 and 2020 (Figure 2). </w:t>
      </w:r>
    </w:p>
    <w:p w14:paraId="571FF849" w14:textId="77777777" w:rsidR="00DE3EE8" w:rsidRPr="002B7E6B" w:rsidRDefault="00DE3EE8" w:rsidP="00DE3EE8">
      <w:pPr>
        <w:widowControl/>
        <w:spacing w:after="200"/>
        <w:rPr>
          <w:sz w:val="22"/>
          <w:szCs w:val="22"/>
        </w:rPr>
      </w:pPr>
      <w:r w:rsidRPr="002B7E6B">
        <w:rPr>
          <w:sz w:val="22"/>
          <w:szCs w:val="22"/>
        </w:rPr>
        <w:t xml:space="preserve">These large zooplankton taxa contain high lipid concentrations (especially in cold, high ice years) which in turn increases the lipid content in their predators such as age-0 pollock and other fish that forage on these taxa. Increases in energy density (lipids) in age-0 pollock allow them to survive their first winter (a time of high mortality) and eventually recruit into the fishery (Heintz et al., 2013). Accordingly, a strong relationship </w:t>
      </w:r>
      <w:proofErr w:type="gramStart"/>
      <w:r w:rsidRPr="002B7E6B">
        <w:rPr>
          <w:sz w:val="22"/>
          <w:szCs w:val="22"/>
        </w:rPr>
        <w:t>has been shown</w:t>
      </w:r>
      <w:proofErr w:type="gramEnd"/>
      <w:r w:rsidRPr="002B7E6B">
        <w:rPr>
          <w:sz w:val="22"/>
          <w:szCs w:val="22"/>
        </w:rPr>
        <w:t xml:space="preserve"> for energy density in age-0 fish and age-3 pollock abundance (Heintz et al., 2013). This relationship provides further support for the revised oscillating control hypothesis that suggests as the climate warms, reductions in the extent and duration of sea ice could be detrimental to large crustacean zooplankton and subsequently to the pollock fishery in the southeastern Bering Sea.</w:t>
      </w:r>
    </w:p>
    <w:p w14:paraId="0084E3A3" w14:textId="77777777" w:rsidR="00DE3EE8" w:rsidRPr="002B7E6B" w:rsidRDefault="00DE3EE8" w:rsidP="00DE3EE8">
      <w:pPr>
        <w:widowControl/>
        <w:spacing w:after="200"/>
        <w:rPr>
          <w:sz w:val="22"/>
          <w:szCs w:val="22"/>
        </w:rPr>
      </w:pPr>
      <w:r w:rsidRPr="002B7E6B">
        <w:rPr>
          <w:rFonts w:eastAsia="Calibri"/>
          <w:noProof/>
          <w:sz w:val="22"/>
          <w:szCs w:val="22"/>
        </w:rPr>
        <w:lastRenderedPageBreak/>
        <w:drawing>
          <wp:inline distT="0" distB="0" distL="0" distR="0" wp14:anchorId="4DD18C8C" wp14:editId="7B09C108">
            <wp:extent cx="5943600" cy="6660515"/>
            <wp:effectExtent l="0" t="0" r="0" b="0"/>
            <wp:docPr id="5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8"/>
                    <a:srcRect/>
                    <a:stretch>
                      <a:fillRect/>
                    </a:stretch>
                  </pic:blipFill>
                  <pic:spPr>
                    <a:xfrm>
                      <a:off x="0" y="0"/>
                      <a:ext cx="5943600" cy="6660515"/>
                    </a:xfrm>
                    <a:prstGeom prst="rect">
                      <a:avLst/>
                    </a:prstGeom>
                    <a:ln/>
                  </pic:spPr>
                </pic:pic>
              </a:graphicData>
            </a:graphic>
          </wp:inline>
        </w:drawing>
      </w:r>
    </w:p>
    <w:p w14:paraId="051D92E6" w14:textId="53A60039" w:rsidR="00DE3EE8" w:rsidRPr="002B7E6B" w:rsidRDefault="00DE3EE8" w:rsidP="00DE3EE8">
      <w:pPr>
        <w:widowControl/>
        <w:spacing w:after="200"/>
        <w:rPr>
          <w:sz w:val="22"/>
          <w:szCs w:val="22"/>
        </w:rPr>
      </w:pPr>
      <w:r w:rsidRPr="002B7E6B">
        <w:rPr>
          <w:sz w:val="22"/>
          <w:szCs w:val="22"/>
        </w:rPr>
        <w:t>Figure 1. Linear relationships between sample-based (top) from the BASIS</w:t>
      </w:r>
      <w:r w:rsidR="00EA25B4">
        <w:rPr>
          <w:sz w:val="22"/>
          <w:szCs w:val="22"/>
        </w:rPr>
        <w:t xml:space="preserve"> and 70 m isobaths surveys and </w:t>
      </w:r>
      <w:r w:rsidRPr="002B7E6B">
        <w:rPr>
          <w:sz w:val="22"/>
          <w:szCs w:val="22"/>
        </w:rPr>
        <w:t xml:space="preserve">BASIS VAST-model (bottom) estimated mean abundance of large copepods (C+MN, sum of </w:t>
      </w:r>
      <w:r w:rsidRPr="002B7E6B">
        <w:rPr>
          <w:i/>
          <w:sz w:val="22"/>
          <w:szCs w:val="22"/>
        </w:rPr>
        <w:t xml:space="preserve">Calanus marshallae/glacialis, Metridia pacifica </w:t>
      </w:r>
      <w:r w:rsidRPr="002B7E6B">
        <w:rPr>
          <w:sz w:val="22"/>
          <w:szCs w:val="22"/>
        </w:rPr>
        <w:t xml:space="preserve">and </w:t>
      </w:r>
      <w:r w:rsidRPr="002B7E6B">
        <w:rPr>
          <w:i/>
          <w:sz w:val="22"/>
          <w:szCs w:val="22"/>
        </w:rPr>
        <w:t>Neocalanus</w:t>
      </w:r>
      <w:r w:rsidRPr="002B7E6B">
        <w:rPr>
          <w:sz w:val="22"/>
          <w:szCs w:val="22"/>
        </w:rPr>
        <w:t xml:space="preserve"> spp.)</w:t>
      </w:r>
      <w:r w:rsidRPr="002B7E6B">
        <w:rPr>
          <w:i/>
          <w:sz w:val="22"/>
          <w:szCs w:val="22"/>
        </w:rPr>
        <w:t xml:space="preserve"> </w:t>
      </w:r>
      <w:r w:rsidRPr="002B7E6B">
        <w:rPr>
          <w:sz w:val="22"/>
          <w:szCs w:val="22"/>
        </w:rPr>
        <w:t xml:space="preserve">during the age-0 life stage of pollock, and the estimated abundance (millions) of age-3 pollock from Ianelli et al. (2019) for 2002-2018 year classes. No zooplankton data were available for 2013. The brown dot represents the values for the large copepod index in 2019 and the blue dot for the </w:t>
      </w:r>
      <w:proofErr w:type="gramStart"/>
      <w:r w:rsidRPr="002B7E6B">
        <w:rPr>
          <w:sz w:val="22"/>
          <w:szCs w:val="22"/>
        </w:rPr>
        <w:t>2020 year</w:t>
      </w:r>
      <w:proofErr w:type="gramEnd"/>
      <w:r w:rsidRPr="002B7E6B">
        <w:rPr>
          <w:sz w:val="22"/>
          <w:szCs w:val="22"/>
        </w:rPr>
        <w:t xml:space="preserve"> class.</w:t>
      </w:r>
    </w:p>
    <w:p w14:paraId="5A993B40" w14:textId="77777777" w:rsidR="00DE3EE8" w:rsidRPr="002B7E6B" w:rsidRDefault="00DE3EE8" w:rsidP="00DE3EE8">
      <w:pPr>
        <w:widowControl/>
        <w:spacing w:after="200"/>
        <w:rPr>
          <w:sz w:val="22"/>
          <w:szCs w:val="22"/>
        </w:rPr>
      </w:pPr>
      <w:r w:rsidRPr="002B7E6B">
        <w:rPr>
          <w:rFonts w:eastAsia="Calibri"/>
          <w:noProof/>
          <w:sz w:val="22"/>
          <w:szCs w:val="22"/>
        </w:rPr>
        <w:lastRenderedPageBreak/>
        <w:drawing>
          <wp:inline distT="0" distB="0" distL="0" distR="0" wp14:anchorId="403F3882" wp14:editId="54679C95">
            <wp:extent cx="5943600" cy="4505325"/>
            <wp:effectExtent l="0" t="0" r="0" b="0"/>
            <wp:docPr id="6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9"/>
                    <a:srcRect/>
                    <a:stretch>
                      <a:fillRect/>
                    </a:stretch>
                  </pic:blipFill>
                  <pic:spPr>
                    <a:xfrm>
                      <a:off x="0" y="0"/>
                      <a:ext cx="5943600" cy="4505325"/>
                    </a:xfrm>
                    <a:prstGeom prst="rect">
                      <a:avLst/>
                    </a:prstGeom>
                    <a:ln/>
                  </pic:spPr>
                </pic:pic>
              </a:graphicData>
            </a:graphic>
          </wp:inline>
        </w:drawing>
      </w:r>
    </w:p>
    <w:p w14:paraId="4382E657" w14:textId="77777777" w:rsidR="00DE3EE8" w:rsidRPr="002B7E6B" w:rsidRDefault="00DE3EE8" w:rsidP="00DE3EE8">
      <w:pPr>
        <w:widowControl/>
        <w:spacing w:after="200"/>
        <w:rPr>
          <w:sz w:val="22"/>
          <w:szCs w:val="22"/>
        </w:rPr>
      </w:pPr>
      <w:r w:rsidRPr="002B7E6B">
        <w:rPr>
          <w:sz w:val="22"/>
          <w:szCs w:val="22"/>
        </w:rPr>
        <w:t xml:space="preserve">Figure 2. Fitted means and standard errors of the age-3 pollock abundance estimated from the linear regression models using VAST estimates of large copepods (orange), sample mean abundance of large copepods at the 70m isobaths stations (blue), and means from the pollock stock assessment estimates (black) from Ianelli et al. (2021). Predicted estimates of age-3 pollock (recruited into fishery as age 3’s in 2022 and 2023) are shown for the 2019 and </w:t>
      </w:r>
      <w:proofErr w:type="gramStart"/>
      <w:r w:rsidRPr="002B7E6B">
        <w:rPr>
          <w:sz w:val="22"/>
          <w:szCs w:val="22"/>
        </w:rPr>
        <w:t>2020 year</w:t>
      </w:r>
      <w:proofErr w:type="gramEnd"/>
      <w:r w:rsidRPr="002B7E6B">
        <w:rPr>
          <w:sz w:val="22"/>
          <w:szCs w:val="22"/>
        </w:rPr>
        <w:t xml:space="preserve"> classes.</w:t>
      </w:r>
    </w:p>
    <w:p w14:paraId="0FCB7B43" w14:textId="77777777" w:rsidR="00DE3EE8" w:rsidRPr="002B7E6B" w:rsidRDefault="00DE3EE8" w:rsidP="00DE3EE8">
      <w:pPr>
        <w:widowControl/>
        <w:spacing w:after="200"/>
        <w:rPr>
          <w:sz w:val="22"/>
          <w:szCs w:val="22"/>
        </w:rPr>
      </w:pPr>
      <w:r w:rsidRPr="002B7E6B">
        <w:rPr>
          <w:sz w:val="22"/>
          <w:szCs w:val="22"/>
        </w:rPr>
        <w:t>Literature Cited</w:t>
      </w:r>
    </w:p>
    <w:p w14:paraId="0C448326" w14:textId="77777777" w:rsidR="00DE3EE8" w:rsidRPr="002B7E6B" w:rsidRDefault="00DE3EE8" w:rsidP="00EA25B4">
      <w:pPr>
        <w:widowControl/>
        <w:spacing w:after="200"/>
        <w:ind w:left="720" w:hanging="720"/>
        <w:rPr>
          <w:sz w:val="22"/>
          <w:szCs w:val="22"/>
        </w:rPr>
      </w:pPr>
      <w:r w:rsidRPr="002B7E6B">
        <w:rPr>
          <w:sz w:val="22"/>
          <w:szCs w:val="22"/>
        </w:rPr>
        <w:t>Heintz, R.A., Siddon, E.C., Farley Jr., E.V., Napp, J.M., 2013. Climate-related changes in the nutritional condition of young-of-the-year walleye pollock (</w:t>
      </w:r>
      <w:r w:rsidRPr="002B7E6B">
        <w:rPr>
          <w:i/>
          <w:sz w:val="22"/>
          <w:szCs w:val="22"/>
        </w:rPr>
        <w:t>Theragra chalcogramma</w:t>
      </w:r>
      <w:r w:rsidRPr="002B7E6B">
        <w:rPr>
          <w:sz w:val="22"/>
          <w:szCs w:val="22"/>
        </w:rPr>
        <w:t>) from the eastern Bering Sea. Deep Sea Res. II 94,150–156.</w:t>
      </w:r>
    </w:p>
    <w:p w14:paraId="3B67F90F" w14:textId="77777777" w:rsidR="00DE3EE8" w:rsidRPr="002B7E6B" w:rsidRDefault="00DE3EE8" w:rsidP="00DE3EE8">
      <w:pPr>
        <w:widowControl/>
        <w:spacing w:after="200"/>
        <w:rPr>
          <w:sz w:val="22"/>
          <w:szCs w:val="22"/>
        </w:rPr>
      </w:pPr>
      <w:r w:rsidRPr="002B7E6B">
        <w:rPr>
          <w:sz w:val="22"/>
          <w:szCs w:val="22"/>
        </w:rPr>
        <w:t xml:space="preserve">For more </w:t>
      </w:r>
      <w:proofErr w:type="gramStart"/>
      <w:r w:rsidRPr="002B7E6B">
        <w:rPr>
          <w:sz w:val="22"/>
          <w:szCs w:val="22"/>
        </w:rPr>
        <w:t>information</w:t>
      </w:r>
      <w:proofErr w:type="gramEnd"/>
      <w:r w:rsidRPr="002B7E6B">
        <w:rPr>
          <w:sz w:val="22"/>
          <w:szCs w:val="22"/>
        </w:rPr>
        <w:t xml:space="preserve"> contact Ellen Yasumiishi (ellen.yasumiishi@noaa.gov).</w:t>
      </w:r>
    </w:p>
    <w:p w14:paraId="1ECA8D64" w14:textId="77777777" w:rsidR="00DE3EE8" w:rsidRPr="002B7E6B" w:rsidRDefault="00DE3EE8" w:rsidP="00DE3EE8">
      <w:pPr>
        <w:widowControl/>
        <w:spacing w:after="200"/>
        <w:rPr>
          <w:sz w:val="22"/>
          <w:szCs w:val="22"/>
        </w:rPr>
      </w:pPr>
    </w:p>
    <w:p w14:paraId="5B9F001B" w14:textId="7A77534F" w:rsidR="00DE3EE8" w:rsidRDefault="00DE3EE8" w:rsidP="00EA25B4">
      <w:pPr>
        <w:pStyle w:val="Heading5"/>
      </w:pPr>
      <w:bookmarkStart w:id="84" w:name="_Toc131503831"/>
      <w:r w:rsidRPr="002B7E6B">
        <w:t>Ontogenic Shifts in the Diet of Walleye Pollock – ABL</w:t>
      </w:r>
      <w:bookmarkEnd w:id="84"/>
    </w:p>
    <w:p w14:paraId="4EC3EF4A" w14:textId="77777777" w:rsidR="00EA25B4" w:rsidRPr="00EA25B4" w:rsidRDefault="00EA25B4" w:rsidP="00EA25B4"/>
    <w:p w14:paraId="7DD3F049" w14:textId="77777777" w:rsidR="00DE3EE8" w:rsidRPr="002B7E6B" w:rsidRDefault="00DE3EE8" w:rsidP="00DE3EE8">
      <w:pPr>
        <w:widowControl/>
        <w:spacing w:after="120"/>
        <w:rPr>
          <w:sz w:val="22"/>
          <w:szCs w:val="22"/>
        </w:rPr>
      </w:pPr>
      <w:r w:rsidRPr="002B7E6B">
        <w:rPr>
          <w:sz w:val="22"/>
          <w:szCs w:val="22"/>
        </w:rPr>
        <w:t xml:space="preserve">In 2022, we continued a pilot study to use cross sections of adult pollock eye lenses and stable isotope analysis to determine ontogenetic shifts in diet and movement between habitats on the Bering Sea shelf. </w:t>
      </w:r>
    </w:p>
    <w:p w14:paraId="46B6109D" w14:textId="77777777" w:rsidR="00DE3EE8" w:rsidRPr="002B7E6B" w:rsidRDefault="00DE3EE8" w:rsidP="00DE3EE8">
      <w:pPr>
        <w:widowControl/>
        <w:rPr>
          <w:sz w:val="22"/>
          <w:szCs w:val="22"/>
        </w:rPr>
      </w:pPr>
      <w:r w:rsidRPr="002B7E6B">
        <w:rPr>
          <w:sz w:val="22"/>
          <w:szCs w:val="22"/>
        </w:rPr>
        <w:t xml:space="preserve">For more </w:t>
      </w:r>
      <w:proofErr w:type="gramStart"/>
      <w:r w:rsidRPr="002B7E6B">
        <w:rPr>
          <w:sz w:val="22"/>
          <w:szCs w:val="22"/>
        </w:rPr>
        <w:t>information</w:t>
      </w:r>
      <w:proofErr w:type="gramEnd"/>
      <w:r w:rsidRPr="002B7E6B">
        <w:rPr>
          <w:sz w:val="22"/>
          <w:szCs w:val="22"/>
        </w:rPr>
        <w:t xml:space="preserve"> contact Todd Miller, ABL, todd.miller@noaa.gov.</w:t>
      </w:r>
    </w:p>
    <w:p w14:paraId="51A826AF" w14:textId="77777777" w:rsidR="00DE3EE8" w:rsidRPr="002B7E6B" w:rsidRDefault="00DE3EE8" w:rsidP="00DE3EE8">
      <w:pPr>
        <w:widowControl/>
        <w:rPr>
          <w:sz w:val="22"/>
          <w:szCs w:val="22"/>
        </w:rPr>
      </w:pPr>
    </w:p>
    <w:p w14:paraId="3AE0E4A3" w14:textId="77777777" w:rsidR="00DE3EE8" w:rsidRPr="002B7E6B" w:rsidRDefault="00DE3EE8" w:rsidP="00DE3EE8">
      <w:pPr>
        <w:widowControl/>
        <w:spacing w:after="160" w:line="259" w:lineRule="auto"/>
        <w:rPr>
          <w:i/>
          <w:sz w:val="22"/>
          <w:szCs w:val="22"/>
        </w:rPr>
      </w:pPr>
    </w:p>
    <w:p w14:paraId="60B00B9E" w14:textId="257518E6" w:rsidR="00DE3EE8" w:rsidRDefault="00DE3EE8" w:rsidP="00EA25B4">
      <w:pPr>
        <w:pStyle w:val="Heading5"/>
      </w:pPr>
      <w:bookmarkStart w:id="85" w:name="_Toc131503832"/>
      <w:r w:rsidRPr="002B7E6B">
        <w:t xml:space="preserve">Condition and Diet of Juvenile Walleye Pollock </w:t>
      </w:r>
      <w:r w:rsidR="00EA25B4">
        <w:t>–</w:t>
      </w:r>
      <w:r w:rsidRPr="002B7E6B">
        <w:t xml:space="preserve"> ABL</w:t>
      </w:r>
      <w:bookmarkEnd w:id="85"/>
    </w:p>
    <w:p w14:paraId="22678E00" w14:textId="77777777" w:rsidR="00EA25B4" w:rsidRPr="00EA25B4" w:rsidRDefault="00EA25B4" w:rsidP="00EA25B4"/>
    <w:p w14:paraId="5CBA9466" w14:textId="77777777" w:rsidR="00DE3EE8" w:rsidRPr="002B7E6B" w:rsidRDefault="00DE3EE8" w:rsidP="00DE3EE8">
      <w:pPr>
        <w:widowControl/>
        <w:spacing w:after="120"/>
        <w:rPr>
          <w:sz w:val="22"/>
          <w:szCs w:val="22"/>
        </w:rPr>
      </w:pPr>
      <w:r w:rsidRPr="002B7E6B">
        <w:rPr>
          <w:sz w:val="22"/>
          <w:szCs w:val="22"/>
        </w:rPr>
        <w:t xml:space="preserve">In 2022, we assessed the condition and diets of juvenile groundfish including walleye pollock, Pacific cod, and Atka mackerel during fall in the northern and southeastern Bering Sea. Annual changes in juvenile body condition can affect survival and recruitment, with particular attention on fall condition and over-winter survival effects. </w:t>
      </w:r>
    </w:p>
    <w:p w14:paraId="7CDBEB63" w14:textId="77777777" w:rsidR="00DE3EE8" w:rsidRPr="002B7E6B" w:rsidRDefault="00DE3EE8" w:rsidP="00DE3EE8">
      <w:pPr>
        <w:widowControl/>
        <w:rPr>
          <w:sz w:val="22"/>
          <w:szCs w:val="22"/>
        </w:rPr>
      </w:pPr>
      <w:r w:rsidRPr="002B7E6B">
        <w:rPr>
          <w:sz w:val="22"/>
          <w:szCs w:val="22"/>
        </w:rPr>
        <w:t xml:space="preserve">For more </w:t>
      </w:r>
      <w:proofErr w:type="gramStart"/>
      <w:r w:rsidRPr="002B7E6B">
        <w:rPr>
          <w:sz w:val="22"/>
          <w:szCs w:val="22"/>
        </w:rPr>
        <w:t>information</w:t>
      </w:r>
      <w:proofErr w:type="gramEnd"/>
      <w:r w:rsidRPr="002B7E6B">
        <w:rPr>
          <w:sz w:val="22"/>
          <w:szCs w:val="22"/>
        </w:rPr>
        <w:t xml:space="preserve"> contact Rob Suryan, ABL, rob.suryan@noaa.gov.</w:t>
      </w:r>
    </w:p>
    <w:p w14:paraId="1BE2291B" w14:textId="77777777" w:rsidR="00DE3EE8" w:rsidRPr="002B7E6B" w:rsidRDefault="00DE3EE8" w:rsidP="00DE3EE8">
      <w:pPr>
        <w:rPr>
          <w:sz w:val="22"/>
          <w:szCs w:val="22"/>
          <w:highlight w:val="yellow"/>
        </w:rPr>
      </w:pPr>
    </w:p>
    <w:p w14:paraId="4E4FB944" w14:textId="77777777" w:rsidR="00DE3EE8" w:rsidRPr="002B7E6B" w:rsidRDefault="00DE3EE8" w:rsidP="00DE3EE8">
      <w:pPr>
        <w:rPr>
          <w:sz w:val="22"/>
          <w:szCs w:val="22"/>
          <w:highlight w:val="yellow"/>
        </w:rPr>
      </w:pPr>
    </w:p>
    <w:p w14:paraId="638331FA" w14:textId="6ED25D27" w:rsidR="00DE3EE8" w:rsidRPr="00EA25B4" w:rsidRDefault="00DE3EE8" w:rsidP="00EA25B4">
      <w:pPr>
        <w:pStyle w:val="Heading5"/>
      </w:pPr>
      <w:bookmarkStart w:id="86" w:name="_Toc131503833"/>
      <w:r w:rsidRPr="00EA25B4">
        <w:t>RACE Recruitment Processes Program</w:t>
      </w:r>
      <w:r w:rsidR="0024271A">
        <w:t xml:space="preserve"> – </w:t>
      </w:r>
      <w:r w:rsidRPr="00EA25B4">
        <w:t>RPP</w:t>
      </w:r>
      <w:bookmarkEnd w:id="86"/>
    </w:p>
    <w:p w14:paraId="02B2C818" w14:textId="77777777" w:rsidR="00EA25B4" w:rsidRPr="00EA25B4" w:rsidRDefault="00EA25B4" w:rsidP="00EA25B4"/>
    <w:p w14:paraId="3B214094" w14:textId="77777777" w:rsidR="00DE3EE8" w:rsidRPr="002B7E6B" w:rsidRDefault="00DE3EE8" w:rsidP="00DE3EE8">
      <w:pPr>
        <w:rPr>
          <w:sz w:val="22"/>
          <w:szCs w:val="22"/>
        </w:rPr>
      </w:pPr>
      <w:r w:rsidRPr="002B7E6B">
        <w:rPr>
          <w:sz w:val="22"/>
          <w:szCs w:val="22"/>
        </w:rPr>
        <w:t xml:space="preserve">The Recruitment Processes Program's (RPP) overall goal is to understand the mechanisms that influence the survival of young marine fish to recruitment. Recruitment for commercially fished species occurs when they grow to the size captured or retained by the nets or gear used in the fishery. For each species or ecosystem component studied, we attempt to learn what biotic and abiotic factors cause or contribute to the observed fishery population fluctuations. These population fluctuations occur on many different time scales (for example, between years, between decades). The mechanistic understanding that results from our research </w:t>
      </w:r>
      <w:proofErr w:type="gramStart"/>
      <w:r w:rsidRPr="002B7E6B">
        <w:rPr>
          <w:sz w:val="22"/>
          <w:szCs w:val="22"/>
        </w:rPr>
        <w:t>is used</w:t>
      </w:r>
      <w:proofErr w:type="gramEnd"/>
      <w:r w:rsidRPr="002B7E6B">
        <w:rPr>
          <w:sz w:val="22"/>
          <w:szCs w:val="22"/>
        </w:rPr>
        <w:t xml:space="preserve"> to better manage and conserve the living marine resources for which NOAA is the steward.  </w:t>
      </w:r>
    </w:p>
    <w:p w14:paraId="05B731CE" w14:textId="77777777" w:rsidR="00DE3EE8" w:rsidRPr="002B7E6B" w:rsidRDefault="00DE3EE8" w:rsidP="00DE3EE8">
      <w:pPr>
        <w:rPr>
          <w:sz w:val="22"/>
          <w:szCs w:val="22"/>
        </w:rPr>
      </w:pPr>
    </w:p>
    <w:p w14:paraId="5FFE5C9D" w14:textId="77777777" w:rsidR="00DE3EE8" w:rsidRPr="002B7E6B" w:rsidRDefault="00DE3EE8" w:rsidP="00DE3EE8">
      <w:pPr>
        <w:rPr>
          <w:sz w:val="22"/>
          <w:szCs w:val="22"/>
        </w:rPr>
      </w:pPr>
      <w:r w:rsidRPr="002B7E6B">
        <w:rPr>
          <w:sz w:val="22"/>
          <w:szCs w:val="22"/>
        </w:rPr>
        <w:t xml:space="preserve">For more </w:t>
      </w:r>
      <w:proofErr w:type="gramStart"/>
      <w:r w:rsidRPr="002B7E6B">
        <w:rPr>
          <w:sz w:val="22"/>
          <w:szCs w:val="22"/>
        </w:rPr>
        <w:t>information</w:t>
      </w:r>
      <w:proofErr w:type="gramEnd"/>
      <w:r w:rsidRPr="002B7E6B">
        <w:rPr>
          <w:sz w:val="22"/>
          <w:szCs w:val="22"/>
        </w:rPr>
        <w:t xml:space="preserve"> contact Libby Logerwell at: Libby.Logerwell@noaa.gov</w:t>
      </w:r>
    </w:p>
    <w:p w14:paraId="3C33D664" w14:textId="77777777" w:rsidR="00DE3EE8" w:rsidRPr="002B7E6B" w:rsidRDefault="00DE3EE8" w:rsidP="00DE3EE8">
      <w:pPr>
        <w:rPr>
          <w:b/>
          <w:sz w:val="22"/>
          <w:szCs w:val="22"/>
          <w:highlight w:val="yellow"/>
        </w:rPr>
      </w:pPr>
    </w:p>
    <w:p w14:paraId="2BB48EA0" w14:textId="77777777" w:rsidR="00DE3EE8" w:rsidRPr="002B7E6B" w:rsidRDefault="00DE3EE8" w:rsidP="00DE3EE8">
      <w:pPr>
        <w:rPr>
          <w:b/>
          <w:sz w:val="22"/>
          <w:szCs w:val="22"/>
          <w:highlight w:val="yellow"/>
        </w:rPr>
      </w:pPr>
    </w:p>
    <w:p w14:paraId="48D050DD" w14:textId="77777777" w:rsidR="00DE3EE8" w:rsidRPr="00EA25B4" w:rsidRDefault="00DE3EE8" w:rsidP="00DE3EE8">
      <w:pPr>
        <w:rPr>
          <w:b/>
          <w:sz w:val="22"/>
          <w:szCs w:val="22"/>
        </w:rPr>
      </w:pPr>
      <w:r w:rsidRPr="00EA25B4">
        <w:rPr>
          <w:b/>
          <w:sz w:val="22"/>
          <w:szCs w:val="22"/>
        </w:rPr>
        <w:t>Gulf of Alaska</w:t>
      </w:r>
    </w:p>
    <w:p w14:paraId="7ABB05B9" w14:textId="77777777" w:rsidR="00DE3EE8" w:rsidRPr="002B7E6B" w:rsidRDefault="00DE3EE8" w:rsidP="00DE3EE8">
      <w:pPr>
        <w:rPr>
          <w:sz w:val="22"/>
          <w:szCs w:val="22"/>
          <w:highlight w:val="yellow"/>
        </w:rPr>
      </w:pPr>
    </w:p>
    <w:p w14:paraId="73D7896F" w14:textId="02B07FD6" w:rsidR="00DE3EE8" w:rsidRDefault="00DE3EE8" w:rsidP="008F75DB">
      <w:pPr>
        <w:pStyle w:val="Heading5"/>
      </w:pPr>
      <w:bookmarkStart w:id="87" w:name="_Toc131503834"/>
      <w:r w:rsidRPr="002B7E6B">
        <w:t>Changes in spawn timing and availability of walleye pollock to assessment surveys in the Gulf of Alaska</w:t>
      </w:r>
      <w:bookmarkEnd w:id="87"/>
    </w:p>
    <w:p w14:paraId="4824E944" w14:textId="77777777" w:rsidR="008F75DB" w:rsidRPr="008F75DB" w:rsidRDefault="008F75DB" w:rsidP="008F75DB"/>
    <w:p w14:paraId="2EC051A6" w14:textId="77777777" w:rsidR="00DE3EE8" w:rsidRPr="002B7E6B" w:rsidRDefault="00DE3EE8" w:rsidP="00DE3EE8">
      <w:pPr>
        <w:rPr>
          <w:sz w:val="22"/>
          <w:szCs w:val="22"/>
        </w:rPr>
      </w:pPr>
      <w:r w:rsidRPr="002B7E6B">
        <w:rPr>
          <w:sz w:val="22"/>
          <w:szCs w:val="22"/>
        </w:rPr>
        <w:t>Lauren A Rogers, Martin Dorn, Darin Jones, Kresimir Williams, Cole Monnahan</w:t>
      </w:r>
    </w:p>
    <w:p w14:paraId="23091D8E" w14:textId="77777777" w:rsidR="00DE3EE8" w:rsidRPr="002B7E6B" w:rsidRDefault="00DE3EE8" w:rsidP="00DE3EE8">
      <w:pPr>
        <w:rPr>
          <w:sz w:val="22"/>
          <w:szCs w:val="22"/>
        </w:rPr>
      </w:pPr>
    </w:p>
    <w:p w14:paraId="2FBF98AB" w14:textId="77777777" w:rsidR="00DE3EE8" w:rsidRPr="002B7E6B" w:rsidRDefault="00DE3EE8" w:rsidP="00DE3EE8">
      <w:pPr>
        <w:rPr>
          <w:sz w:val="22"/>
          <w:szCs w:val="22"/>
        </w:rPr>
      </w:pPr>
      <w:r w:rsidRPr="002B7E6B">
        <w:rPr>
          <w:sz w:val="22"/>
          <w:szCs w:val="22"/>
        </w:rPr>
        <w:t xml:space="preserve">Changes in phenology, or the seasonal timing of events, are a </w:t>
      </w:r>
      <w:proofErr w:type="gramStart"/>
      <w:r w:rsidRPr="002B7E6B">
        <w:rPr>
          <w:sz w:val="22"/>
          <w:szCs w:val="22"/>
        </w:rPr>
        <w:t>widely-documented</w:t>
      </w:r>
      <w:proofErr w:type="gramEnd"/>
      <w:r w:rsidRPr="002B7E6B">
        <w:rPr>
          <w:sz w:val="22"/>
          <w:szCs w:val="22"/>
        </w:rPr>
        <w:t xml:space="preserve"> response to changes in climate. Spawn timing, in particular, </w:t>
      </w:r>
      <w:proofErr w:type="gramStart"/>
      <w:r w:rsidRPr="002B7E6B">
        <w:rPr>
          <w:sz w:val="22"/>
          <w:szCs w:val="22"/>
        </w:rPr>
        <w:t>has been shown</w:t>
      </w:r>
      <w:proofErr w:type="gramEnd"/>
      <w:r w:rsidRPr="002B7E6B">
        <w:rPr>
          <w:sz w:val="22"/>
          <w:szCs w:val="22"/>
        </w:rPr>
        <w:t xml:space="preserve"> to be sensitive to temperature in many species, including walleye pollock. Beyond implications for recruitment and survival of offspring, climate-driven changes in the timing of spawning can affect the availability of fish to surveys designed to monitor their abundance, complicating efforts to assess stock status and sustainably manage fisheries.</w:t>
      </w:r>
    </w:p>
    <w:p w14:paraId="6450A7EB" w14:textId="77777777" w:rsidR="00DE3EE8" w:rsidRPr="002B7E6B" w:rsidRDefault="00DE3EE8" w:rsidP="00DE3EE8">
      <w:pPr>
        <w:rPr>
          <w:sz w:val="22"/>
          <w:szCs w:val="22"/>
        </w:rPr>
      </w:pPr>
    </w:p>
    <w:p w14:paraId="0546CD5F" w14:textId="77777777" w:rsidR="00DE3EE8" w:rsidRPr="002B7E6B" w:rsidRDefault="00DE3EE8" w:rsidP="00DE3EE8">
      <w:pPr>
        <w:rPr>
          <w:sz w:val="22"/>
          <w:szCs w:val="22"/>
        </w:rPr>
      </w:pPr>
      <w:r w:rsidRPr="002B7E6B">
        <w:rPr>
          <w:sz w:val="22"/>
          <w:szCs w:val="22"/>
        </w:rPr>
        <w:t xml:space="preserve">In recent years, biomass estimates from four surveys used to monitor Gulf of Alaska (GOA) pollock have diverged, giving conflicting estimates of survey biomass and temporal trends. In particular, from 2017-2019, estimates of pollock biomass were record high in the winter pre-spawner survey in Shelikof Strait, while other GOA summertime surveys estimated near record low biomass. These conflicting trends increased uncertainty in the stock assessment and occurred during a time of rapid environmental change in the GOA. Following recent evidence of shifting spawn timing in GOA pollock, we hypothesized that changes in spawn timing relative to survey timing affected availability of pollock to the winter Shelikof survey. To test this, we reconstructed relative spawn timing from estimated hatch dates of larvae collected during spring larval surveys and from observations of spawning state in mature female pollock collected during the winter Shelikof survey. We then compared estimates of spawn timing/survey timing overlap with residual errors from an age-structured stock assessment model to evaluate whether model lack-of-fit to survey biomass estimates </w:t>
      </w:r>
      <w:proofErr w:type="gramStart"/>
      <w:r w:rsidRPr="002B7E6B">
        <w:rPr>
          <w:sz w:val="22"/>
          <w:szCs w:val="22"/>
        </w:rPr>
        <w:t>was related</w:t>
      </w:r>
      <w:proofErr w:type="gramEnd"/>
      <w:r w:rsidRPr="002B7E6B">
        <w:rPr>
          <w:sz w:val="22"/>
          <w:szCs w:val="22"/>
        </w:rPr>
        <w:t xml:space="preserve"> to the timing of spawning relative to the timing of the survey. </w:t>
      </w:r>
      <w:r w:rsidRPr="002B7E6B">
        <w:rPr>
          <w:sz w:val="22"/>
          <w:szCs w:val="22"/>
        </w:rPr>
        <w:lastRenderedPageBreak/>
        <w:t>Results suggest that changes in spawn timing relative to survey timing can explain a significant portion of recent and historical discrepancies in survey biomass estimates. Based on this, we developed a time series of covariates for survey catchability for the stock assessment model to account for changing availability of pollock to the winter Shelikof survey. As climate change accelerates, changes in phenology may complicate efforts to monitor and assess stock status. We show that knowledge of underlying processes can guide approaches to account for these changes in assessment frameworks, expanding our toolkit for climate-ready fisheries management.</w:t>
      </w:r>
    </w:p>
    <w:p w14:paraId="084177AD" w14:textId="77777777" w:rsidR="00DE3EE8" w:rsidRPr="002B7E6B" w:rsidRDefault="00DE3EE8" w:rsidP="00DE3EE8">
      <w:pPr>
        <w:rPr>
          <w:sz w:val="22"/>
          <w:szCs w:val="22"/>
        </w:rPr>
      </w:pPr>
    </w:p>
    <w:p w14:paraId="5298EA3C" w14:textId="77777777" w:rsidR="00DE3EE8" w:rsidRPr="002B7E6B" w:rsidRDefault="00DE3EE8" w:rsidP="00DE3EE8">
      <w:pPr>
        <w:rPr>
          <w:sz w:val="22"/>
          <w:szCs w:val="22"/>
        </w:rPr>
      </w:pPr>
      <w:r w:rsidRPr="002B7E6B">
        <w:rPr>
          <w:sz w:val="22"/>
          <w:szCs w:val="22"/>
        </w:rPr>
        <w:t>For more information, contact Lauren Rogers (lauren.rogers@noaa.gov)</w:t>
      </w:r>
    </w:p>
    <w:p w14:paraId="4F5ED716" w14:textId="77777777" w:rsidR="00DE3EE8" w:rsidRPr="002B7E6B" w:rsidRDefault="00DE3EE8" w:rsidP="00DE3EE8">
      <w:pPr>
        <w:rPr>
          <w:sz w:val="22"/>
          <w:szCs w:val="22"/>
          <w:highlight w:val="yellow"/>
        </w:rPr>
      </w:pPr>
    </w:p>
    <w:p w14:paraId="046E584A" w14:textId="77777777" w:rsidR="00DE3EE8" w:rsidRPr="002B7E6B" w:rsidRDefault="00DE3EE8" w:rsidP="00DE3EE8">
      <w:pPr>
        <w:rPr>
          <w:sz w:val="22"/>
          <w:szCs w:val="22"/>
          <w:highlight w:val="yellow"/>
        </w:rPr>
      </w:pPr>
    </w:p>
    <w:p w14:paraId="183DB493" w14:textId="77777777" w:rsidR="00DE3EE8" w:rsidRPr="002B7E6B" w:rsidRDefault="00DE3EE8" w:rsidP="00DE3EE8">
      <w:pPr>
        <w:rPr>
          <w:b/>
          <w:sz w:val="22"/>
          <w:szCs w:val="22"/>
        </w:rPr>
      </w:pPr>
      <w:r w:rsidRPr="002B7E6B">
        <w:rPr>
          <w:b/>
          <w:sz w:val="22"/>
          <w:szCs w:val="22"/>
        </w:rPr>
        <w:t>Bering Sea</w:t>
      </w:r>
    </w:p>
    <w:p w14:paraId="12452CE5" w14:textId="77777777" w:rsidR="00DE3EE8" w:rsidRPr="002B7E6B" w:rsidRDefault="00DE3EE8" w:rsidP="00DE3EE8">
      <w:pPr>
        <w:rPr>
          <w:b/>
          <w:sz w:val="22"/>
          <w:szCs w:val="22"/>
          <w:highlight w:val="yellow"/>
        </w:rPr>
      </w:pPr>
    </w:p>
    <w:p w14:paraId="32344217" w14:textId="45CA5BD0" w:rsidR="00DE3EE8" w:rsidRDefault="00DE3EE8" w:rsidP="008F75DB">
      <w:pPr>
        <w:pStyle w:val="Heading5"/>
      </w:pPr>
      <w:bookmarkStart w:id="88" w:name="_Toc131503835"/>
      <w:r w:rsidRPr="008F75DB">
        <w:t xml:space="preserve">Management strategies for the eastern Bering Sea pollock fishery with climate change </w:t>
      </w:r>
      <w:r w:rsidR="008F75DB">
        <w:t>–</w:t>
      </w:r>
      <w:r w:rsidRPr="008F75DB">
        <w:t xml:space="preserve"> ESSR</w:t>
      </w:r>
      <w:bookmarkEnd w:id="88"/>
    </w:p>
    <w:p w14:paraId="5B54CB03" w14:textId="77777777" w:rsidR="008F75DB" w:rsidRPr="008F75DB" w:rsidRDefault="008F75DB" w:rsidP="008F75DB"/>
    <w:p w14:paraId="19D833EB" w14:textId="77777777" w:rsidR="00DE3EE8" w:rsidRPr="002B7E6B" w:rsidRDefault="00DE3EE8" w:rsidP="00DE3EE8">
      <w:pPr>
        <w:rPr>
          <w:b/>
          <w:sz w:val="22"/>
          <w:szCs w:val="22"/>
        </w:rPr>
      </w:pPr>
      <w:r w:rsidRPr="002B7E6B">
        <w:rPr>
          <w:sz w:val="22"/>
          <w:szCs w:val="22"/>
        </w:rPr>
        <w:t xml:space="preserve">Recent studies indicate that rising sea surface temperature (SST) may have negative impacts on eastern Bering Sea </w:t>
      </w:r>
      <w:proofErr w:type="gramStart"/>
      <w:r w:rsidRPr="002B7E6B">
        <w:rPr>
          <w:sz w:val="22"/>
          <w:szCs w:val="22"/>
        </w:rPr>
        <w:t>walleye pollock stock productivity</w:t>
      </w:r>
      <w:proofErr w:type="gramEnd"/>
      <w:r w:rsidRPr="002B7E6B">
        <w:rPr>
          <w:sz w:val="22"/>
          <w:szCs w:val="22"/>
        </w:rPr>
        <w:t>.  A previous study (</w:t>
      </w:r>
      <w:r w:rsidRPr="002B7E6B">
        <w:rPr>
          <w:i/>
          <w:sz w:val="22"/>
          <w:szCs w:val="22"/>
        </w:rPr>
        <w:t>Ianelli et al 2011 ICES J Mar Sci 68: 1297–1304</w:t>
      </w:r>
      <w:r w:rsidRPr="002B7E6B">
        <w:rPr>
          <w:sz w:val="22"/>
          <w:szCs w:val="22"/>
        </w:rPr>
        <w:t xml:space="preserve">) developed projections of the pollock stock and alternative harvest policies for the species, and examined how the alternative policies perform for the pollock stock with a changing environment.  The study, however, failed to evaluate quantitative economic impacts.  The present study </w:t>
      </w:r>
      <w:proofErr w:type="gramStart"/>
      <w:r w:rsidRPr="002B7E6B">
        <w:rPr>
          <w:sz w:val="22"/>
          <w:szCs w:val="22"/>
        </w:rPr>
        <w:t>showcases</w:t>
      </w:r>
      <w:proofErr w:type="gramEnd"/>
      <w:r w:rsidRPr="002B7E6B">
        <w:rPr>
          <w:sz w:val="22"/>
          <w:szCs w:val="22"/>
        </w:rPr>
        <w:t xml:space="preserve"> how quantitative evaluations of the regional economic impacts can be applied with results evaluating harvest policy trade-offs; an important component of management strategy evaluations. In this case, we couple alternative harvest policy simulations (with and without climate change) with a regional dynamic computable general equilibrium (CGE) model for Alaska.  </w:t>
      </w:r>
      <w:proofErr w:type="gramStart"/>
      <w:r w:rsidRPr="002B7E6B">
        <w:rPr>
          <w:sz w:val="22"/>
          <w:szCs w:val="22"/>
        </w:rPr>
        <w:t xml:space="preserve">In this example we found (i) that the status quo policy performed less well than the alternatives (from the perspective of economic benefit), (ii) more conservative policies had smaller regional output and economic welfare impacts (with and without considering climate change), and (iii) a policy allowing harvests to be less constrained </w:t>
      </w:r>
      <w:r w:rsidRPr="002B7E6B">
        <w:rPr>
          <w:color w:val="222222"/>
          <w:sz w:val="22"/>
          <w:szCs w:val="22"/>
        </w:rPr>
        <w:t>performed worse in terms of impacts on total regional output, economic welfare, and real gross regional product (RGRP), and in terms of variability of the pollock industry output.</w:t>
      </w:r>
      <w:proofErr w:type="gramEnd"/>
      <w:r w:rsidRPr="002B7E6B">
        <w:rPr>
          <w:color w:val="222222"/>
          <w:sz w:val="22"/>
          <w:szCs w:val="22"/>
        </w:rPr>
        <w:t xml:space="preserve">  The results of this project </w:t>
      </w:r>
      <w:proofErr w:type="gramStart"/>
      <w:r w:rsidRPr="002B7E6B">
        <w:rPr>
          <w:color w:val="222222"/>
          <w:sz w:val="22"/>
          <w:szCs w:val="22"/>
        </w:rPr>
        <w:t>are summarized</w:t>
      </w:r>
      <w:proofErr w:type="gramEnd"/>
      <w:r w:rsidRPr="002B7E6B">
        <w:rPr>
          <w:color w:val="222222"/>
          <w:sz w:val="22"/>
          <w:szCs w:val="22"/>
        </w:rPr>
        <w:t xml:space="preserve"> in Seung and Ianelli (2017), which is currently under review / revision at a peer-reviewed journal. </w:t>
      </w:r>
      <w:r w:rsidRPr="002B7E6B">
        <w:rPr>
          <w:sz w:val="22"/>
          <w:szCs w:val="22"/>
        </w:rPr>
        <w:t>For further information, contact Chang.Seung@noaa.gov</w:t>
      </w:r>
    </w:p>
    <w:p w14:paraId="164C7466" w14:textId="77777777" w:rsidR="00DE3EE8" w:rsidRPr="002B7E6B" w:rsidRDefault="00DE3EE8" w:rsidP="00DE3EE8">
      <w:pPr>
        <w:widowControl/>
        <w:rPr>
          <w:sz w:val="22"/>
          <w:szCs w:val="22"/>
        </w:rPr>
      </w:pPr>
    </w:p>
    <w:p w14:paraId="0E1A1F1C" w14:textId="64D8A7DF" w:rsidR="00DE3EE8" w:rsidRDefault="00DE3EE8" w:rsidP="008F75DB">
      <w:pPr>
        <w:pStyle w:val="Heading5"/>
      </w:pPr>
      <w:bookmarkStart w:id="89" w:name="_Toc131503836"/>
      <w:r w:rsidRPr="008F75DB">
        <w:t xml:space="preserve">An examination of size-targeting in the Bering Sea pollock catcher processor fishery </w:t>
      </w:r>
      <w:r w:rsidR="008F75DB">
        <w:t>–</w:t>
      </w:r>
      <w:r w:rsidRPr="008F75DB">
        <w:t xml:space="preserve"> ESSR</w:t>
      </w:r>
      <w:bookmarkEnd w:id="89"/>
    </w:p>
    <w:p w14:paraId="16EE20FF" w14:textId="77777777" w:rsidR="008F75DB" w:rsidRPr="008F75DB" w:rsidRDefault="008F75DB" w:rsidP="008F75DB"/>
    <w:p w14:paraId="1B28358A" w14:textId="77777777" w:rsidR="00DE3EE8" w:rsidRPr="002B7E6B" w:rsidRDefault="00DE3EE8" w:rsidP="00DE3EE8">
      <w:pPr>
        <w:rPr>
          <w:sz w:val="22"/>
          <w:szCs w:val="22"/>
        </w:rPr>
      </w:pPr>
      <w:r w:rsidRPr="002B7E6B">
        <w:rPr>
          <w:sz w:val="22"/>
          <w:szCs w:val="22"/>
        </w:rPr>
        <w:t xml:space="preserve">Weight-based harvest quota regulations do not restrict the size of individual fish that fill that quota, although fish of different sizes may present varying fishery profit opportunities and have different impacts on the stock’s growth potential. This paper empirically links revenue per unit of quota and fish size by investigating the catcher-processor fleet of the U.S. Bering Sea pollock fishery, where larger fish </w:t>
      </w:r>
      <w:proofErr w:type="gramStart"/>
      <w:r w:rsidRPr="002B7E6B">
        <w:rPr>
          <w:sz w:val="22"/>
          <w:szCs w:val="22"/>
        </w:rPr>
        <w:t>can be made</w:t>
      </w:r>
      <w:proofErr w:type="gramEnd"/>
      <w:r w:rsidRPr="002B7E6B">
        <w:rPr>
          <w:sz w:val="22"/>
          <w:szCs w:val="22"/>
        </w:rPr>
        <w:t xml:space="preserve"> into higher-value fillets, instead of surimi that is lower value on average. We then use a dynamic age-structured model to illustrate how some harvesters target smaller fish to decrease their own harvesting costs, which imposes a stock externality on the fleet. This is a working paper that </w:t>
      </w:r>
      <w:proofErr w:type="gramStart"/>
      <w:r w:rsidRPr="002B7E6B">
        <w:rPr>
          <w:sz w:val="22"/>
          <w:szCs w:val="22"/>
        </w:rPr>
        <w:t>is being revised</w:t>
      </w:r>
      <w:proofErr w:type="gramEnd"/>
      <w:r w:rsidRPr="002B7E6B">
        <w:rPr>
          <w:sz w:val="22"/>
          <w:szCs w:val="22"/>
        </w:rPr>
        <w:t xml:space="preserve"> for submission to a peer-reviewed journal.  We estimate the potential increase in profit if a manager hypothetically controls for the size of fish caught in the pollock fishery. Fishers benefit due to higher prices coming from higher-value products, and greater catches because of a larger biomass. For further </w:t>
      </w:r>
      <w:proofErr w:type="gramStart"/>
      <w:r w:rsidRPr="002B7E6B">
        <w:rPr>
          <w:sz w:val="22"/>
          <w:szCs w:val="22"/>
        </w:rPr>
        <w:t>information</w:t>
      </w:r>
      <w:proofErr w:type="gramEnd"/>
      <w:r w:rsidRPr="002B7E6B">
        <w:rPr>
          <w:sz w:val="22"/>
          <w:szCs w:val="22"/>
        </w:rPr>
        <w:t xml:space="preserve"> contact </w:t>
      </w:r>
      <w:hyperlink r:id="rId60">
        <w:r w:rsidRPr="002B7E6B">
          <w:rPr>
            <w:color w:val="1155CC"/>
            <w:sz w:val="22"/>
            <w:szCs w:val="22"/>
            <w:u w:val="single"/>
          </w:rPr>
          <w:t>Alan.Haynie@noaa.gov</w:t>
        </w:r>
      </w:hyperlink>
      <w:r w:rsidRPr="002B7E6B">
        <w:rPr>
          <w:sz w:val="22"/>
          <w:szCs w:val="22"/>
        </w:rPr>
        <w:t xml:space="preserve">. </w:t>
      </w:r>
    </w:p>
    <w:p w14:paraId="709AA3BB" w14:textId="77777777" w:rsidR="00DE3EE8" w:rsidRPr="002B7E6B" w:rsidRDefault="00DE3EE8" w:rsidP="00DE3EE8">
      <w:pPr>
        <w:widowControl/>
        <w:rPr>
          <w:sz w:val="22"/>
          <w:szCs w:val="22"/>
        </w:rPr>
      </w:pPr>
    </w:p>
    <w:p w14:paraId="77882A67" w14:textId="77777777" w:rsidR="00DE3EE8" w:rsidRPr="002B7E6B" w:rsidRDefault="00DE3EE8" w:rsidP="00DE3EE8">
      <w:pPr>
        <w:widowControl/>
        <w:rPr>
          <w:sz w:val="22"/>
          <w:szCs w:val="22"/>
        </w:rPr>
      </w:pPr>
    </w:p>
    <w:p w14:paraId="3DCF99CB" w14:textId="77777777" w:rsidR="00DE3EE8" w:rsidRPr="002B7E6B" w:rsidRDefault="00DE3EE8" w:rsidP="00DE3EE8">
      <w:pPr>
        <w:pStyle w:val="Heading4"/>
        <w:numPr>
          <w:ilvl w:val="1"/>
          <w:numId w:val="3"/>
        </w:numPr>
        <w:ind w:left="360"/>
        <w:rPr>
          <w:szCs w:val="22"/>
        </w:rPr>
      </w:pPr>
      <w:bookmarkStart w:id="90" w:name="_Toc131503837"/>
      <w:r w:rsidRPr="002B7E6B">
        <w:rPr>
          <w:szCs w:val="22"/>
        </w:rPr>
        <w:t>Stock Assessment</w:t>
      </w:r>
      <w:bookmarkEnd w:id="90"/>
    </w:p>
    <w:p w14:paraId="604BDBA2" w14:textId="77777777" w:rsidR="00DE3EE8" w:rsidRPr="002B7E6B" w:rsidRDefault="00DE3EE8" w:rsidP="00DE3EE8">
      <w:pPr>
        <w:rPr>
          <w:sz w:val="22"/>
          <w:szCs w:val="22"/>
        </w:rPr>
      </w:pPr>
    </w:p>
    <w:p w14:paraId="5935BC5A" w14:textId="287C7297" w:rsidR="00DE3EE8" w:rsidRDefault="00DE3EE8" w:rsidP="008F75DB">
      <w:pPr>
        <w:pStyle w:val="Heading5"/>
      </w:pPr>
      <w:bookmarkStart w:id="91" w:name="_Toc131503838"/>
      <w:r w:rsidRPr="008F75DB">
        <w:t>Eastern Bering Sea</w:t>
      </w:r>
      <w:r w:rsidR="0024271A">
        <w:t xml:space="preserve"> – </w:t>
      </w:r>
      <w:r w:rsidRPr="008F75DB">
        <w:t>REFM</w:t>
      </w:r>
      <w:bookmarkEnd w:id="91"/>
    </w:p>
    <w:p w14:paraId="22765CFD" w14:textId="77777777" w:rsidR="008F75DB" w:rsidRPr="008F75DB" w:rsidRDefault="008F75DB" w:rsidP="008F75DB"/>
    <w:p w14:paraId="7D87B51D" w14:textId="77777777" w:rsidR="00DE3EE8" w:rsidRPr="002B7E6B" w:rsidRDefault="00DE3EE8" w:rsidP="00E26C52">
      <w:r w:rsidRPr="002B7E6B">
        <w:t>Walleye pollock (</w:t>
      </w:r>
      <w:r w:rsidRPr="00E26C52">
        <w:t>Gadus chalcogrammus</w:t>
      </w:r>
      <w:r w:rsidRPr="002B7E6B">
        <w:t xml:space="preserve">; hereafter referred to as pollock) </w:t>
      </w:r>
      <w:proofErr w:type="gramStart"/>
      <w:r w:rsidRPr="002B7E6B">
        <w:t>are broadly distributed</w:t>
      </w:r>
      <w:proofErr w:type="gramEnd"/>
      <w:r w:rsidRPr="002B7E6B">
        <w:t xml:space="preserve"> throughout the North Pacific with the largest concentrations found in the Eastern Bering Sea. Also known </w:t>
      </w:r>
      <w:proofErr w:type="gramStart"/>
      <w:r w:rsidRPr="002B7E6B">
        <w:t>as</w:t>
      </w:r>
      <w:proofErr w:type="gramEnd"/>
      <w:r w:rsidRPr="002B7E6B">
        <w:t xml:space="preserve"> Alaska pollock, this species continues to play important roles ecologically and economically. This is a mature assessment done annually with new catch, survey, and composition information. For the 2022 </w:t>
      </w:r>
      <w:proofErr w:type="gramStart"/>
      <w:r w:rsidRPr="002B7E6B">
        <w:t>assessment</w:t>
      </w:r>
      <w:proofErr w:type="gramEnd"/>
      <w:r w:rsidRPr="002B7E6B">
        <w:t xml:space="preserve"> this included data from the NMFS bottom-trawl (BTS) and acoustic-trawl (ATS) surveys as well as total catch through 2022. In addition, opportunistic acoustic data from vessels (AVO) conducted by the BTS (2006-2019, 2021-2022) were used as an added index of pollock biomass in mid- water. Observer data for catch-at-age and average weight-at-age from the 2022 fishery were finalized and included.</w:t>
      </w:r>
    </w:p>
    <w:p w14:paraId="5A3C135E" w14:textId="77777777" w:rsidR="00DE3EE8" w:rsidRPr="002B7E6B" w:rsidRDefault="00DE3EE8" w:rsidP="00E26C52">
      <w:r w:rsidRPr="002B7E6B">
        <w:t xml:space="preserve">Spawning biomass in 2008 was at the lowest level since 1980 but increased by a factor of 2.30 by 2017. Biomass trended downward after 2017 and increased rapidly between 2020 and 2022 </w:t>
      </w:r>
      <w:proofErr w:type="gramStart"/>
      <w:r w:rsidRPr="002B7E6B">
        <w:t>The</w:t>
      </w:r>
      <w:proofErr w:type="gramEnd"/>
      <w:r w:rsidRPr="002B7E6B">
        <w:t xml:space="preserve"> 2008 low was the result of extremely poor recruitments from the 2002-2005 year classes. Recent increases were fueled by recruitment from the very strong 2008, 2012, 2013, and </w:t>
      </w:r>
      <w:proofErr w:type="gramStart"/>
      <w:r w:rsidRPr="002B7E6B">
        <w:t>2018 year</w:t>
      </w:r>
      <w:proofErr w:type="gramEnd"/>
      <w:r w:rsidRPr="002B7E6B">
        <w:t xml:space="preserve"> classes, along with spawning exploitation rates at or below 20% from 2008 through 2018.</w:t>
      </w:r>
    </w:p>
    <w:p w14:paraId="4DBFE479" w14:textId="77777777" w:rsidR="00DE3EE8" w:rsidRPr="002B7E6B" w:rsidRDefault="00DE3EE8" w:rsidP="00E26C52">
      <w:r w:rsidRPr="002B7E6B">
        <w:t>The SSC has determined that EBS pollock qualifies for management under Tier 1 because there are reliable estimates of B</w:t>
      </w:r>
      <w:r w:rsidRPr="002B7E6B">
        <w:rPr>
          <w:vertAlign w:val="subscript"/>
        </w:rPr>
        <w:t>MSY</w:t>
      </w:r>
      <w:r w:rsidRPr="002B7E6B">
        <w:t xml:space="preserve"> and the probability density function for F</w:t>
      </w:r>
      <w:r w:rsidRPr="002B7E6B">
        <w:rPr>
          <w:vertAlign w:val="subscript"/>
        </w:rPr>
        <w:t>MSY</w:t>
      </w:r>
      <w:r w:rsidRPr="002B7E6B">
        <w:t>. The updated estimate of B</w:t>
      </w:r>
      <w:r w:rsidRPr="002B7E6B">
        <w:rPr>
          <w:vertAlign w:val="subscript"/>
        </w:rPr>
        <w:t>MSY</w:t>
      </w:r>
      <w:r w:rsidRPr="002B7E6B">
        <w:t xml:space="preserve"> from the present assessment is 2.674 million t. Projected spawning biomass for 2023 is 4.171 million t. As has been the approach for many years, the maximum permissible ABC harvest rate </w:t>
      </w:r>
      <w:proofErr w:type="gramStart"/>
      <w:r w:rsidRPr="002B7E6B">
        <w:t>was based</w:t>
      </w:r>
      <w:proofErr w:type="gramEnd"/>
      <w:r w:rsidRPr="002B7E6B">
        <w:t xml:space="preserve"> on the ratio between MSY and the equilibrium biomass corresponding to MSY. The harmonic mean of this ratio from the present assessment, after adjusting according to the sloping portion of the harvest control rule, is 0.434. The harvest ratio of 0.434 </w:t>
      </w:r>
      <w:proofErr w:type="gramStart"/>
      <w:r w:rsidRPr="002B7E6B">
        <w:t>is multiplied</w:t>
      </w:r>
      <w:proofErr w:type="gramEnd"/>
      <w:r w:rsidRPr="002B7E6B">
        <w:t xml:space="preserve"> by the geometric mean of the projected fishable biomass for 2023 to obtain the maximum permissible ABC for 2023, which is 2.987 million t. However, as with other recent EBS pollock assessments, the authors recommend setting ABCs well below the maximum permissible levels. The authors were concerned about three assessment model related issues:</w:t>
      </w:r>
    </w:p>
    <w:p w14:paraId="55ACE24D" w14:textId="4F2D5915" w:rsidR="00DE3EE8" w:rsidRPr="002B7E6B" w:rsidRDefault="008F75DB" w:rsidP="00E26C52">
      <w:r>
        <w:t xml:space="preserve">1. </w:t>
      </w:r>
      <w:r w:rsidR="00DE3EE8" w:rsidRPr="002B7E6B">
        <w:t xml:space="preserve">There was a substantial increase in biomass relative to the lower than expected survey observation from 2021 and this affected the retrospective </w:t>
      </w:r>
      <w:proofErr w:type="gramStart"/>
      <w:r w:rsidR="00DE3EE8" w:rsidRPr="002B7E6B">
        <w:t>analyses which</w:t>
      </w:r>
      <w:proofErr w:type="gramEnd"/>
      <w:r w:rsidR="00DE3EE8" w:rsidRPr="002B7E6B">
        <w:t xml:space="preserve"> last year indicated a tendency to over estimate the stock trend.</w:t>
      </w:r>
    </w:p>
    <w:p w14:paraId="647296D6" w14:textId="0B3A36FA" w:rsidR="00DE3EE8" w:rsidRPr="002B7E6B" w:rsidRDefault="008F75DB" w:rsidP="00E26C52">
      <w:r>
        <w:t xml:space="preserve">2. </w:t>
      </w:r>
      <w:r w:rsidR="00DE3EE8" w:rsidRPr="002B7E6B">
        <w:t>The model tracks the available data reasonably well except for the strong increase in the AVO index relative to the last two years.</w:t>
      </w:r>
    </w:p>
    <w:p w14:paraId="1B117B0B" w14:textId="2C49F555" w:rsidR="00DE3EE8" w:rsidRPr="002B7E6B" w:rsidRDefault="008F75DB" w:rsidP="00E26C52">
      <w:r>
        <w:t xml:space="preserve">3. </w:t>
      </w:r>
      <w:proofErr w:type="gramStart"/>
      <w:r w:rsidR="00DE3EE8" w:rsidRPr="002B7E6B">
        <w:t>The  stock</w:t>
      </w:r>
      <w:proofErr w:type="gramEnd"/>
      <w:r w:rsidR="00DE3EE8" w:rsidRPr="002B7E6B">
        <w:t xml:space="preserve">-recruitment relationship selected for this cannibalistic species requires a relatively informative prior distribution in order to have the residuals of the estimates relative to the curve to be less biased nearer the slope of the origin. This </w:t>
      </w:r>
      <w:proofErr w:type="gramStart"/>
      <w:r w:rsidR="00DE3EE8" w:rsidRPr="002B7E6B">
        <w:t>could be interpreted</w:t>
      </w:r>
      <w:proofErr w:type="gramEnd"/>
      <w:r w:rsidR="00DE3EE8" w:rsidRPr="002B7E6B">
        <w:t xml:space="preserve"> as being undesirable and having undue influence on the underlying stock productivity (noting that it has been demonstrated that the prior leads to increased conservativism).</w:t>
      </w:r>
    </w:p>
    <w:p w14:paraId="08AA0CAC" w14:textId="77777777" w:rsidR="00DE3EE8" w:rsidRPr="002B7E6B" w:rsidRDefault="00DE3EE8" w:rsidP="00E26C52">
      <w:r w:rsidRPr="002B7E6B">
        <w:t xml:space="preserve">The authors conclude that this warrants reducing the 2023 and 2024 ABCs by 43% and 56% from the corresponding maxABC. The values </w:t>
      </w:r>
      <w:proofErr w:type="gramStart"/>
      <w:r w:rsidRPr="002B7E6B">
        <w:t>were derived</w:t>
      </w:r>
      <w:proofErr w:type="gramEnd"/>
      <w:r w:rsidRPr="002B7E6B">
        <w:t xml:space="preserve"> by running the accepted model with the 2018 recruitment specified as the mean of the previous highest 2 years – which put the stock in Tier 3a – and then applying the Tier 3 maxABC harvest control rule. This reduction is necessary to account for uncertainties in the 2018 recruitment that are likely overestimated in the model, and to ensure stability in the fishery. The SSC agreed that a buffer </w:t>
      </w:r>
      <w:proofErr w:type="gramStart"/>
      <w:r w:rsidRPr="002B7E6B">
        <w:t>was warranted and proposed a 36% reduction</w:t>
      </w:r>
      <w:proofErr w:type="gramEnd"/>
      <w:r w:rsidRPr="002B7E6B">
        <w:t>.</w:t>
      </w:r>
    </w:p>
    <w:p w14:paraId="7EB4D462" w14:textId="77777777" w:rsidR="00DE3EE8" w:rsidRPr="002B7E6B" w:rsidRDefault="00DE3EE8" w:rsidP="00E26C52">
      <w:r w:rsidRPr="002B7E6B">
        <w:t xml:space="preserve">The OFL harvest ratio under Tier 1a is 0.491, corresponding to the arithmetic mean of the ratio between MSY and the equilibrium fishable biomass corresponding to MSY, after adjusting according to the sloping portion of the harvest control rule. The product of this ratio and the </w:t>
      </w:r>
      <w:r w:rsidRPr="002B7E6B">
        <w:lastRenderedPageBreak/>
        <w:t>geometric mean of the projected fishable biomass for 2023 determines the OFL for 2023, which is 3.381 million t. Given a projected 2023 catch of 1.350 million t, the current projection for OFL in 2024 is 4.639 million t.</w:t>
      </w:r>
    </w:p>
    <w:p w14:paraId="7A44B2C0" w14:textId="77777777" w:rsidR="00DE3EE8" w:rsidRPr="002B7E6B" w:rsidRDefault="00DE3EE8" w:rsidP="00E26C52">
      <w:r w:rsidRPr="002B7E6B">
        <w:t xml:space="preserve">In addition to the ecosystem considerations listed in the SAFE chapter, an appendix to the SAFE chapter describes a multi-species model (“CEATTLE”) involving walleye pollock, Pacific cod, and arrowtooth flounder. The authors view this as a “strategic” model rather than a model that </w:t>
      </w:r>
      <w:proofErr w:type="gramStart"/>
      <w:r w:rsidRPr="002B7E6B">
        <w:t>would be used</w:t>
      </w:r>
      <w:proofErr w:type="gramEnd"/>
      <w:r w:rsidRPr="002B7E6B">
        <w:t xml:space="preserve"> for setting annual harvest specifications.</w:t>
      </w:r>
    </w:p>
    <w:p w14:paraId="388A7965" w14:textId="77777777" w:rsidR="00DE3EE8" w:rsidRPr="002B7E6B" w:rsidRDefault="00DE3EE8" w:rsidP="00E26C52">
      <w:r w:rsidRPr="002B7E6B">
        <w:t xml:space="preserve">For more </w:t>
      </w:r>
      <w:proofErr w:type="gramStart"/>
      <w:r w:rsidRPr="002B7E6B">
        <w:t>information</w:t>
      </w:r>
      <w:proofErr w:type="gramEnd"/>
      <w:r w:rsidRPr="002B7E6B">
        <w:t xml:space="preserve"> contact Jim Ianelli (</w:t>
      </w:r>
      <w:hyperlink r:id="rId61">
        <w:r w:rsidRPr="002B7E6B">
          <w:rPr>
            <w:color w:val="1155CC"/>
            <w:u w:val="single"/>
          </w:rPr>
          <w:t>jim.ianelli@noaa.gov</w:t>
        </w:r>
      </w:hyperlink>
      <w:r w:rsidRPr="002B7E6B">
        <w:t>)</w:t>
      </w:r>
    </w:p>
    <w:p w14:paraId="1E2A8066" w14:textId="77777777" w:rsidR="00E26C52" w:rsidRDefault="00E26C52" w:rsidP="008F75DB">
      <w:pPr>
        <w:pStyle w:val="Heading5"/>
      </w:pPr>
    </w:p>
    <w:p w14:paraId="335FE518" w14:textId="19F384E2" w:rsidR="00DE3EE8" w:rsidRPr="008F75DB" w:rsidRDefault="008F75DB" w:rsidP="008F75DB">
      <w:pPr>
        <w:pStyle w:val="Heading5"/>
      </w:pPr>
      <w:bookmarkStart w:id="92" w:name="_Toc131503839"/>
      <w:r>
        <w:t>Aleutian Islands</w:t>
      </w:r>
      <w:r w:rsidR="0024271A">
        <w:t xml:space="preserve"> – </w:t>
      </w:r>
      <w:r w:rsidR="00DE3EE8" w:rsidRPr="008F75DB">
        <w:t>REFM</w:t>
      </w:r>
      <w:bookmarkEnd w:id="92"/>
    </w:p>
    <w:p w14:paraId="00E4958D" w14:textId="77777777" w:rsidR="00DE3EE8" w:rsidRPr="002B7E6B" w:rsidRDefault="00DE3EE8" w:rsidP="00E26C52">
      <w:r w:rsidRPr="002B7E6B">
        <w:t xml:space="preserve">The Aleutian Islands </w:t>
      </w:r>
      <w:proofErr w:type="gramStart"/>
      <w:r w:rsidRPr="002B7E6B">
        <w:t>walleye pollock stock assessment</w:t>
      </w:r>
      <w:proofErr w:type="gramEnd"/>
      <w:r w:rsidRPr="002B7E6B">
        <w:t xml:space="preserve"> has used the same modeling approach since 2015; implemented through the Assessment Model for Alaska (here referred to as AMAK). AMAK is an age-structured model implemented in AD Model Builder (ADMB). Catches for 1978 to 2022 </w:t>
      </w:r>
      <w:proofErr w:type="gramStart"/>
      <w:r w:rsidRPr="002B7E6B">
        <w:t>were updated</w:t>
      </w:r>
      <w:proofErr w:type="gramEnd"/>
      <w:r w:rsidRPr="002B7E6B">
        <w:t xml:space="preserve"> to latest estimates from the catch accounting system (CAS). The 2021 Aleutian Islands survey index and the 2019 and 2020 </w:t>
      </w:r>
      <w:proofErr w:type="gramStart"/>
      <w:r w:rsidRPr="002B7E6B">
        <w:t>fishery age composition data</w:t>
      </w:r>
      <w:proofErr w:type="gramEnd"/>
      <w:r w:rsidRPr="002B7E6B">
        <w:t xml:space="preserve"> were added. Survey age data from 2022 were not yet available. All </w:t>
      </w:r>
      <w:proofErr w:type="gramStart"/>
      <w:r w:rsidRPr="002B7E6B">
        <w:t>survey age composition data</w:t>
      </w:r>
      <w:proofErr w:type="gramEnd"/>
      <w:r w:rsidRPr="002B7E6B">
        <w:t xml:space="preserve"> prior to 1991 were removed from the model to be consistent with the use of Aleutian Islands bottom trawl survey data prior to 1991. There was no directed fishery catch of pollock in 2021, but there was a small, directed fishery in 2022 (217 t as of October 10, 2022). As of October 9, 2022, the total catch of pollock across the Aleutian Islands was 2,726 t.</w:t>
      </w:r>
    </w:p>
    <w:p w14:paraId="5C49EECE" w14:textId="77777777" w:rsidR="00DE3EE8" w:rsidRPr="002B7E6B" w:rsidRDefault="00DE3EE8" w:rsidP="00E26C52">
      <w:r w:rsidRPr="002B7E6B">
        <w:t>The 2022 assessment estimates that spawning biomass reached a minimum level of about B</w:t>
      </w:r>
      <w:r w:rsidRPr="002B7E6B">
        <w:rPr>
          <w:vertAlign w:val="subscript"/>
        </w:rPr>
        <w:t>27%</w:t>
      </w:r>
      <w:r w:rsidRPr="002B7E6B">
        <w:t xml:space="preserve"> in 2010 but has generally increased since; the estimates from the authors’ preferred model showed a slight decline in female SSB from 2021 (82,121 t) to 2022 (79,828 t), with another slight decline projected for 2023. The status of AI pollock in 2021 and 2022 was assessed to be well above </w:t>
      </w:r>
      <w:proofErr w:type="gramStart"/>
      <w:r w:rsidRPr="002B7E6B">
        <w:t>B20%</w:t>
      </w:r>
      <w:proofErr w:type="gramEnd"/>
      <w:r w:rsidRPr="002B7E6B">
        <w:t xml:space="preserve">. Mean recruitment was high in the late 1970s and mid-1980s, with the 1978 year-class having a strong influence on the model. Mean recruitment of age-1 pollock from 1978-1989 was almost eight times higher than that from 1998- 2008; no year class since the 1989 year class has exceeded the overall 1978-2018 overall mean recruitment of 131 million age-1 recruits. The most recent strong year classes were the 2011 and </w:t>
      </w:r>
      <w:proofErr w:type="gramStart"/>
      <w:r w:rsidRPr="002B7E6B">
        <w:t>2012 year</w:t>
      </w:r>
      <w:proofErr w:type="gramEnd"/>
      <w:r w:rsidRPr="002B7E6B">
        <w:t xml:space="preserve"> classes, with 93 and 127 million age-1 recruits, respectively. Lower year class strength since 1990 has led to lower abundance of pollock in the Aleutian Islands, despite the fact that exploitation rates have remained low since 1999.</w:t>
      </w:r>
    </w:p>
    <w:p w14:paraId="1B5B319A" w14:textId="40D10CC5" w:rsidR="00DE3EE8" w:rsidRDefault="00DE3EE8" w:rsidP="00E26C52">
      <w:r w:rsidRPr="002B7E6B">
        <w:t xml:space="preserve">For more </w:t>
      </w:r>
      <w:proofErr w:type="gramStart"/>
      <w:r w:rsidRPr="002B7E6B">
        <w:t>information</w:t>
      </w:r>
      <w:proofErr w:type="gramEnd"/>
      <w:r w:rsidRPr="002B7E6B">
        <w:t xml:space="preserve"> contact Jim Ianelli (</w:t>
      </w:r>
      <w:hyperlink r:id="rId62">
        <w:r w:rsidRPr="002B7E6B">
          <w:rPr>
            <w:color w:val="1155CC"/>
            <w:u w:val="single"/>
          </w:rPr>
          <w:t>jim.ianelli@noaa.gov</w:t>
        </w:r>
      </w:hyperlink>
      <w:r w:rsidRPr="002B7E6B">
        <w:t>)</w:t>
      </w:r>
    </w:p>
    <w:p w14:paraId="2EE3B8A2" w14:textId="77777777" w:rsidR="00E26C52" w:rsidRPr="002B7E6B" w:rsidRDefault="00E26C52" w:rsidP="00E26C52"/>
    <w:p w14:paraId="148A9AF1" w14:textId="22EF2752" w:rsidR="00DE3EE8" w:rsidRPr="008F75DB" w:rsidRDefault="00DE3EE8" w:rsidP="008F75DB">
      <w:pPr>
        <w:pStyle w:val="Heading5"/>
      </w:pPr>
      <w:bookmarkStart w:id="93" w:name="_Toc131503840"/>
      <w:r w:rsidRPr="008F75DB">
        <w:t>Bogoslof Pollock</w:t>
      </w:r>
      <w:r w:rsidR="0024271A">
        <w:t xml:space="preserve"> – </w:t>
      </w:r>
      <w:r w:rsidRPr="008F75DB">
        <w:t>REFM</w:t>
      </w:r>
      <w:bookmarkEnd w:id="93"/>
    </w:p>
    <w:p w14:paraId="2466D9A8" w14:textId="77777777" w:rsidR="00DE3EE8" w:rsidRPr="002B7E6B" w:rsidRDefault="00DE3EE8" w:rsidP="00E26C52">
      <w:r w:rsidRPr="002B7E6B">
        <w:t xml:space="preserve">Assessments for Bogoslof pollock </w:t>
      </w:r>
      <w:proofErr w:type="gramStart"/>
      <w:r w:rsidRPr="002B7E6B">
        <w:t>are conducted</w:t>
      </w:r>
      <w:proofErr w:type="gramEnd"/>
      <w:r w:rsidRPr="002B7E6B">
        <w:t xml:space="preserve"> in even years. Harvest recommendations for Bogoslof-area pollock calculated by multiplying the biomass estimate from the NMFS acoustic-trawl survey by an estimate of natural mortality. Biomass </w:t>
      </w:r>
      <w:proofErr w:type="gramStart"/>
      <w:r w:rsidRPr="002B7E6B">
        <w:t>is estimated</w:t>
      </w:r>
      <w:proofErr w:type="gramEnd"/>
      <w:r w:rsidRPr="002B7E6B">
        <w:t xml:space="preserve"> using a random effects model used widely in AFSC assessments. The 2020 acoustic-trawl survey biomass estimate </w:t>
      </w:r>
      <w:proofErr w:type="gramStart"/>
      <w:r w:rsidRPr="002B7E6B">
        <w:t>was revised</w:t>
      </w:r>
      <w:proofErr w:type="gramEnd"/>
      <w:r w:rsidRPr="002B7E6B">
        <w:t xml:space="preserve"> to correct how nearest-tow data were assigned to pollock backscatter, and the natural mortality estimate was increased from 0.3 to 0.313 based on updated age data in 2022.</w:t>
      </w:r>
    </w:p>
    <w:p w14:paraId="18B8CE29" w14:textId="77777777" w:rsidR="00DE3EE8" w:rsidRPr="002B7E6B" w:rsidRDefault="00DE3EE8" w:rsidP="00E26C52">
      <w:r w:rsidRPr="002B7E6B">
        <w:t xml:space="preserve">NMFS acoustic-trawl survey biomass estimates are the primary data source used in this assessment. Between 1997 and 2020, the values varied between a low of 67,063 t in 2012 and a high of 663,070 t in 2018. The most recent acoustic-trawl survey of the Bogoslof spawning stock </w:t>
      </w:r>
      <w:proofErr w:type="gramStart"/>
      <w:r w:rsidRPr="002B7E6B">
        <w:t>was conducted in February 2020 and resulted in a biomass estimate of 353,069 t</w:t>
      </w:r>
      <w:proofErr w:type="gramEnd"/>
      <w:r w:rsidRPr="002B7E6B">
        <w:t>. The random-effects method of survey averaging resulted in 367,880 t.</w:t>
      </w:r>
    </w:p>
    <w:p w14:paraId="04C9C35B" w14:textId="77777777" w:rsidR="00DE3EE8" w:rsidRPr="002B7E6B" w:rsidRDefault="00DE3EE8" w:rsidP="00E26C52">
      <w:r w:rsidRPr="002B7E6B">
        <w:lastRenderedPageBreak/>
        <w:t xml:space="preserve">The maximum permissible ABC value for 2023 is 86,360 t (assuming M = 0.313 and FABC = 0.75 x M = 0.235 and the random effects survey estimate for biomass). The ABC for 2024 is the same. The OFL </w:t>
      </w:r>
      <w:proofErr w:type="gramStart"/>
      <w:r w:rsidRPr="002B7E6B">
        <w:t>was calculated</w:t>
      </w:r>
      <w:proofErr w:type="gramEnd"/>
      <w:r w:rsidRPr="002B7E6B">
        <w:t xml:space="preserve"> using the random effects estimate for the survey biomass. Following the Tier 5 formula with M = 0.313, OFL for 2023 is 115,146 t. The OFL for 2024 is the same.</w:t>
      </w:r>
    </w:p>
    <w:p w14:paraId="4B581FF9" w14:textId="1BACF2E6" w:rsidR="00DE3EE8" w:rsidRDefault="00DE3EE8" w:rsidP="00E26C52">
      <w:r w:rsidRPr="002B7E6B">
        <w:t xml:space="preserve">For more </w:t>
      </w:r>
      <w:proofErr w:type="gramStart"/>
      <w:r w:rsidRPr="002B7E6B">
        <w:t>information</w:t>
      </w:r>
      <w:proofErr w:type="gramEnd"/>
      <w:r w:rsidRPr="002B7E6B">
        <w:t xml:space="preserve"> contact Steve Barbeaux (</w:t>
      </w:r>
      <w:hyperlink r:id="rId63">
        <w:r w:rsidRPr="002B7E6B">
          <w:rPr>
            <w:color w:val="1155CC"/>
            <w:u w:val="single"/>
          </w:rPr>
          <w:t>steve.barbeaux@noaa.gov</w:t>
        </w:r>
      </w:hyperlink>
      <w:r w:rsidRPr="002B7E6B">
        <w:t>)</w:t>
      </w:r>
    </w:p>
    <w:p w14:paraId="54EF1601" w14:textId="77777777" w:rsidR="00B05625" w:rsidRPr="002B7E6B" w:rsidRDefault="00B05625" w:rsidP="00E26C52"/>
    <w:tbl>
      <w:tblPr>
        <w:tblW w:w="9300" w:type="dxa"/>
        <w:tblBorders>
          <w:top w:val="nil"/>
          <w:left w:val="nil"/>
          <w:bottom w:val="nil"/>
          <w:right w:val="nil"/>
          <w:insideH w:val="nil"/>
          <w:insideV w:val="nil"/>
        </w:tblBorders>
        <w:tblLayout w:type="fixed"/>
        <w:tblLook w:val="0600" w:firstRow="0" w:lastRow="0" w:firstColumn="0" w:lastColumn="0" w:noHBand="1" w:noVBand="1"/>
      </w:tblPr>
      <w:tblGrid>
        <w:gridCol w:w="2055"/>
        <w:gridCol w:w="1275"/>
        <w:gridCol w:w="1290"/>
        <w:gridCol w:w="1170"/>
        <w:gridCol w:w="1170"/>
        <w:gridCol w:w="1170"/>
        <w:gridCol w:w="1170"/>
      </w:tblGrid>
      <w:tr w:rsidR="00DE3EE8" w:rsidRPr="002B7E6B" w14:paraId="68DD8640" w14:textId="77777777" w:rsidTr="005A5ABD">
        <w:trPr>
          <w:trHeight w:val="500"/>
        </w:trPr>
        <w:tc>
          <w:tcPr>
            <w:tcW w:w="2055"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0ECF69DA" w14:textId="77777777" w:rsidR="00DE3EE8" w:rsidRPr="002B7E6B" w:rsidRDefault="00DE3EE8" w:rsidP="00E26C52">
            <w:pPr>
              <w:rPr>
                <w:b/>
              </w:rPr>
            </w:pPr>
            <w:r w:rsidRPr="002B7E6B">
              <w:rPr>
                <w:b/>
              </w:rPr>
              <w:t>Area</w:t>
            </w:r>
          </w:p>
        </w:tc>
        <w:tc>
          <w:tcPr>
            <w:tcW w:w="1275"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461C943B" w14:textId="77777777" w:rsidR="00DE3EE8" w:rsidRPr="002B7E6B" w:rsidRDefault="00DE3EE8" w:rsidP="00E26C52">
            <w:pPr>
              <w:rPr>
                <w:b/>
              </w:rPr>
            </w:pPr>
            <w:r w:rsidRPr="002B7E6B">
              <w:rPr>
                <w:b/>
              </w:rPr>
              <w:t>Year</w:t>
            </w:r>
          </w:p>
        </w:tc>
        <w:tc>
          <w:tcPr>
            <w:tcW w:w="1290"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516F7293" w14:textId="77777777" w:rsidR="00DE3EE8" w:rsidRPr="002B7E6B" w:rsidRDefault="00DE3EE8" w:rsidP="00E26C52">
            <w:pPr>
              <w:rPr>
                <w:b/>
              </w:rPr>
            </w:pPr>
            <w:r w:rsidRPr="002B7E6B">
              <w:rPr>
                <w:b/>
              </w:rPr>
              <w:t>Biomass</w:t>
            </w:r>
          </w:p>
        </w:tc>
        <w:tc>
          <w:tcPr>
            <w:tcW w:w="1170"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3B8B54C2" w14:textId="77777777" w:rsidR="00DE3EE8" w:rsidRPr="002B7E6B" w:rsidRDefault="00DE3EE8" w:rsidP="00E26C52">
            <w:pPr>
              <w:rPr>
                <w:b/>
              </w:rPr>
            </w:pPr>
            <w:r w:rsidRPr="002B7E6B">
              <w:rPr>
                <w:b/>
              </w:rPr>
              <w:t>OFL</w:t>
            </w:r>
          </w:p>
        </w:tc>
        <w:tc>
          <w:tcPr>
            <w:tcW w:w="1170"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6B3F6AC5" w14:textId="77777777" w:rsidR="00DE3EE8" w:rsidRPr="002B7E6B" w:rsidRDefault="00DE3EE8" w:rsidP="00E26C52">
            <w:pPr>
              <w:rPr>
                <w:b/>
              </w:rPr>
            </w:pPr>
            <w:r w:rsidRPr="002B7E6B">
              <w:rPr>
                <w:b/>
              </w:rPr>
              <w:t>ABC</w:t>
            </w:r>
          </w:p>
        </w:tc>
        <w:tc>
          <w:tcPr>
            <w:tcW w:w="1170"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7AEFEEAA" w14:textId="77777777" w:rsidR="00DE3EE8" w:rsidRPr="002B7E6B" w:rsidRDefault="00DE3EE8" w:rsidP="00E26C52">
            <w:pPr>
              <w:rPr>
                <w:b/>
              </w:rPr>
            </w:pPr>
            <w:r w:rsidRPr="002B7E6B">
              <w:rPr>
                <w:b/>
              </w:rPr>
              <w:t>TAC*</w:t>
            </w:r>
          </w:p>
        </w:tc>
        <w:tc>
          <w:tcPr>
            <w:tcW w:w="1170"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61A3ED90" w14:textId="77777777" w:rsidR="00DE3EE8" w:rsidRPr="002B7E6B" w:rsidRDefault="00DE3EE8" w:rsidP="00E26C52">
            <w:pPr>
              <w:rPr>
                <w:b/>
              </w:rPr>
            </w:pPr>
            <w:r w:rsidRPr="002B7E6B">
              <w:rPr>
                <w:b/>
              </w:rPr>
              <w:t>Catch</w:t>
            </w:r>
          </w:p>
        </w:tc>
      </w:tr>
      <w:tr w:rsidR="00DE3EE8" w:rsidRPr="002B7E6B" w14:paraId="5C99F4C3" w14:textId="77777777" w:rsidTr="005A5ABD">
        <w:trPr>
          <w:trHeight w:val="500"/>
        </w:trPr>
        <w:tc>
          <w:tcPr>
            <w:tcW w:w="2055" w:type="dxa"/>
            <w:tcBorders>
              <w:top w:val="nil"/>
              <w:left w:val="nil"/>
              <w:bottom w:val="nil"/>
              <w:right w:val="nil"/>
            </w:tcBorders>
            <w:tcMar>
              <w:top w:w="100" w:type="dxa"/>
              <w:left w:w="100" w:type="dxa"/>
              <w:bottom w:w="100" w:type="dxa"/>
              <w:right w:w="100" w:type="dxa"/>
            </w:tcMar>
            <w:vAlign w:val="bottom"/>
          </w:tcPr>
          <w:p w14:paraId="15743665" w14:textId="77777777" w:rsidR="00DE3EE8" w:rsidRPr="002B7E6B" w:rsidRDefault="00DE3EE8" w:rsidP="00E26C52">
            <w:r w:rsidRPr="002B7E6B">
              <w:t>Eastern Bering Sea</w:t>
            </w:r>
          </w:p>
        </w:tc>
        <w:tc>
          <w:tcPr>
            <w:tcW w:w="1275" w:type="dxa"/>
            <w:tcBorders>
              <w:top w:val="nil"/>
              <w:left w:val="nil"/>
              <w:bottom w:val="nil"/>
              <w:right w:val="nil"/>
            </w:tcBorders>
            <w:tcMar>
              <w:top w:w="100" w:type="dxa"/>
              <w:left w:w="100" w:type="dxa"/>
              <w:bottom w:w="100" w:type="dxa"/>
              <w:right w:w="100" w:type="dxa"/>
            </w:tcMar>
            <w:vAlign w:val="bottom"/>
          </w:tcPr>
          <w:p w14:paraId="26577ECF" w14:textId="77777777" w:rsidR="00DE3EE8" w:rsidRPr="002B7E6B" w:rsidRDefault="00DE3EE8" w:rsidP="00E26C52">
            <w:r w:rsidRPr="002B7E6B">
              <w:t>2021</w:t>
            </w:r>
          </w:p>
        </w:tc>
        <w:tc>
          <w:tcPr>
            <w:tcW w:w="1290" w:type="dxa"/>
            <w:tcBorders>
              <w:top w:val="nil"/>
              <w:left w:val="nil"/>
              <w:bottom w:val="nil"/>
              <w:right w:val="nil"/>
            </w:tcBorders>
            <w:tcMar>
              <w:top w:w="100" w:type="dxa"/>
              <w:left w:w="100" w:type="dxa"/>
              <w:bottom w:w="100" w:type="dxa"/>
              <w:right w:w="100" w:type="dxa"/>
            </w:tcMar>
            <w:vAlign w:val="bottom"/>
          </w:tcPr>
          <w:p w14:paraId="05A894EF" w14:textId="77777777" w:rsidR="00DE3EE8" w:rsidRPr="002B7E6B" w:rsidRDefault="00DE3EE8" w:rsidP="00E26C52">
            <w:r w:rsidRPr="002B7E6B">
              <w:t>8,145,000</w:t>
            </w:r>
          </w:p>
        </w:tc>
        <w:tc>
          <w:tcPr>
            <w:tcW w:w="1170" w:type="dxa"/>
            <w:tcBorders>
              <w:top w:val="nil"/>
              <w:left w:val="nil"/>
              <w:bottom w:val="nil"/>
              <w:right w:val="nil"/>
            </w:tcBorders>
            <w:tcMar>
              <w:top w:w="100" w:type="dxa"/>
              <w:left w:w="100" w:type="dxa"/>
              <w:bottom w:w="100" w:type="dxa"/>
              <w:right w:w="100" w:type="dxa"/>
            </w:tcMar>
            <w:vAlign w:val="bottom"/>
          </w:tcPr>
          <w:p w14:paraId="2F663E1C" w14:textId="77777777" w:rsidR="00DE3EE8" w:rsidRPr="002B7E6B" w:rsidRDefault="00DE3EE8" w:rsidP="00E26C52">
            <w:r w:rsidRPr="002B7E6B">
              <w:t>2,594,000</w:t>
            </w:r>
          </w:p>
        </w:tc>
        <w:tc>
          <w:tcPr>
            <w:tcW w:w="1170" w:type="dxa"/>
            <w:tcBorders>
              <w:top w:val="nil"/>
              <w:left w:val="nil"/>
              <w:bottom w:val="nil"/>
              <w:right w:val="nil"/>
            </w:tcBorders>
            <w:tcMar>
              <w:top w:w="100" w:type="dxa"/>
              <w:left w:w="100" w:type="dxa"/>
              <w:bottom w:w="100" w:type="dxa"/>
              <w:right w:w="100" w:type="dxa"/>
            </w:tcMar>
            <w:vAlign w:val="bottom"/>
          </w:tcPr>
          <w:p w14:paraId="0069953D" w14:textId="77777777" w:rsidR="00DE3EE8" w:rsidRPr="002B7E6B" w:rsidRDefault="00DE3EE8" w:rsidP="00E26C52">
            <w:r w:rsidRPr="002B7E6B">
              <w:t>1,626,000</w:t>
            </w:r>
          </w:p>
        </w:tc>
        <w:tc>
          <w:tcPr>
            <w:tcW w:w="1170" w:type="dxa"/>
            <w:tcBorders>
              <w:top w:val="nil"/>
              <w:left w:val="nil"/>
              <w:bottom w:val="nil"/>
              <w:right w:val="nil"/>
            </w:tcBorders>
            <w:tcMar>
              <w:top w:w="100" w:type="dxa"/>
              <w:left w:w="100" w:type="dxa"/>
              <w:bottom w:w="100" w:type="dxa"/>
              <w:right w:w="100" w:type="dxa"/>
            </w:tcMar>
            <w:vAlign w:val="bottom"/>
          </w:tcPr>
          <w:p w14:paraId="6D8EE933" w14:textId="77777777" w:rsidR="00DE3EE8" w:rsidRPr="002B7E6B" w:rsidRDefault="00DE3EE8" w:rsidP="00E26C52">
            <w:r w:rsidRPr="002B7E6B">
              <w:t>1,375,000</w:t>
            </w:r>
          </w:p>
        </w:tc>
        <w:tc>
          <w:tcPr>
            <w:tcW w:w="1170" w:type="dxa"/>
            <w:tcBorders>
              <w:top w:val="nil"/>
              <w:left w:val="nil"/>
              <w:bottom w:val="nil"/>
              <w:right w:val="nil"/>
            </w:tcBorders>
            <w:tcMar>
              <w:top w:w="100" w:type="dxa"/>
              <w:left w:w="100" w:type="dxa"/>
              <w:bottom w:w="100" w:type="dxa"/>
              <w:right w:w="100" w:type="dxa"/>
            </w:tcMar>
            <w:vAlign w:val="bottom"/>
          </w:tcPr>
          <w:p w14:paraId="1E953188" w14:textId="77777777" w:rsidR="00DE3EE8" w:rsidRPr="002B7E6B" w:rsidRDefault="00DE3EE8" w:rsidP="00E26C52">
            <w:r w:rsidRPr="002B7E6B">
              <w:t>1,376,258</w:t>
            </w:r>
          </w:p>
        </w:tc>
      </w:tr>
      <w:tr w:rsidR="00DE3EE8" w:rsidRPr="002B7E6B" w14:paraId="626CB89C" w14:textId="77777777" w:rsidTr="005A5ABD">
        <w:trPr>
          <w:trHeight w:val="500"/>
        </w:trPr>
        <w:tc>
          <w:tcPr>
            <w:tcW w:w="2055" w:type="dxa"/>
            <w:tcBorders>
              <w:top w:val="nil"/>
              <w:left w:val="nil"/>
              <w:bottom w:val="nil"/>
              <w:right w:val="nil"/>
            </w:tcBorders>
            <w:tcMar>
              <w:top w:w="100" w:type="dxa"/>
              <w:left w:w="100" w:type="dxa"/>
              <w:bottom w:w="100" w:type="dxa"/>
              <w:right w:w="100" w:type="dxa"/>
            </w:tcMar>
            <w:vAlign w:val="bottom"/>
          </w:tcPr>
          <w:p w14:paraId="194FCC30" w14:textId="77777777" w:rsidR="00DE3EE8" w:rsidRPr="002B7E6B" w:rsidRDefault="00DE3EE8" w:rsidP="00E26C52"/>
        </w:tc>
        <w:tc>
          <w:tcPr>
            <w:tcW w:w="1275" w:type="dxa"/>
            <w:tcBorders>
              <w:top w:val="nil"/>
              <w:left w:val="nil"/>
              <w:bottom w:val="nil"/>
              <w:right w:val="nil"/>
            </w:tcBorders>
            <w:tcMar>
              <w:top w:w="100" w:type="dxa"/>
              <w:left w:w="100" w:type="dxa"/>
              <w:bottom w:w="100" w:type="dxa"/>
              <w:right w:w="100" w:type="dxa"/>
            </w:tcMar>
            <w:vAlign w:val="bottom"/>
          </w:tcPr>
          <w:p w14:paraId="2558FDC5" w14:textId="77777777" w:rsidR="00DE3EE8" w:rsidRPr="002B7E6B" w:rsidRDefault="00DE3EE8" w:rsidP="00E26C52">
            <w:r w:rsidRPr="002B7E6B">
              <w:t>2022</w:t>
            </w:r>
          </w:p>
        </w:tc>
        <w:tc>
          <w:tcPr>
            <w:tcW w:w="1290" w:type="dxa"/>
            <w:tcBorders>
              <w:top w:val="nil"/>
              <w:left w:val="nil"/>
              <w:bottom w:val="nil"/>
              <w:right w:val="nil"/>
            </w:tcBorders>
            <w:tcMar>
              <w:top w:w="100" w:type="dxa"/>
              <w:left w:w="100" w:type="dxa"/>
              <w:bottom w:w="100" w:type="dxa"/>
              <w:right w:w="100" w:type="dxa"/>
            </w:tcMar>
            <w:vAlign w:val="bottom"/>
          </w:tcPr>
          <w:p w14:paraId="620C281C" w14:textId="77777777" w:rsidR="00DE3EE8" w:rsidRPr="002B7E6B" w:rsidRDefault="00DE3EE8" w:rsidP="00E26C52">
            <w:r w:rsidRPr="002B7E6B">
              <w:t>6,839,000</w:t>
            </w:r>
          </w:p>
        </w:tc>
        <w:tc>
          <w:tcPr>
            <w:tcW w:w="1170" w:type="dxa"/>
            <w:tcBorders>
              <w:top w:val="nil"/>
              <w:left w:val="nil"/>
              <w:bottom w:val="nil"/>
              <w:right w:val="nil"/>
            </w:tcBorders>
            <w:tcMar>
              <w:top w:w="100" w:type="dxa"/>
              <w:left w:w="100" w:type="dxa"/>
              <w:bottom w:w="100" w:type="dxa"/>
              <w:right w:w="100" w:type="dxa"/>
            </w:tcMar>
            <w:vAlign w:val="bottom"/>
          </w:tcPr>
          <w:p w14:paraId="076BA732" w14:textId="77777777" w:rsidR="00DE3EE8" w:rsidRPr="002B7E6B" w:rsidRDefault="00DE3EE8" w:rsidP="00E26C52">
            <w:r w:rsidRPr="002B7E6B">
              <w:t>1,469,000</w:t>
            </w:r>
          </w:p>
        </w:tc>
        <w:tc>
          <w:tcPr>
            <w:tcW w:w="1170" w:type="dxa"/>
            <w:tcBorders>
              <w:top w:val="nil"/>
              <w:left w:val="nil"/>
              <w:bottom w:val="nil"/>
              <w:right w:val="nil"/>
            </w:tcBorders>
            <w:tcMar>
              <w:top w:w="100" w:type="dxa"/>
              <w:left w:w="100" w:type="dxa"/>
              <w:bottom w:w="100" w:type="dxa"/>
              <w:right w:w="100" w:type="dxa"/>
            </w:tcMar>
            <w:vAlign w:val="bottom"/>
          </w:tcPr>
          <w:p w14:paraId="47F9E7A7" w14:textId="77777777" w:rsidR="00DE3EE8" w:rsidRPr="002B7E6B" w:rsidRDefault="00DE3EE8" w:rsidP="00E26C52">
            <w:r w:rsidRPr="002B7E6B">
              <w:t>1,111,000</w:t>
            </w:r>
          </w:p>
        </w:tc>
        <w:tc>
          <w:tcPr>
            <w:tcW w:w="1170" w:type="dxa"/>
            <w:tcBorders>
              <w:top w:val="nil"/>
              <w:left w:val="nil"/>
              <w:bottom w:val="nil"/>
              <w:right w:val="nil"/>
            </w:tcBorders>
            <w:tcMar>
              <w:top w:w="100" w:type="dxa"/>
              <w:left w:w="100" w:type="dxa"/>
              <w:bottom w:w="100" w:type="dxa"/>
              <w:right w:w="100" w:type="dxa"/>
            </w:tcMar>
            <w:vAlign w:val="bottom"/>
          </w:tcPr>
          <w:p w14:paraId="5938DE3D" w14:textId="77777777" w:rsidR="00DE3EE8" w:rsidRPr="002B7E6B" w:rsidRDefault="00DE3EE8" w:rsidP="00E26C52">
            <w:r w:rsidRPr="002B7E6B">
              <w:t>1,111,000</w:t>
            </w:r>
          </w:p>
        </w:tc>
        <w:tc>
          <w:tcPr>
            <w:tcW w:w="1170" w:type="dxa"/>
            <w:tcBorders>
              <w:top w:val="nil"/>
              <w:left w:val="nil"/>
              <w:bottom w:val="nil"/>
              <w:right w:val="nil"/>
            </w:tcBorders>
            <w:tcMar>
              <w:top w:w="100" w:type="dxa"/>
              <w:left w:w="100" w:type="dxa"/>
              <w:bottom w:w="100" w:type="dxa"/>
              <w:right w:w="100" w:type="dxa"/>
            </w:tcMar>
            <w:vAlign w:val="bottom"/>
          </w:tcPr>
          <w:p w14:paraId="75B2AB90" w14:textId="77777777" w:rsidR="00DE3EE8" w:rsidRPr="002B7E6B" w:rsidRDefault="00DE3EE8" w:rsidP="00E26C52">
            <w:r w:rsidRPr="002B7E6B">
              <w:t>1,103,996</w:t>
            </w:r>
          </w:p>
        </w:tc>
      </w:tr>
      <w:tr w:rsidR="00DE3EE8" w:rsidRPr="002B7E6B" w14:paraId="454C476E" w14:textId="77777777" w:rsidTr="005A5ABD">
        <w:trPr>
          <w:trHeight w:val="500"/>
        </w:trPr>
        <w:tc>
          <w:tcPr>
            <w:tcW w:w="2055" w:type="dxa"/>
            <w:tcBorders>
              <w:top w:val="nil"/>
              <w:left w:val="nil"/>
              <w:bottom w:val="nil"/>
              <w:right w:val="nil"/>
            </w:tcBorders>
            <w:tcMar>
              <w:top w:w="100" w:type="dxa"/>
              <w:left w:w="100" w:type="dxa"/>
              <w:bottom w:w="100" w:type="dxa"/>
              <w:right w:w="100" w:type="dxa"/>
            </w:tcMar>
            <w:vAlign w:val="bottom"/>
          </w:tcPr>
          <w:p w14:paraId="7FF317E7" w14:textId="77777777" w:rsidR="00DE3EE8" w:rsidRPr="002B7E6B" w:rsidRDefault="00DE3EE8" w:rsidP="00E26C52"/>
        </w:tc>
        <w:tc>
          <w:tcPr>
            <w:tcW w:w="1275" w:type="dxa"/>
            <w:tcBorders>
              <w:top w:val="nil"/>
              <w:left w:val="nil"/>
              <w:bottom w:val="nil"/>
              <w:right w:val="nil"/>
            </w:tcBorders>
            <w:tcMar>
              <w:top w:w="100" w:type="dxa"/>
              <w:left w:w="100" w:type="dxa"/>
              <w:bottom w:w="100" w:type="dxa"/>
              <w:right w:w="100" w:type="dxa"/>
            </w:tcMar>
            <w:vAlign w:val="bottom"/>
          </w:tcPr>
          <w:p w14:paraId="2BE8F3F4" w14:textId="77777777" w:rsidR="00DE3EE8" w:rsidRPr="002B7E6B" w:rsidRDefault="00DE3EE8" w:rsidP="00E26C52">
            <w:r w:rsidRPr="002B7E6B">
              <w:t>2023</w:t>
            </w:r>
          </w:p>
        </w:tc>
        <w:tc>
          <w:tcPr>
            <w:tcW w:w="1290" w:type="dxa"/>
            <w:tcBorders>
              <w:top w:val="nil"/>
              <w:left w:val="nil"/>
              <w:bottom w:val="nil"/>
              <w:right w:val="nil"/>
            </w:tcBorders>
            <w:tcMar>
              <w:top w:w="100" w:type="dxa"/>
              <w:left w:w="100" w:type="dxa"/>
              <w:bottom w:w="100" w:type="dxa"/>
              <w:right w:w="100" w:type="dxa"/>
            </w:tcMar>
            <w:vAlign w:val="bottom"/>
          </w:tcPr>
          <w:p w14:paraId="22E39502" w14:textId="77777777" w:rsidR="00DE3EE8" w:rsidRPr="002B7E6B" w:rsidRDefault="00DE3EE8" w:rsidP="00E26C52">
            <w:r w:rsidRPr="002B7E6B">
              <w:t>12,389,000</w:t>
            </w:r>
          </w:p>
        </w:tc>
        <w:tc>
          <w:tcPr>
            <w:tcW w:w="1170" w:type="dxa"/>
            <w:tcBorders>
              <w:top w:val="nil"/>
              <w:left w:val="nil"/>
              <w:bottom w:val="nil"/>
              <w:right w:val="nil"/>
            </w:tcBorders>
            <w:tcMar>
              <w:top w:w="100" w:type="dxa"/>
              <w:left w:w="100" w:type="dxa"/>
              <w:bottom w:w="100" w:type="dxa"/>
              <w:right w:w="100" w:type="dxa"/>
            </w:tcMar>
            <w:vAlign w:val="bottom"/>
          </w:tcPr>
          <w:p w14:paraId="0FD83E81" w14:textId="77777777" w:rsidR="00DE3EE8" w:rsidRPr="002B7E6B" w:rsidRDefault="00DE3EE8" w:rsidP="00E26C52">
            <w:r w:rsidRPr="002B7E6B">
              <w:t>3,381,000</w:t>
            </w:r>
          </w:p>
        </w:tc>
        <w:tc>
          <w:tcPr>
            <w:tcW w:w="1170" w:type="dxa"/>
            <w:tcBorders>
              <w:top w:val="nil"/>
              <w:left w:val="nil"/>
              <w:bottom w:val="nil"/>
              <w:right w:val="nil"/>
            </w:tcBorders>
            <w:tcMar>
              <w:top w:w="100" w:type="dxa"/>
              <w:left w:w="100" w:type="dxa"/>
              <w:bottom w:w="100" w:type="dxa"/>
              <w:right w:w="100" w:type="dxa"/>
            </w:tcMar>
            <w:vAlign w:val="bottom"/>
          </w:tcPr>
          <w:p w14:paraId="75E286FE" w14:textId="77777777" w:rsidR="00DE3EE8" w:rsidRPr="002B7E6B" w:rsidRDefault="00DE3EE8" w:rsidP="00E26C52">
            <w:r w:rsidRPr="002B7E6B">
              <w:t>1,688,000</w:t>
            </w:r>
          </w:p>
        </w:tc>
        <w:tc>
          <w:tcPr>
            <w:tcW w:w="1170" w:type="dxa"/>
            <w:tcBorders>
              <w:top w:val="nil"/>
              <w:left w:val="nil"/>
              <w:bottom w:val="nil"/>
              <w:right w:val="nil"/>
            </w:tcBorders>
            <w:tcMar>
              <w:top w:w="100" w:type="dxa"/>
              <w:left w:w="100" w:type="dxa"/>
              <w:bottom w:w="100" w:type="dxa"/>
              <w:right w:w="100" w:type="dxa"/>
            </w:tcMar>
            <w:vAlign w:val="bottom"/>
          </w:tcPr>
          <w:p w14:paraId="0E61BDF4" w14:textId="77777777" w:rsidR="00DE3EE8" w:rsidRPr="002B7E6B" w:rsidRDefault="00DE3EE8" w:rsidP="00E26C52">
            <w:r w:rsidRPr="002B7E6B">
              <w:t>n/a</w:t>
            </w:r>
          </w:p>
        </w:tc>
        <w:tc>
          <w:tcPr>
            <w:tcW w:w="1170" w:type="dxa"/>
            <w:tcBorders>
              <w:top w:val="nil"/>
              <w:left w:val="nil"/>
              <w:bottom w:val="nil"/>
              <w:right w:val="nil"/>
            </w:tcBorders>
            <w:tcMar>
              <w:top w:w="100" w:type="dxa"/>
              <w:left w:w="100" w:type="dxa"/>
              <w:bottom w:w="100" w:type="dxa"/>
              <w:right w:w="100" w:type="dxa"/>
            </w:tcMar>
            <w:vAlign w:val="bottom"/>
          </w:tcPr>
          <w:p w14:paraId="56C100E5" w14:textId="77777777" w:rsidR="00DE3EE8" w:rsidRPr="002B7E6B" w:rsidRDefault="00DE3EE8" w:rsidP="00E26C52">
            <w:r w:rsidRPr="002B7E6B">
              <w:t>n/a</w:t>
            </w:r>
          </w:p>
        </w:tc>
      </w:tr>
      <w:tr w:rsidR="00DE3EE8" w:rsidRPr="002B7E6B" w14:paraId="5083B125" w14:textId="77777777" w:rsidTr="005A5ABD">
        <w:trPr>
          <w:trHeight w:val="500"/>
        </w:trPr>
        <w:tc>
          <w:tcPr>
            <w:tcW w:w="2055" w:type="dxa"/>
            <w:tcBorders>
              <w:top w:val="nil"/>
              <w:left w:val="nil"/>
              <w:bottom w:val="single" w:sz="7" w:space="0" w:color="000000"/>
              <w:right w:val="nil"/>
            </w:tcBorders>
            <w:tcMar>
              <w:top w:w="100" w:type="dxa"/>
              <w:left w:w="100" w:type="dxa"/>
              <w:bottom w:w="100" w:type="dxa"/>
              <w:right w:w="100" w:type="dxa"/>
            </w:tcMar>
            <w:vAlign w:val="bottom"/>
          </w:tcPr>
          <w:p w14:paraId="1A5D1291" w14:textId="77777777" w:rsidR="00DE3EE8" w:rsidRPr="002B7E6B" w:rsidRDefault="00DE3EE8" w:rsidP="00E26C52">
            <w:r w:rsidRPr="002B7E6B">
              <w:t xml:space="preserve"> </w:t>
            </w:r>
          </w:p>
        </w:tc>
        <w:tc>
          <w:tcPr>
            <w:tcW w:w="1275" w:type="dxa"/>
            <w:tcBorders>
              <w:top w:val="nil"/>
              <w:left w:val="nil"/>
              <w:bottom w:val="single" w:sz="7" w:space="0" w:color="000000"/>
              <w:right w:val="nil"/>
            </w:tcBorders>
            <w:tcMar>
              <w:top w:w="100" w:type="dxa"/>
              <w:left w:w="100" w:type="dxa"/>
              <w:bottom w:w="100" w:type="dxa"/>
              <w:right w:w="100" w:type="dxa"/>
            </w:tcMar>
            <w:vAlign w:val="bottom"/>
          </w:tcPr>
          <w:p w14:paraId="7F9E02B6" w14:textId="77777777" w:rsidR="00DE3EE8" w:rsidRPr="002B7E6B" w:rsidRDefault="00DE3EE8" w:rsidP="00E26C52">
            <w:r w:rsidRPr="002B7E6B">
              <w:t>2024</w:t>
            </w:r>
          </w:p>
        </w:tc>
        <w:tc>
          <w:tcPr>
            <w:tcW w:w="1290" w:type="dxa"/>
            <w:tcBorders>
              <w:top w:val="nil"/>
              <w:left w:val="nil"/>
              <w:bottom w:val="single" w:sz="7" w:space="0" w:color="000000"/>
              <w:right w:val="nil"/>
            </w:tcBorders>
            <w:tcMar>
              <w:top w:w="100" w:type="dxa"/>
              <w:left w:w="100" w:type="dxa"/>
              <w:bottom w:w="100" w:type="dxa"/>
              <w:right w:w="100" w:type="dxa"/>
            </w:tcMar>
            <w:vAlign w:val="bottom"/>
          </w:tcPr>
          <w:p w14:paraId="6BDB0F9A" w14:textId="77777777" w:rsidR="00DE3EE8" w:rsidRPr="002B7E6B" w:rsidRDefault="00DE3EE8" w:rsidP="00E26C52">
            <w:r w:rsidRPr="002B7E6B">
              <w:t>11,445,000</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4DF28127" w14:textId="77777777" w:rsidR="00DE3EE8" w:rsidRPr="002B7E6B" w:rsidRDefault="00DE3EE8" w:rsidP="00E26C52">
            <w:r w:rsidRPr="002B7E6B">
              <w:t>4,639,000</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6B5198E5" w14:textId="77777777" w:rsidR="00DE3EE8" w:rsidRPr="002B7E6B" w:rsidRDefault="00DE3EE8" w:rsidP="00E26C52">
            <w:r w:rsidRPr="002B7E6B">
              <w:t>1,815,000</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34638054" w14:textId="77777777" w:rsidR="00DE3EE8" w:rsidRPr="002B7E6B" w:rsidRDefault="00DE3EE8" w:rsidP="00E26C52">
            <w:r w:rsidRPr="002B7E6B">
              <w:t>n/a</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683EE929" w14:textId="77777777" w:rsidR="00DE3EE8" w:rsidRPr="002B7E6B" w:rsidRDefault="00DE3EE8" w:rsidP="00E26C52">
            <w:r w:rsidRPr="002B7E6B">
              <w:t>n/a</w:t>
            </w:r>
          </w:p>
        </w:tc>
      </w:tr>
      <w:tr w:rsidR="00DE3EE8" w:rsidRPr="002B7E6B" w14:paraId="5C4C0B8B" w14:textId="77777777" w:rsidTr="005A5ABD">
        <w:trPr>
          <w:trHeight w:val="500"/>
        </w:trPr>
        <w:tc>
          <w:tcPr>
            <w:tcW w:w="2055" w:type="dxa"/>
            <w:tcBorders>
              <w:top w:val="nil"/>
              <w:left w:val="nil"/>
              <w:bottom w:val="nil"/>
              <w:right w:val="nil"/>
            </w:tcBorders>
            <w:tcMar>
              <w:top w:w="100" w:type="dxa"/>
              <w:left w:w="100" w:type="dxa"/>
              <w:bottom w:w="100" w:type="dxa"/>
              <w:right w:w="100" w:type="dxa"/>
            </w:tcMar>
            <w:vAlign w:val="bottom"/>
          </w:tcPr>
          <w:p w14:paraId="672FBDD1" w14:textId="77777777" w:rsidR="00DE3EE8" w:rsidRPr="002B7E6B" w:rsidRDefault="00DE3EE8" w:rsidP="00E26C52">
            <w:r w:rsidRPr="002B7E6B">
              <w:t>Aleutian Islands</w:t>
            </w:r>
          </w:p>
        </w:tc>
        <w:tc>
          <w:tcPr>
            <w:tcW w:w="1275" w:type="dxa"/>
            <w:tcBorders>
              <w:top w:val="nil"/>
              <w:left w:val="nil"/>
              <w:bottom w:val="nil"/>
              <w:right w:val="nil"/>
            </w:tcBorders>
            <w:tcMar>
              <w:top w:w="100" w:type="dxa"/>
              <w:left w:w="100" w:type="dxa"/>
              <w:bottom w:w="100" w:type="dxa"/>
              <w:right w:w="100" w:type="dxa"/>
            </w:tcMar>
            <w:vAlign w:val="bottom"/>
          </w:tcPr>
          <w:p w14:paraId="2D91F1EA" w14:textId="77777777" w:rsidR="00DE3EE8" w:rsidRPr="002B7E6B" w:rsidRDefault="00DE3EE8" w:rsidP="00E26C52">
            <w:r w:rsidRPr="002B7E6B">
              <w:t>2021</w:t>
            </w:r>
          </w:p>
        </w:tc>
        <w:tc>
          <w:tcPr>
            <w:tcW w:w="1290" w:type="dxa"/>
            <w:tcBorders>
              <w:top w:val="nil"/>
              <w:left w:val="nil"/>
              <w:bottom w:val="nil"/>
              <w:right w:val="nil"/>
            </w:tcBorders>
            <w:tcMar>
              <w:top w:w="100" w:type="dxa"/>
              <w:left w:w="100" w:type="dxa"/>
              <w:bottom w:w="100" w:type="dxa"/>
              <w:right w:w="100" w:type="dxa"/>
            </w:tcMar>
            <w:vAlign w:val="bottom"/>
          </w:tcPr>
          <w:p w14:paraId="52FA6291" w14:textId="77777777" w:rsidR="00DE3EE8" w:rsidRPr="002B7E6B" w:rsidRDefault="00DE3EE8" w:rsidP="00E26C52">
            <w:r w:rsidRPr="002B7E6B">
              <w:t>292,967</w:t>
            </w:r>
          </w:p>
        </w:tc>
        <w:tc>
          <w:tcPr>
            <w:tcW w:w="1170" w:type="dxa"/>
            <w:tcBorders>
              <w:top w:val="nil"/>
              <w:left w:val="nil"/>
              <w:bottom w:val="nil"/>
              <w:right w:val="nil"/>
            </w:tcBorders>
            <w:tcMar>
              <w:top w:w="100" w:type="dxa"/>
              <w:left w:w="100" w:type="dxa"/>
              <w:bottom w:w="100" w:type="dxa"/>
              <w:right w:w="100" w:type="dxa"/>
            </w:tcMar>
            <w:vAlign w:val="bottom"/>
          </w:tcPr>
          <w:p w14:paraId="6AA4363B" w14:textId="77777777" w:rsidR="00DE3EE8" w:rsidRPr="002B7E6B" w:rsidRDefault="00DE3EE8" w:rsidP="00E26C52">
            <w:r w:rsidRPr="002B7E6B">
              <w:t>61,856</w:t>
            </w:r>
          </w:p>
        </w:tc>
        <w:tc>
          <w:tcPr>
            <w:tcW w:w="1170" w:type="dxa"/>
            <w:tcBorders>
              <w:top w:val="nil"/>
              <w:left w:val="nil"/>
              <w:bottom w:val="nil"/>
              <w:right w:val="nil"/>
            </w:tcBorders>
            <w:tcMar>
              <w:top w:w="100" w:type="dxa"/>
              <w:left w:w="100" w:type="dxa"/>
              <w:bottom w:w="100" w:type="dxa"/>
              <w:right w:w="100" w:type="dxa"/>
            </w:tcMar>
            <w:vAlign w:val="bottom"/>
          </w:tcPr>
          <w:p w14:paraId="38C1624E" w14:textId="77777777" w:rsidR="00DE3EE8" w:rsidRPr="002B7E6B" w:rsidRDefault="00DE3EE8" w:rsidP="00E26C52">
            <w:r w:rsidRPr="002B7E6B">
              <w:t>51,241</w:t>
            </w:r>
          </w:p>
        </w:tc>
        <w:tc>
          <w:tcPr>
            <w:tcW w:w="1170" w:type="dxa"/>
            <w:tcBorders>
              <w:top w:val="nil"/>
              <w:left w:val="nil"/>
              <w:bottom w:val="nil"/>
              <w:right w:val="nil"/>
            </w:tcBorders>
            <w:tcMar>
              <w:top w:w="100" w:type="dxa"/>
              <w:left w:w="100" w:type="dxa"/>
              <w:bottom w:w="100" w:type="dxa"/>
              <w:right w:w="100" w:type="dxa"/>
            </w:tcMar>
            <w:vAlign w:val="bottom"/>
          </w:tcPr>
          <w:p w14:paraId="6DE52140" w14:textId="77777777" w:rsidR="00DE3EE8" w:rsidRPr="002B7E6B" w:rsidRDefault="00DE3EE8" w:rsidP="00E26C52">
            <w:r w:rsidRPr="002B7E6B">
              <w:t>19,000</w:t>
            </w:r>
          </w:p>
        </w:tc>
        <w:tc>
          <w:tcPr>
            <w:tcW w:w="1170" w:type="dxa"/>
            <w:tcBorders>
              <w:top w:val="nil"/>
              <w:left w:val="nil"/>
              <w:bottom w:val="nil"/>
              <w:right w:val="nil"/>
            </w:tcBorders>
            <w:tcMar>
              <w:top w:w="100" w:type="dxa"/>
              <w:left w:w="100" w:type="dxa"/>
              <w:bottom w:w="100" w:type="dxa"/>
              <w:right w:w="100" w:type="dxa"/>
            </w:tcMar>
            <w:vAlign w:val="bottom"/>
          </w:tcPr>
          <w:p w14:paraId="0A398911" w14:textId="77777777" w:rsidR="00DE3EE8" w:rsidRPr="002B7E6B" w:rsidRDefault="00DE3EE8" w:rsidP="00E26C52">
            <w:r w:rsidRPr="002B7E6B">
              <w:t>1,840</w:t>
            </w:r>
          </w:p>
        </w:tc>
      </w:tr>
      <w:tr w:rsidR="00DE3EE8" w:rsidRPr="002B7E6B" w14:paraId="0210EA0F" w14:textId="77777777" w:rsidTr="005A5ABD">
        <w:trPr>
          <w:trHeight w:val="500"/>
        </w:trPr>
        <w:tc>
          <w:tcPr>
            <w:tcW w:w="2055" w:type="dxa"/>
            <w:tcBorders>
              <w:top w:val="nil"/>
              <w:left w:val="nil"/>
              <w:bottom w:val="nil"/>
              <w:right w:val="nil"/>
            </w:tcBorders>
            <w:tcMar>
              <w:top w:w="100" w:type="dxa"/>
              <w:left w:w="100" w:type="dxa"/>
              <w:bottom w:w="100" w:type="dxa"/>
              <w:right w:w="100" w:type="dxa"/>
            </w:tcMar>
            <w:vAlign w:val="bottom"/>
          </w:tcPr>
          <w:p w14:paraId="6C63C070" w14:textId="77777777" w:rsidR="00DE3EE8" w:rsidRPr="002B7E6B" w:rsidRDefault="00DE3EE8" w:rsidP="00E26C52"/>
        </w:tc>
        <w:tc>
          <w:tcPr>
            <w:tcW w:w="1275" w:type="dxa"/>
            <w:tcBorders>
              <w:top w:val="nil"/>
              <w:left w:val="nil"/>
              <w:bottom w:val="nil"/>
              <w:right w:val="nil"/>
            </w:tcBorders>
            <w:tcMar>
              <w:top w:w="100" w:type="dxa"/>
              <w:left w:w="100" w:type="dxa"/>
              <w:bottom w:w="100" w:type="dxa"/>
              <w:right w:w="100" w:type="dxa"/>
            </w:tcMar>
            <w:vAlign w:val="bottom"/>
          </w:tcPr>
          <w:p w14:paraId="49DA8CF0" w14:textId="77777777" w:rsidR="00DE3EE8" w:rsidRPr="002B7E6B" w:rsidRDefault="00DE3EE8" w:rsidP="00E26C52">
            <w:r w:rsidRPr="002B7E6B">
              <w:t>2022</w:t>
            </w:r>
          </w:p>
        </w:tc>
        <w:tc>
          <w:tcPr>
            <w:tcW w:w="1290" w:type="dxa"/>
            <w:tcBorders>
              <w:top w:val="nil"/>
              <w:left w:val="nil"/>
              <w:bottom w:val="nil"/>
              <w:right w:val="nil"/>
            </w:tcBorders>
            <w:tcMar>
              <w:top w:w="100" w:type="dxa"/>
              <w:left w:w="100" w:type="dxa"/>
              <w:bottom w:w="100" w:type="dxa"/>
              <w:right w:w="100" w:type="dxa"/>
            </w:tcMar>
            <w:vAlign w:val="bottom"/>
          </w:tcPr>
          <w:p w14:paraId="605D9D97" w14:textId="77777777" w:rsidR="00DE3EE8" w:rsidRPr="002B7E6B" w:rsidRDefault="00DE3EE8" w:rsidP="00E26C52">
            <w:r w:rsidRPr="002B7E6B">
              <w:t>308,525</w:t>
            </w:r>
          </w:p>
        </w:tc>
        <w:tc>
          <w:tcPr>
            <w:tcW w:w="1170" w:type="dxa"/>
            <w:tcBorders>
              <w:top w:val="nil"/>
              <w:left w:val="nil"/>
              <w:bottom w:val="nil"/>
              <w:right w:val="nil"/>
            </w:tcBorders>
            <w:tcMar>
              <w:top w:w="100" w:type="dxa"/>
              <w:left w:w="100" w:type="dxa"/>
              <w:bottom w:w="100" w:type="dxa"/>
              <w:right w:w="100" w:type="dxa"/>
            </w:tcMar>
            <w:vAlign w:val="bottom"/>
          </w:tcPr>
          <w:p w14:paraId="027391DC" w14:textId="77777777" w:rsidR="00DE3EE8" w:rsidRPr="002B7E6B" w:rsidRDefault="00DE3EE8" w:rsidP="00E26C52">
            <w:r w:rsidRPr="002B7E6B">
              <w:t>61,264</w:t>
            </w:r>
          </w:p>
        </w:tc>
        <w:tc>
          <w:tcPr>
            <w:tcW w:w="1170" w:type="dxa"/>
            <w:tcBorders>
              <w:top w:val="nil"/>
              <w:left w:val="nil"/>
              <w:bottom w:val="nil"/>
              <w:right w:val="nil"/>
            </w:tcBorders>
            <w:tcMar>
              <w:top w:w="100" w:type="dxa"/>
              <w:left w:w="100" w:type="dxa"/>
              <w:bottom w:w="100" w:type="dxa"/>
              <w:right w:w="100" w:type="dxa"/>
            </w:tcMar>
            <w:vAlign w:val="bottom"/>
          </w:tcPr>
          <w:p w14:paraId="26AF5CE5" w14:textId="77777777" w:rsidR="00DE3EE8" w:rsidRPr="002B7E6B" w:rsidRDefault="00DE3EE8" w:rsidP="00E26C52">
            <w:r w:rsidRPr="002B7E6B">
              <w:t>50,752</w:t>
            </w:r>
          </w:p>
        </w:tc>
        <w:tc>
          <w:tcPr>
            <w:tcW w:w="1170" w:type="dxa"/>
            <w:tcBorders>
              <w:top w:val="nil"/>
              <w:left w:val="nil"/>
              <w:bottom w:val="nil"/>
              <w:right w:val="nil"/>
            </w:tcBorders>
            <w:tcMar>
              <w:top w:w="100" w:type="dxa"/>
              <w:left w:w="100" w:type="dxa"/>
              <w:bottom w:w="100" w:type="dxa"/>
              <w:right w:w="100" w:type="dxa"/>
            </w:tcMar>
            <w:vAlign w:val="bottom"/>
          </w:tcPr>
          <w:p w14:paraId="308B8AF8" w14:textId="77777777" w:rsidR="00DE3EE8" w:rsidRPr="002B7E6B" w:rsidRDefault="00DE3EE8" w:rsidP="00E26C52">
            <w:r w:rsidRPr="002B7E6B">
              <w:t>19,000</w:t>
            </w:r>
          </w:p>
        </w:tc>
        <w:tc>
          <w:tcPr>
            <w:tcW w:w="1170" w:type="dxa"/>
            <w:tcBorders>
              <w:top w:val="nil"/>
              <w:left w:val="nil"/>
              <w:bottom w:val="nil"/>
              <w:right w:val="nil"/>
            </w:tcBorders>
            <w:tcMar>
              <w:top w:w="100" w:type="dxa"/>
              <w:left w:w="100" w:type="dxa"/>
              <w:bottom w:w="100" w:type="dxa"/>
              <w:right w:w="100" w:type="dxa"/>
            </w:tcMar>
            <w:vAlign w:val="bottom"/>
          </w:tcPr>
          <w:p w14:paraId="745F2B66" w14:textId="77777777" w:rsidR="00DE3EE8" w:rsidRPr="002B7E6B" w:rsidRDefault="00DE3EE8" w:rsidP="00E26C52">
            <w:r w:rsidRPr="002B7E6B">
              <w:t>2,895</w:t>
            </w:r>
          </w:p>
        </w:tc>
      </w:tr>
      <w:tr w:rsidR="00DE3EE8" w:rsidRPr="002B7E6B" w14:paraId="21FDFA48" w14:textId="77777777" w:rsidTr="005A5ABD">
        <w:trPr>
          <w:trHeight w:val="500"/>
        </w:trPr>
        <w:tc>
          <w:tcPr>
            <w:tcW w:w="2055" w:type="dxa"/>
            <w:tcBorders>
              <w:top w:val="nil"/>
              <w:left w:val="nil"/>
              <w:bottom w:val="nil"/>
              <w:right w:val="nil"/>
            </w:tcBorders>
            <w:tcMar>
              <w:top w:w="100" w:type="dxa"/>
              <w:left w:w="100" w:type="dxa"/>
              <w:bottom w:w="100" w:type="dxa"/>
              <w:right w:w="100" w:type="dxa"/>
            </w:tcMar>
            <w:vAlign w:val="bottom"/>
          </w:tcPr>
          <w:p w14:paraId="5DEFFA9E" w14:textId="77777777" w:rsidR="00DE3EE8" w:rsidRPr="002B7E6B" w:rsidRDefault="00DE3EE8" w:rsidP="00E26C52"/>
        </w:tc>
        <w:tc>
          <w:tcPr>
            <w:tcW w:w="1275" w:type="dxa"/>
            <w:tcBorders>
              <w:top w:val="nil"/>
              <w:left w:val="nil"/>
              <w:bottom w:val="nil"/>
              <w:right w:val="nil"/>
            </w:tcBorders>
            <w:tcMar>
              <w:top w:w="100" w:type="dxa"/>
              <w:left w:w="100" w:type="dxa"/>
              <w:bottom w:w="100" w:type="dxa"/>
              <w:right w:w="100" w:type="dxa"/>
            </w:tcMar>
            <w:vAlign w:val="bottom"/>
          </w:tcPr>
          <w:p w14:paraId="5A6E6FF1" w14:textId="77777777" w:rsidR="00DE3EE8" w:rsidRPr="002B7E6B" w:rsidRDefault="00DE3EE8" w:rsidP="00E26C52">
            <w:r w:rsidRPr="002B7E6B">
              <w:t>2023</w:t>
            </w:r>
          </w:p>
        </w:tc>
        <w:tc>
          <w:tcPr>
            <w:tcW w:w="1290" w:type="dxa"/>
            <w:tcBorders>
              <w:top w:val="nil"/>
              <w:left w:val="nil"/>
              <w:bottom w:val="nil"/>
              <w:right w:val="nil"/>
            </w:tcBorders>
            <w:tcMar>
              <w:top w:w="100" w:type="dxa"/>
              <w:left w:w="100" w:type="dxa"/>
              <w:bottom w:w="100" w:type="dxa"/>
              <w:right w:w="100" w:type="dxa"/>
            </w:tcMar>
            <w:vAlign w:val="bottom"/>
          </w:tcPr>
          <w:p w14:paraId="59C95AA6" w14:textId="77777777" w:rsidR="00DE3EE8" w:rsidRPr="002B7E6B" w:rsidRDefault="00DE3EE8" w:rsidP="00E26C52">
            <w:r w:rsidRPr="002B7E6B">
              <w:t>264,173</w:t>
            </w:r>
          </w:p>
        </w:tc>
        <w:tc>
          <w:tcPr>
            <w:tcW w:w="1170" w:type="dxa"/>
            <w:tcBorders>
              <w:top w:val="nil"/>
              <w:left w:val="nil"/>
              <w:bottom w:val="nil"/>
              <w:right w:val="nil"/>
            </w:tcBorders>
            <w:tcMar>
              <w:top w:w="100" w:type="dxa"/>
              <w:left w:w="100" w:type="dxa"/>
              <w:bottom w:w="100" w:type="dxa"/>
              <w:right w:w="100" w:type="dxa"/>
            </w:tcMar>
            <w:vAlign w:val="bottom"/>
          </w:tcPr>
          <w:p w14:paraId="1CA773F0" w14:textId="77777777" w:rsidR="00DE3EE8" w:rsidRPr="002B7E6B" w:rsidRDefault="00DE3EE8" w:rsidP="00E26C52">
            <w:r w:rsidRPr="002B7E6B">
              <w:t>52,383</w:t>
            </w:r>
          </w:p>
        </w:tc>
        <w:tc>
          <w:tcPr>
            <w:tcW w:w="1170" w:type="dxa"/>
            <w:tcBorders>
              <w:top w:val="nil"/>
              <w:left w:val="nil"/>
              <w:bottom w:val="nil"/>
              <w:right w:val="nil"/>
            </w:tcBorders>
            <w:tcMar>
              <w:top w:w="100" w:type="dxa"/>
              <w:left w:w="100" w:type="dxa"/>
              <w:bottom w:w="100" w:type="dxa"/>
              <w:right w:w="100" w:type="dxa"/>
            </w:tcMar>
            <w:vAlign w:val="bottom"/>
          </w:tcPr>
          <w:p w14:paraId="5F178BA9" w14:textId="77777777" w:rsidR="00DE3EE8" w:rsidRPr="002B7E6B" w:rsidRDefault="00DE3EE8" w:rsidP="00E26C52">
            <w:r w:rsidRPr="002B7E6B">
              <w:t>43,413</w:t>
            </w:r>
          </w:p>
        </w:tc>
        <w:tc>
          <w:tcPr>
            <w:tcW w:w="1170" w:type="dxa"/>
            <w:tcBorders>
              <w:top w:val="nil"/>
              <w:left w:val="nil"/>
              <w:bottom w:val="nil"/>
              <w:right w:val="nil"/>
            </w:tcBorders>
            <w:tcMar>
              <w:top w:w="100" w:type="dxa"/>
              <w:left w:w="100" w:type="dxa"/>
              <w:bottom w:w="100" w:type="dxa"/>
              <w:right w:w="100" w:type="dxa"/>
            </w:tcMar>
            <w:vAlign w:val="bottom"/>
          </w:tcPr>
          <w:p w14:paraId="2555CB8E" w14:textId="77777777" w:rsidR="00DE3EE8" w:rsidRPr="002B7E6B" w:rsidRDefault="00DE3EE8" w:rsidP="00E26C52">
            <w:r w:rsidRPr="002B7E6B">
              <w:t>n/a</w:t>
            </w:r>
          </w:p>
        </w:tc>
        <w:tc>
          <w:tcPr>
            <w:tcW w:w="1170" w:type="dxa"/>
            <w:tcBorders>
              <w:top w:val="nil"/>
              <w:left w:val="nil"/>
              <w:bottom w:val="nil"/>
              <w:right w:val="nil"/>
            </w:tcBorders>
            <w:tcMar>
              <w:top w:w="100" w:type="dxa"/>
              <w:left w:w="100" w:type="dxa"/>
              <w:bottom w:w="100" w:type="dxa"/>
              <w:right w:w="100" w:type="dxa"/>
            </w:tcMar>
            <w:vAlign w:val="bottom"/>
          </w:tcPr>
          <w:p w14:paraId="676ED569" w14:textId="77777777" w:rsidR="00DE3EE8" w:rsidRPr="002B7E6B" w:rsidRDefault="00DE3EE8" w:rsidP="00E26C52">
            <w:r w:rsidRPr="002B7E6B">
              <w:t>n/a</w:t>
            </w:r>
          </w:p>
        </w:tc>
      </w:tr>
      <w:tr w:rsidR="00DE3EE8" w:rsidRPr="002B7E6B" w14:paraId="28BB3804" w14:textId="77777777" w:rsidTr="005A5ABD">
        <w:trPr>
          <w:trHeight w:val="500"/>
        </w:trPr>
        <w:tc>
          <w:tcPr>
            <w:tcW w:w="2055" w:type="dxa"/>
            <w:tcBorders>
              <w:top w:val="nil"/>
              <w:left w:val="nil"/>
              <w:bottom w:val="single" w:sz="7" w:space="0" w:color="000000"/>
              <w:right w:val="nil"/>
            </w:tcBorders>
            <w:tcMar>
              <w:top w:w="100" w:type="dxa"/>
              <w:left w:w="100" w:type="dxa"/>
              <w:bottom w:w="100" w:type="dxa"/>
              <w:right w:w="100" w:type="dxa"/>
            </w:tcMar>
            <w:vAlign w:val="bottom"/>
          </w:tcPr>
          <w:p w14:paraId="27776D88" w14:textId="77777777" w:rsidR="00DE3EE8" w:rsidRPr="002B7E6B" w:rsidRDefault="00DE3EE8" w:rsidP="00E26C52">
            <w:r w:rsidRPr="002B7E6B">
              <w:t xml:space="preserve"> </w:t>
            </w:r>
          </w:p>
        </w:tc>
        <w:tc>
          <w:tcPr>
            <w:tcW w:w="1275" w:type="dxa"/>
            <w:tcBorders>
              <w:top w:val="nil"/>
              <w:left w:val="nil"/>
              <w:bottom w:val="single" w:sz="7" w:space="0" w:color="000000"/>
              <w:right w:val="nil"/>
            </w:tcBorders>
            <w:tcMar>
              <w:top w:w="100" w:type="dxa"/>
              <w:left w:w="100" w:type="dxa"/>
              <w:bottom w:w="100" w:type="dxa"/>
              <w:right w:w="100" w:type="dxa"/>
            </w:tcMar>
            <w:vAlign w:val="bottom"/>
          </w:tcPr>
          <w:p w14:paraId="2BB1B7ED" w14:textId="77777777" w:rsidR="00DE3EE8" w:rsidRPr="002B7E6B" w:rsidRDefault="00DE3EE8" w:rsidP="00E26C52">
            <w:r w:rsidRPr="002B7E6B">
              <w:t>2024</w:t>
            </w:r>
          </w:p>
        </w:tc>
        <w:tc>
          <w:tcPr>
            <w:tcW w:w="1290" w:type="dxa"/>
            <w:tcBorders>
              <w:top w:val="nil"/>
              <w:left w:val="nil"/>
              <w:bottom w:val="single" w:sz="7" w:space="0" w:color="000000"/>
              <w:right w:val="nil"/>
            </w:tcBorders>
            <w:tcMar>
              <w:top w:w="100" w:type="dxa"/>
              <w:left w:w="100" w:type="dxa"/>
              <w:bottom w:w="100" w:type="dxa"/>
              <w:right w:w="100" w:type="dxa"/>
            </w:tcMar>
            <w:vAlign w:val="bottom"/>
          </w:tcPr>
          <w:p w14:paraId="5BE9B771" w14:textId="77777777" w:rsidR="00DE3EE8" w:rsidRPr="002B7E6B" w:rsidRDefault="00DE3EE8" w:rsidP="00E26C52">
            <w:r w:rsidRPr="002B7E6B">
              <w:t>281,618</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302F5AAB" w14:textId="77777777" w:rsidR="00DE3EE8" w:rsidRPr="002B7E6B" w:rsidRDefault="00DE3EE8" w:rsidP="00E26C52">
            <w:r w:rsidRPr="002B7E6B">
              <w:t>52,043</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23B62C30" w14:textId="77777777" w:rsidR="00DE3EE8" w:rsidRPr="002B7E6B" w:rsidRDefault="00DE3EE8" w:rsidP="00E26C52">
            <w:r w:rsidRPr="002B7E6B">
              <w:t>43,092</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1EC9EDA7" w14:textId="77777777" w:rsidR="00DE3EE8" w:rsidRPr="002B7E6B" w:rsidRDefault="00DE3EE8" w:rsidP="00E26C52">
            <w:r w:rsidRPr="002B7E6B">
              <w:t>n/a</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43AEECB2" w14:textId="77777777" w:rsidR="00DE3EE8" w:rsidRPr="002B7E6B" w:rsidRDefault="00DE3EE8" w:rsidP="00E26C52">
            <w:r w:rsidRPr="002B7E6B">
              <w:t>n/a</w:t>
            </w:r>
          </w:p>
        </w:tc>
      </w:tr>
      <w:tr w:rsidR="00DE3EE8" w:rsidRPr="002B7E6B" w14:paraId="7A49D3CC" w14:textId="77777777" w:rsidTr="005A5ABD">
        <w:trPr>
          <w:trHeight w:val="500"/>
        </w:trPr>
        <w:tc>
          <w:tcPr>
            <w:tcW w:w="2055" w:type="dxa"/>
            <w:tcBorders>
              <w:top w:val="nil"/>
              <w:left w:val="nil"/>
              <w:bottom w:val="nil"/>
              <w:right w:val="nil"/>
            </w:tcBorders>
            <w:tcMar>
              <w:top w:w="100" w:type="dxa"/>
              <w:left w:w="100" w:type="dxa"/>
              <w:bottom w:w="100" w:type="dxa"/>
              <w:right w:w="100" w:type="dxa"/>
            </w:tcMar>
            <w:vAlign w:val="bottom"/>
          </w:tcPr>
          <w:p w14:paraId="3160B2A4" w14:textId="77777777" w:rsidR="00DE3EE8" w:rsidRPr="002B7E6B" w:rsidRDefault="00DE3EE8" w:rsidP="00E26C52">
            <w:r w:rsidRPr="002B7E6B">
              <w:t>Bogoslof</w:t>
            </w:r>
          </w:p>
        </w:tc>
        <w:tc>
          <w:tcPr>
            <w:tcW w:w="1275" w:type="dxa"/>
            <w:tcBorders>
              <w:top w:val="nil"/>
              <w:left w:val="nil"/>
              <w:bottom w:val="nil"/>
              <w:right w:val="nil"/>
            </w:tcBorders>
            <w:tcMar>
              <w:top w:w="100" w:type="dxa"/>
              <w:left w:w="100" w:type="dxa"/>
              <w:bottom w:w="100" w:type="dxa"/>
              <w:right w:w="100" w:type="dxa"/>
            </w:tcMar>
            <w:vAlign w:val="bottom"/>
          </w:tcPr>
          <w:p w14:paraId="65B21877" w14:textId="77777777" w:rsidR="00DE3EE8" w:rsidRPr="002B7E6B" w:rsidRDefault="00DE3EE8" w:rsidP="00E26C52">
            <w:r w:rsidRPr="002B7E6B">
              <w:t>2021</w:t>
            </w:r>
          </w:p>
        </w:tc>
        <w:tc>
          <w:tcPr>
            <w:tcW w:w="1290" w:type="dxa"/>
            <w:tcBorders>
              <w:top w:val="nil"/>
              <w:left w:val="nil"/>
              <w:bottom w:val="nil"/>
              <w:right w:val="nil"/>
            </w:tcBorders>
            <w:tcMar>
              <w:top w:w="100" w:type="dxa"/>
              <w:left w:w="100" w:type="dxa"/>
              <w:bottom w:w="100" w:type="dxa"/>
              <w:right w:w="100" w:type="dxa"/>
            </w:tcMar>
            <w:vAlign w:val="bottom"/>
          </w:tcPr>
          <w:p w14:paraId="7C6173BB" w14:textId="77777777" w:rsidR="00DE3EE8" w:rsidRPr="002B7E6B" w:rsidRDefault="00DE3EE8" w:rsidP="00E26C52">
            <w:r w:rsidRPr="002B7E6B">
              <w:t>378,262</w:t>
            </w:r>
          </w:p>
        </w:tc>
        <w:tc>
          <w:tcPr>
            <w:tcW w:w="1170" w:type="dxa"/>
            <w:tcBorders>
              <w:top w:val="nil"/>
              <w:left w:val="nil"/>
              <w:bottom w:val="nil"/>
              <w:right w:val="nil"/>
            </w:tcBorders>
            <w:tcMar>
              <w:top w:w="100" w:type="dxa"/>
              <w:left w:w="100" w:type="dxa"/>
              <w:bottom w:w="100" w:type="dxa"/>
              <w:right w:w="100" w:type="dxa"/>
            </w:tcMar>
            <w:vAlign w:val="bottom"/>
          </w:tcPr>
          <w:p w14:paraId="41A1B95B" w14:textId="77777777" w:rsidR="00DE3EE8" w:rsidRPr="002B7E6B" w:rsidRDefault="00DE3EE8" w:rsidP="00E26C52">
            <w:r w:rsidRPr="002B7E6B">
              <w:t>113,479</w:t>
            </w:r>
          </w:p>
        </w:tc>
        <w:tc>
          <w:tcPr>
            <w:tcW w:w="1170" w:type="dxa"/>
            <w:tcBorders>
              <w:top w:val="nil"/>
              <w:left w:val="nil"/>
              <w:bottom w:val="nil"/>
              <w:right w:val="nil"/>
            </w:tcBorders>
            <w:tcMar>
              <w:top w:w="100" w:type="dxa"/>
              <w:left w:w="100" w:type="dxa"/>
              <w:bottom w:w="100" w:type="dxa"/>
              <w:right w:w="100" w:type="dxa"/>
            </w:tcMar>
            <w:vAlign w:val="bottom"/>
          </w:tcPr>
          <w:p w14:paraId="7450AB9A" w14:textId="77777777" w:rsidR="00DE3EE8" w:rsidRPr="002B7E6B" w:rsidRDefault="00DE3EE8" w:rsidP="00E26C52">
            <w:r w:rsidRPr="002B7E6B">
              <w:t>85,109</w:t>
            </w:r>
          </w:p>
        </w:tc>
        <w:tc>
          <w:tcPr>
            <w:tcW w:w="1170" w:type="dxa"/>
            <w:tcBorders>
              <w:top w:val="nil"/>
              <w:left w:val="nil"/>
              <w:bottom w:val="nil"/>
              <w:right w:val="nil"/>
            </w:tcBorders>
            <w:tcMar>
              <w:top w:w="100" w:type="dxa"/>
              <w:left w:w="100" w:type="dxa"/>
              <w:bottom w:w="100" w:type="dxa"/>
              <w:right w:w="100" w:type="dxa"/>
            </w:tcMar>
            <w:vAlign w:val="bottom"/>
          </w:tcPr>
          <w:p w14:paraId="55D42117" w14:textId="77777777" w:rsidR="00DE3EE8" w:rsidRPr="002B7E6B" w:rsidRDefault="00DE3EE8" w:rsidP="00E26C52">
            <w:r w:rsidRPr="002B7E6B">
              <w:t>250</w:t>
            </w:r>
          </w:p>
        </w:tc>
        <w:tc>
          <w:tcPr>
            <w:tcW w:w="1170" w:type="dxa"/>
            <w:tcBorders>
              <w:top w:val="nil"/>
              <w:left w:val="nil"/>
              <w:bottom w:val="nil"/>
              <w:right w:val="nil"/>
            </w:tcBorders>
            <w:tcMar>
              <w:top w:w="100" w:type="dxa"/>
              <w:left w:w="100" w:type="dxa"/>
              <w:bottom w:w="100" w:type="dxa"/>
              <w:right w:w="100" w:type="dxa"/>
            </w:tcMar>
            <w:vAlign w:val="bottom"/>
          </w:tcPr>
          <w:p w14:paraId="460649CB" w14:textId="77777777" w:rsidR="00DE3EE8" w:rsidRPr="002B7E6B" w:rsidRDefault="00DE3EE8" w:rsidP="00E26C52">
            <w:r w:rsidRPr="002B7E6B">
              <w:t>8</w:t>
            </w:r>
          </w:p>
        </w:tc>
      </w:tr>
      <w:tr w:rsidR="00DE3EE8" w:rsidRPr="002B7E6B" w14:paraId="17EB92D9" w14:textId="77777777" w:rsidTr="005A5ABD">
        <w:trPr>
          <w:trHeight w:val="500"/>
        </w:trPr>
        <w:tc>
          <w:tcPr>
            <w:tcW w:w="2055" w:type="dxa"/>
            <w:tcBorders>
              <w:top w:val="nil"/>
              <w:left w:val="nil"/>
              <w:bottom w:val="nil"/>
              <w:right w:val="nil"/>
            </w:tcBorders>
            <w:tcMar>
              <w:top w:w="100" w:type="dxa"/>
              <w:left w:w="100" w:type="dxa"/>
              <w:bottom w:w="100" w:type="dxa"/>
              <w:right w:w="100" w:type="dxa"/>
            </w:tcMar>
            <w:vAlign w:val="bottom"/>
          </w:tcPr>
          <w:p w14:paraId="7D4F3E41" w14:textId="77777777" w:rsidR="00DE3EE8" w:rsidRPr="002B7E6B" w:rsidRDefault="00DE3EE8" w:rsidP="00E26C52"/>
        </w:tc>
        <w:tc>
          <w:tcPr>
            <w:tcW w:w="1275" w:type="dxa"/>
            <w:tcBorders>
              <w:top w:val="nil"/>
              <w:left w:val="nil"/>
              <w:bottom w:val="nil"/>
              <w:right w:val="nil"/>
            </w:tcBorders>
            <w:tcMar>
              <w:top w:w="100" w:type="dxa"/>
              <w:left w:w="100" w:type="dxa"/>
              <w:bottom w:w="100" w:type="dxa"/>
              <w:right w:w="100" w:type="dxa"/>
            </w:tcMar>
            <w:vAlign w:val="bottom"/>
          </w:tcPr>
          <w:p w14:paraId="64143B46" w14:textId="77777777" w:rsidR="00DE3EE8" w:rsidRPr="002B7E6B" w:rsidRDefault="00DE3EE8" w:rsidP="00E26C52">
            <w:r w:rsidRPr="002B7E6B">
              <w:t>2022</w:t>
            </w:r>
          </w:p>
        </w:tc>
        <w:tc>
          <w:tcPr>
            <w:tcW w:w="1290" w:type="dxa"/>
            <w:tcBorders>
              <w:top w:val="nil"/>
              <w:left w:val="nil"/>
              <w:bottom w:val="nil"/>
              <w:right w:val="nil"/>
            </w:tcBorders>
            <w:tcMar>
              <w:top w:w="100" w:type="dxa"/>
              <w:left w:w="100" w:type="dxa"/>
              <w:bottom w:w="100" w:type="dxa"/>
              <w:right w:w="100" w:type="dxa"/>
            </w:tcMar>
            <w:vAlign w:val="bottom"/>
          </w:tcPr>
          <w:p w14:paraId="7732C96A" w14:textId="77777777" w:rsidR="00DE3EE8" w:rsidRPr="002B7E6B" w:rsidRDefault="00DE3EE8" w:rsidP="00E26C52">
            <w:r w:rsidRPr="002B7E6B">
              <w:t>378,262</w:t>
            </w:r>
          </w:p>
        </w:tc>
        <w:tc>
          <w:tcPr>
            <w:tcW w:w="1170" w:type="dxa"/>
            <w:tcBorders>
              <w:top w:val="nil"/>
              <w:left w:val="nil"/>
              <w:bottom w:val="nil"/>
              <w:right w:val="nil"/>
            </w:tcBorders>
            <w:tcMar>
              <w:top w:w="100" w:type="dxa"/>
              <w:left w:w="100" w:type="dxa"/>
              <w:bottom w:w="100" w:type="dxa"/>
              <w:right w:w="100" w:type="dxa"/>
            </w:tcMar>
            <w:vAlign w:val="bottom"/>
          </w:tcPr>
          <w:p w14:paraId="7265D14E" w14:textId="77777777" w:rsidR="00DE3EE8" w:rsidRPr="002B7E6B" w:rsidRDefault="00DE3EE8" w:rsidP="00E26C52">
            <w:r w:rsidRPr="002B7E6B">
              <w:t>113,479</w:t>
            </w:r>
          </w:p>
        </w:tc>
        <w:tc>
          <w:tcPr>
            <w:tcW w:w="1170" w:type="dxa"/>
            <w:tcBorders>
              <w:top w:val="nil"/>
              <w:left w:val="nil"/>
              <w:bottom w:val="nil"/>
              <w:right w:val="nil"/>
            </w:tcBorders>
            <w:tcMar>
              <w:top w:w="100" w:type="dxa"/>
              <w:left w:w="100" w:type="dxa"/>
              <w:bottom w:w="100" w:type="dxa"/>
              <w:right w:w="100" w:type="dxa"/>
            </w:tcMar>
            <w:vAlign w:val="bottom"/>
          </w:tcPr>
          <w:p w14:paraId="471B8975" w14:textId="77777777" w:rsidR="00DE3EE8" w:rsidRPr="002B7E6B" w:rsidRDefault="00DE3EE8" w:rsidP="00E26C52">
            <w:r w:rsidRPr="002B7E6B">
              <w:t>85,109</w:t>
            </w:r>
          </w:p>
        </w:tc>
        <w:tc>
          <w:tcPr>
            <w:tcW w:w="1170" w:type="dxa"/>
            <w:tcBorders>
              <w:top w:val="nil"/>
              <w:left w:val="nil"/>
              <w:bottom w:val="nil"/>
              <w:right w:val="nil"/>
            </w:tcBorders>
            <w:tcMar>
              <w:top w:w="100" w:type="dxa"/>
              <w:left w:w="100" w:type="dxa"/>
              <w:bottom w:w="100" w:type="dxa"/>
              <w:right w:w="100" w:type="dxa"/>
            </w:tcMar>
            <w:vAlign w:val="bottom"/>
          </w:tcPr>
          <w:p w14:paraId="06752B8B" w14:textId="77777777" w:rsidR="00DE3EE8" w:rsidRPr="002B7E6B" w:rsidRDefault="00DE3EE8" w:rsidP="00E26C52">
            <w:r w:rsidRPr="002B7E6B">
              <w:t>250</w:t>
            </w:r>
          </w:p>
        </w:tc>
        <w:tc>
          <w:tcPr>
            <w:tcW w:w="1170" w:type="dxa"/>
            <w:tcBorders>
              <w:top w:val="nil"/>
              <w:left w:val="nil"/>
              <w:bottom w:val="nil"/>
              <w:right w:val="nil"/>
            </w:tcBorders>
            <w:tcMar>
              <w:top w:w="100" w:type="dxa"/>
              <w:left w:w="100" w:type="dxa"/>
              <w:bottom w:w="100" w:type="dxa"/>
              <w:right w:w="100" w:type="dxa"/>
            </w:tcMar>
            <w:vAlign w:val="bottom"/>
          </w:tcPr>
          <w:p w14:paraId="58142566" w14:textId="77777777" w:rsidR="00DE3EE8" w:rsidRPr="002B7E6B" w:rsidRDefault="00DE3EE8" w:rsidP="00E26C52">
            <w:r w:rsidRPr="002B7E6B">
              <w:t>256</w:t>
            </w:r>
          </w:p>
        </w:tc>
      </w:tr>
      <w:tr w:rsidR="00DE3EE8" w:rsidRPr="002B7E6B" w14:paraId="0E846E47" w14:textId="77777777" w:rsidTr="005A5ABD">
        <w:trPr>
          <w:trHeight w:val="500"/>
        </w:trPr>
        <w:tc>
          <w:tcPr>
            <w:tcW w:w="2055" w:type="dxa"/>
            <w:tcBorders>
              <w:top w:val="nil"/>
              <w:left w:val="nil"/>
              <w:bottom w:val="nil"/>
              <w:right w:val="nil"/>
            </w:tcBorders>
            <w:tcMar>
              <w:top w:w="100" w:type="dxa"/>
              <w:left w:w="100" w:type="dxa"/>
              <w:bottom w:w="100" w:type="dxa"/>
              <w:right w:w="100" w:type="dxa"/>
            </w:tcMar>
            <w:vAlign w:val="bottom"/>
          </w:tcPr>
          <w:p w14:paraId="436D4BAD" w14:textId="77777777" w:rsidR="00DE3EE8" w:rsidRPr="002B7E6B" w:rsidRDefault="00DE3EE8" w:rsidP="00E26C52"/>
        </w:tc>
        <w:tc>
          <w:tcPr>
            <w:tcW w:w="1275" w:type="dxa"/>
            <w:tcBorders>
              <w:top w:val="nil"/>
              <w:left w:val="nil"/>
              <w:bottom w:val="nil"/>
              <w:right w:val="nil"/>
            </w:tcBorders>
            <w:tcMar>
              <w:top w:w="100" w:type="dxa"/>
              <w:left w:w="100" w:type="dxa"/>
              <w:bottom w:w="100" w:type="dxa"/>
              <w:right w:w="100" w:type="dxa"/>
            </w:tcMar>
            <w:vAlign w:val="bottom"/>
          </w:tcPr>
          <w:p w14:paraId="52FCF234" w14:textId="77777777" w:rsidR="00DE3EE8" w:rsidRPr="002B7E6B" w:rsidRDefault="00DE3EE8" w:rsidP="00E26C52">
            <w:r w:rsidRPr="002B7E6B">
              <w:t>2023</w:t>
            </w:r>
          </w:p>
        </w:tc>
        <w:tc>
          <w:tcPr>
            <w:tcW w:w="1290" w:type="dxa"/>
            <w:tcBorders>
              <w:top w:val="nil"/>
              <w:left w:val="nil"/>
              <w:bottom w:val="nil"/>
              <w:right w:val="nil"/>
            </w:tcBorders>
            <w:tcMar>
              <w:top w:w="100" w:type="dxa"/>
              <w:left w:w="100" w:type="dxa"/>
              <w:bottom w:w="100" w:type="dxa"/>
              <w:right w:w="100" w:type="dxa"/>
            </w:tcMar>
            <w:vAlign w:val="bottom"/>
          </w:tcPr>
          <w:p w14:paraId="4CE4A43C" w14:textId="77777777" w:rsidR="00DE3EE8" w:rsidRPr="002B7E6B" w:rsidRDefault="00DE3EE8" w:rsidP="00E26C52">
            <w:r w:rsidRPr="002B7E6B">
              <w:t>367,880</w:t>
            </w:r>
          </w:p>
        </w:tc>
        <w:tc>
          <w:tcPr>
            <w:tcW w:w="1170" w:type="dxa"/>
            <w:tcBorders>
              <w:top w:val="nil"/>
              <w:left w:val="nil"/>
              <w:bottom w:val="nil"/>
              <w:right w:val="nil"/>
            </w:tcBorders>
            <w:tcMar>
              <w:top w:w="100" w:type="dxa"/>
              <w:left w:w="100" w:type="dxa"/>
              <w:bottom w:w="100" w:type="dxa"/>
              <w:right w:w="100" w:type="dxa"/>
            </w:tcMar>
            <w:vAlign w:val="bottom"/>
          </w:tcPr>
          <w:p w14:paraId="7A7D687C" w14:textId="77777777" w:rsidR="00DE3EE8" w:rsidRPr="002B7E6B" w:rsidRDefault="00DE3EE8" w:rsidP="00E26C52">
            <w:r w:rsidRPr="002B7E6B">
              <w:t>115,146</w:t>
            </w:r>
          </w:p>
        </w:tc>
        <w:tc>
          <w:tcPr>
            <w:tcW w:w="1170" w:type="dxa"/>
            <w:tcBorders>
              <w:top w:val="nil"/>
              <w:left w:val="nil"/>
              <w:bottom w:val="nil"/>
              <w:right w:val="nil"/>
            </w:tcBorders>
            <w:tcMar>
              <w:top w:w="100" w:type="dxa"/>
              <w:left w:w="100" w:type="dxa"/>
              <w:bottom w:w="100" w:type="dxa"/>
              <w:right w:w="100" w:type="dxa"/>
            </w:tcMar>
            <w:vAlign w:val="bottom"/>
          </w:tcPr>
          <w:p w14:paraId="381E6352" w14:textId="77777777" w:rsidR="00DE3EE8" w:rsidRPr="002B7E6B" w:rsidRDefault="00DE3EE8" w:rsidP="00E26C52">
            <w:r w:rsidRPr="002B7E6B">
              <w:t>86,360</w:t>
            </w:r>
          </w:p>
        </w:tc>
        <w:tc>
          <w:tcPr>
            <w:tcW w:w="1170" w:type="dxa"/>
            <w:tcBorders>
              <w:top w:val="nil"/>
              <w:left w:val="nil"/>
              <w:bottom w:val="nil"/>
              <w:right w:val="nil"/>
            </w:tcBorders>
            <w:tcMar>
              <w:top w:w="100" w:type="dxa"/>
              <w:left w:w="100" w:type="dxa"/>
              <w:bottom w:w="100" w:type="dxa"/>
              <w:right w:w="100" w:type="dxa"/>
            </w:tcMar>
            <w:vAlign w:val="bottom"/>
          </w:tcPr>
          <w:p w14:paraId="00D50773" w14:textId="77777777" w:rsidR="00DE3EE8" w:rsidRPr="002B7E6B" w:rsidRDefault="00DE3EE8" w:rsidP="00E26C52">
            <w:r w:rsidRPr="002B7E6B">
              <w:t>n/a</w:t>
            </w:r>
          </w:p>
        </w:tc>
        <w:tc>
          <w:tcPr>
            <w:tcW w:w="1170" w:type="dxa"/>
            <w:tcBorders>
              <w:top w:val="nil"/>
              <w:left w:val="nil"/>
              <w:bottom w:val="nil"/>
              <w:right w:val="nil"/>
            </w:tcBorders>
            <w:tcMar>
              <w:top w:w="100" w:type="dxa"/>
              <w:left w:w="100" w:type="dxa"/>
              <w:bottom w:w="100" w:type="dxa"/>
              <w:right w:w="100" w:type="dxa"/>
            </w:tcMar>
            <w:vAlign w:val="bottom"/>
          </w:tcPr>
          <w:p w14:paraId="078B8545" w14:textId="77777777" w:rsidR="00DE3EE8" w:rsidRPr="002B7E6B" w:rsidRDefault="00DE3EE8" w:rsidP="00E26C52">
            <w:r w:rsidRPr="002B7E6B">
              <w:t>n/a</w:t>
            </w:r>
          </w:p>
        </w:tc>
      </w:tr>
      <w:tr w:rsidR="00DE3EE8" w:rsidRPr="002B7E6B" w14:paraId="331D6019" w14:textId="77777777" w:rsidTr="005A5ABD">
        <w:trPr>
          <w:trHeight w:val="500"/>
        </w:trPr>
        <w:tc>
          <w:tcPr>
            <w:tcW w:w="2055" w:type="dxa"/>
            <w:tcBorders>
              <w:top w:val="nil"/>
              <w:left w:val="nil"/>
              <w:bottom w:val="single" w:sz="7" w:space="0" w:color="000000"/>
              <w:right w:val="nil"/>
            </w:tcBorders>
            <w:tcMar>
              <w:top w:w="100" w:type="dxa"/>
              <w:left w:w="100" w:type="dxa"/>
              <w:bottom w:w="100" w:type="dxa"/>
              <w:right w:w="100" w:type="dxa"/>
            </w:tcMar>
            <w:vAlign w:val="bottom"/>
          </w:tcPr>
          <w:p w14:paraId="09876057" w14:textId="77777777" w:rsidR="00DE3EE8" w:rsidRPr="002B7E6B" w:rsidRDefault="00DE3EE8" w:rsidP="00E26C52">
            <w:r w:rsidRPr="002B7E6B">
              <w:t xml:space="preserve"> </w:t>
            </w:r>
          </w:p>
        </w:tc>
        <w:tc>
          <w:tcPr>
            <w:tcW w:w="1275" w:type="dxa"/>
            <w:tcBorders>
              <w:top w:val="nil"/>
              <w:left w:val="nil"/>
              <w:bottom w:val="single" w:sz="7" w:space="0" w:color="000000"/>
              <w:right w:val="nil"/>
            </w:tcBorders>
            <w:tcMar>
              <w:top w:w="100" w:type="dxa"/>
              <w:left w:w="100" w:type="dxa"/>
              <w:bottom w:w="100" w:type="dxa"/>
              <w:right w:w="100" w:type="dxa"/>
            </w:tcMar>
            <w:vAlign w:val="bottom"/>
          </w:tcPr>
          <w:p w14:paraId="2987B0D4" w14:textId="77777777" w:rsidR="00DE3EE8" w:rsidRPr="002B7E6B" w:rsidRDefault="00DE3EE8" w:rsidP="00E26C52">
            <w:r w:rsidRPr="002B7E6B">
              <w:t>2024</w:t>
            </w:r>
          </w:p>
        </w:tc>
        <w:tc>
          <w:tcPr>
            <w:tcW w:w="1290" w:type="dxa"/>
            <w:tcBorders>
              <w:top w:val="nil"/>
              <w:left w:val="nil"/>
              <w:bottom w:val="single" w:sz="7" w:space="0" w:color="000000"/>
              <w:right w:val="nil"/>
            </w:tcBorders>
            <w:tcMar>
              <w:top w:w="100" w:type="dxa"/>
              <w:left w:w="100" w:type="dxa"/>
              <w:bottom w:w="100" w:type="dxa"/>
              <w:right w:w="100" w:type="dxa"/>
            </w:tcMar>
            <w:vAlign w:val="bottom"/>
          </w:tcPr>
          <w:p w14:paraId="55976E39" w14:textId="77777777" w:rsidR="00DE3EE8" w:rsidRPr="002B7E6B" w:rsidRDefault="00DE3EE8" w:rsidP="00E26C52">
            <w:r w:rsidRPr="002B7E6B">
              <w:t>367,880</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2D6C618E" w14:textId="77777777" w:rsidR="00DE3EE8" w:rsidRPr="002B7E6B" w:rsidRDefault="00DE3EE8" w:rsidP="00E26C52">
            <w:r w:rsidRPr="002B7E6B">
              <w:t>115,146</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31E7427A" w14:textId="77777777" w:rsidR="00DE3EE8" w:rsidRPr="002B7E6B" w:rsidRDefault="00DE3EE8" w:rsidP="00E26C52">
            <w:r w:rsidRPr="002B7E6B">
              <w:t>86,360</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0FEE1D83" w14:textId="77777777" w:rsidR="00DE3EE8" w:rsidRPr="002B7E6B" w:rsidRDefault="00DE3EE8" w:rsidP="00E26C52">
            <w:r w:rsidRPr="002B7E6B">
              <w:t>n/a</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3CEEE03D" w14:textId="77777777" w:rsidR="00DE3EE8" w:rsidRPr="002B7E6B" w:rsidRDefault="00DE3EE8" w:rsidP="00E26C52">
            <w:r w:rsidRPr="002B7E6B">
              <w:t>n/a</w:t>
            </w:r>
          </w:p>
        </w:tc>
      </w:tr>
    </w:tbl>
    <w:p w14:paraId="143B8B27" w14:textId="77777777" w:rsidR="008F75DB" w:rsidRDefault="008F75DB" w:rsidP="008F75DB">
      <w:pPr>
        <w:pStyle w:val="Heading5"/>
      </w:pPr>
    </w:p>
    <w:p w14:paraId="08FC740E" w14:textId="08DD4F9F" w:rsidR="00DE3EE8" w:rsidRPr="008F75DB" w:rsidRDefault="00DE3EE8" w:rsidP="008F75DB">
      <w:pPr>
        <w:pStyle w:val="Heading5"/>
      </w:pPr>
      <w:bookmarkStart w:id="94" w:name="_Toc131503841"/>
      <w:r w:rsidRPr="008F75DB">
        <w:t>Gulf of Alaska</w:t>
      </w:r>
      <w:r w:rsidR="0024271A">
        <w:t xml:space="preserve"> – </w:t>
      </w:r>
      <w:r w:rsidRPr="008F75DB">
        <w:t>REFM</w:t>
      </w:r>
      <w:bookmarkEnd w:id="94"/>
    </w:p>
    <w:p w14:paraId="57FCEFD0" w14:textId="42053A6F" w:rsidR="00DE3EE8" w:rsidRPr="002B7E6B" w:rsidRDefault="00DE3EE8" w:rsidP="00E26C52">
      <w:r w:rsidRPr="002B7E6B">
        <w:t xml:space="preserve">The Gulf of Alaska walleye </w:t>
      </w:r>
      <w:r w:rsidR="00E26C52">
        <w:t>p</w:t>
      </w:r>
      <w:r w:rsidRPr="002B7E6B">
        <w:t xml:space="preserve">ollock assessment is a mature age-structured assessment that underwent minor changes in 2022. Two minor changes to the model included adding a penalty to the recruitment deviations for all years and estimating selectivity of the summer acoustic survey. New data included in the model were: 1) 2021 total catch and catch-at-age from the fishery, 2) </w:t>
      </w:r>
      <w:r w:rsidRPr="002B7E6B">
        <w:lastRenderedPageBreak/>
        <w:t>2022 biomass and age composition from the Shelikof Strait acoustic survey, 3) 2021 NMFS Bottom Trawl survey age composition, 4) 2021 Summer GOA-wide acoustic survey age composition, and 5) 2022 biomass from the ADF&amp;G crab/groundfish trawl survey.</w:t>
      </w:r>
    </w:p>
    <w:p w14:paraId="1D88D748" w14:textId="0C8FBF47" w:rsidR="00DE3EE8" w:rsidRDefault="00DE3EE8" w:rsidP="00E26C52">
      <w:r w:rsidRPr="002B7E6B">
        <w:t xml:space="preserve">While the model and data changes increased the scale of spawning biomass in comparison to last year’s assessment, the spawning stock </w:t>
      </w:r>
      <w:proofErr w:type="gramStart"/>
      <w:r w:rsidRPr="002B7E6B">
        <w:t>is projected</w:t>
      </w:r>
      <w:proofErr w:type="gramEnd"/>
      <w:r w:rsidRPr="002B7E6B">
        <w:t xml:space="preserve"> to decline in 2023 and 2024 as the 2012 year-class is further reduced in abundance. The presence of several incoming year classes should result in a stabilization in biomass. The 2017 year-class is still present in high numbers in both the fishery and surveys, and the </w:t>
      </w:r>
      <w:proofErr w:type="gramStart"/>
      <w:r w:rsidRPr="002B7E6B">
        <w:t>2018 year-</w:t>
      </w:r>
      <w:proofErr w:type="gramEnd"/>
      <w:r w:rsidRPr="002B7E6B">
        <w:t>class continues to be present in the Shelikof Strait survey. There is also emerging evidence of a larger than average 2020 year-class. The Shelikof Strait survey data in 2022 showed slight decrease in biomass compared to 2021. Overall, survey indices seem to be providing similar trends with closer agreement among the surveys.</w:t>
      </w:r>
    </w:p>
    <w:p w14:paraId="01A9D087" w14:textId="77777777" w:rsidR="00B05625" w:rsidRPr="002B7E6B" w:rsidRDefault="00B05625" w:rsidP="00E26C52"/>
    <w:tbl>
      <w:tblPr>
        <w:tblW w:w="9285" w:type="dxa"/>
        <w:tblBorders>
          <w:top w:val="nil"/>
          <w:left w:val="nil"/>
          <w:bottom w:val="nil"/>
          <w:right w:val="nil"/>
          <w:insideH w:val="nil"/>
          <w:insideV w:val="nil"/>
        </w:tblBorders>
        <w:tblLayout w:type="fixed"/>
        <w:tblLook w:val="0600" w:firstRow="0" w:lastRow="0" w:firstColumn="0" w:lastColumn="0" w:noHBand="1" w:noVBand="1"/>
      </w:tblPr>
      <w:tblGrid>
        <w:gridCol w:w="2055"/>
        <w:gridCol w:w="1275"/>
        <w:gridCol w:w="1275"/>
        <w:gridCol w:w="1170"/>
        <w:gridCol w:w="1170"/>
        <w:gridCol w:w="1170"/>
        <w:gridCol w:w="1170"/>
      </w:tblGrid>
      <w:tr w:rsidR="00DE3EE8" w:rsidRPr="002B7E6B" w14:paraId="3F0F4E3C" w14:textId="77777777" w:rsidTr="005A5ABD">
        <w:trPr>
          <w:trHeight w:val="800"/>
        </w:trPr>
        <w:tc>
          <w:tcPr>
            <w:tcW w:w="2055"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25B79B08" w14:textId="77777777" w:rsidR="00DE3EE8" w:rsidRPr="002B7E6B" w:rsidRDefault="00DE3EE8" w:rsidP="00E26C52">
            <w:pPr>
              <w:rPr>
                <w:b/>
              </w:rPr>
            </w:pPr>
            <w:r w:rsidRPr="002B7E6B">
              <w:rPr>
                <w:b/>
              </w:rPr>
              <w:t>Area</w:t>
            </w:r>
          </w:p>
        </w:tc>
        <w:tc>
          <w:tcPr>
            <w:tcW w:w="1275"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0FC34C63" w14:textId="77777777" w:rsidR="00DE3EE8" w:rsidRPr="002B7E6B" w:rsidRDefault="00DE3EE8" w:rsidP="00E26C52">
            <w:pPr>
              <w:rPr>
                <w:b/>
              </w:rPr>
            </w:pPr>
            <w:r w:rsidRPr="002B7E6B">
              <w:rPr>
                <w:b/>
              </w:rPr>
              <w:t>Year</w:t>
            </w:r>
          </w:p>
        </w:tc>
        <w:tc>
          <w:tcPr>
            <w:tcW w:w="1275"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52563A92" w14:textId="77777777" w:rsidR="00DE3EE8" w:rsidRPr="002B7E6B" w:rsidRDefault="00DE3EE8" w:rsidP="00E26C52">
            <w:pPr>
              <w:rPr>
                <w:b/>
              </w:rPr>
            </w:pPr>
            <w:r w:rsidRPr="002B7E6B">
              <w:rPr>
                <w:b/>
              </w:rPr>
              <w:t>Biomass (age3+)</w:t>
            </w:r>
          </w:p>
        </w:tc>
        <w:tc>
          <w:tcPr>
            <w:tcW w:w="1170"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5111CD41" w14:textId="77777777" w:rsidR="00DE3EE8" w:rsidRPr="002B7E6B" w:rsidRDefault="00DE3EE8" w:rsidP="00E26C52">
            <w:pPr>
              <w:rPr>
                <w:b/>
              </w:rPr>
            </w:pPr>
            <w:r w:rsidRPr="002B7E6B">
              <w:rPr>
                <w:b/>
              </w:rPr>
              <w:t>OFL</w:t>
            </w:r>
          </w:p>
        </w:tc>
        <w:tc>
          <w:tcPr>
            <w:tcW w:w="1170"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32FC04C4" w14:textId="77777777" w:rsidR="00DE3EE8" w:rsidRPr="002B7E6B" w:rsidRDefault="00DE3EE8" w:rsidP="00E26C52">
            <w:pPr>
              <w:rPr>
                <w:b/>
              </w:rPr>
            </w:pPr>
            <w:r w:rsidRPr="002B7E6B">
              <w:rPr>
                <w:b/>
              </w:rPr>
              <w:t>ABC</w:t>
            </w:r>
          </w:p>
        </w:tc>
        <w:tc>
          <w:tcPr>
            <w:tcW w:w="1170"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094F97FE" w14:textId="77777777" w:rsidR="00DE3EE8" w:rsidRPr="002B7E6B" w:rsidRDefault="00DE3EE8" w:rsidP="00E26C52">
            <w:pPr>
              <w:rPr>
                <w:b/>
              </w:rPr>
            </w:pPr>
            <w:r w:rsidRPr="002B7E6B">
              <w:rPr>
                <w:b/>
              </w:rPr>
              <w:t>TAC</w:t>
            </w:r>
          </w:p>
        </w:tc>
        <w:tc>
          <w:tcPr>
            <w:tcW w:w="1170"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4D869502" w14:textId="77777777" w:rsidR="00DE3EE8" w:rsidRPr="002B7E6B" w:rsidRDefault="00DE3EE8" w:rsidP="00E26C52">
            <w:pPr>
              <w:rPr>
                <w:b/>
              </w:rPr>
            </w:pPr>
            <w:r w:rsidRPr="002B7E6B">
              <w:rPr>
                <w:b/>
              </w:rPr>
              <w:t>Catch</w:t>
            </w:r>
          </w:p>
        </w:tc>
      </w:tr>
      <w:tr w:rsidR="00DE3EE8" w:rsidRPr="002B7E6B" w14:paraId="63BE029F" w14:textId="77777777" w:rsidTr="005A5ABD">
        <w:trPr>
          <w:trHeight w:val="500"/>
        </w:trPr>
        <w:tc>
          <w:tcPr>
            <w:tcW w:w="2055" w:type="dxa"/>
            <w:tcBorders>
              <w:top w:val="nil"/>
              <w:left w:val="nil"/>
              <w:bottom w:val="nil"/>
              <w:right w:val="nil"/>
            </w:tcBorders>
            <w:tcMar>
              <w:top w:w="100" w:type="dxa"/>
              <w:left w:w="100" w:type="dxa"/>
              <w:bottom w:w="100" w:type="dxa"/>
              <w:right w:w="100" w:type="dxa"/>
            </w:tcMar>
            <w:vAlign w:val="bottom"/>
          </w:tcPr>
          <w:p w14:paraId="49392BD6" w14:textId="77777777" w:rsidR="00DE3EE8" w:rsidRPr="002B7E6B" w:rsidRDefault="00DE3EE8" w:rsidP="00E26C52">
            <w:r w:rsidRPr="002B7E6B">
              <w:t>W/C/WYAK</w:t>
            </w:r>
          </w:p>
        </w:tc>
        <w:tc>
          <w:tcPr>
            <w:tcW w:w="1275" w:type="dxa"/>
            <w:tcBorders>
              <w:top w:val="nil"/>
              <w:left w:val="nil"/>
              <w:bottom w:val="nil"/>
              <w:right w:val="nil"/>
            </w:tcBorders>
            <w:tcMar>
              <w:top w:w="100" w:type="dxa"/>
              <w:left w:w="100" w:type="dxa"/>
              <w:bottom w:w="100" w:type="dxa"/>
              <w:right w:w="100" w:type="dxa"/>
            </w:tcMar>
            <w:vAlign w:val="bottom"/>
          </w:tcPr>
          <w:p w14:paraId="31539AFE" w14:textId="77777777" w:rsidR="00DE3EE8" w:rsidRPr="002B7E6B" w:rsidRDefault="00DE3EE8" w:rsidP="00E26C52">
            <w:r w:rsidRPr="002B7E6B">
              <w:t>2021</w:t>
            </w:r>
          </w:p>
        </w:tc>
        <w:tc>
          <w:tcPr>
            <w:tcW w:w="1275" w:type="dxa"/>
            <w:tcBorders>
              <w:top w:val="nil"/>
              <w:left w:val="nil"/>
              <w:bottom w:val="nil"/>
              <w:right w:val="nil"/>
            </w:tcBorders>
            <w:tcMar>
              <w:top w:w="100" w:type="dxa"/>
              <w:left w:w="100" w:type="dxa"/>
              <w:bottom w:w="100" w:type="dxa"/>
              <w:right w:w="100" w:type="dxa"/>
            </w:tcMar>
            <w:vAlign w:val="bottom"/>
          </w:tcPr>
          <w:p w14:paraId="6F6DCB7A" w14:textId="77777777" w:rsidR="00DE3EE8" w:rsidRPr="002B7E6B" w:rsidRDefault="00DE3EE8" w:rsidP="00E26C52">
            <w:r w:rsidRPr="002B7E6B">
              <w:t>1,097,340</w:t>
            </w:r>
          </w:p>
        </w:tc>
        <w:tc>
          <w:tcPr>
            <w:tcW w:w="1170" w:type="dxa"/>
            <w:tcBorders>
              <w:top w:val="nil"/>
              <w:left w:val="nil"/>
              <w:bottom w:val="nil"/>
              <w:right w:val="nil"/>
            </w:tcBorders>
            <w:tcMar>
              <w:top w:w="100" w:type="dxa"/>
              <w:left w:w="100" w:type="dxa"/>
              <w:bottom w:w="100" w:type="dxa"/>
              <w:right w:w="100" w:type="dxa"/>
            </w:tcMar>
            <w:vAlign w:val="bottom"/>
          </w:tcPr>
          <w:p w14:paraId="6223F2EA" w14:textId="77777777" w:rsidR="00DE3EE8" w:rsidRPr="002B7E6B" w:rsidRDefault="00DE3EE8" w:rsidP="00E26C52">
            <w:r w:rsidRPr="002B7E6B">
              <w:t>123,455</w:t>
            </w:r>
          </w:p>
        </w:tc>
        <w:tc>
          <w:tcPr>
            <w:tcW w:w="1170" w:type="dxa"/>
            <w:tcBorders>
              <w:top w:val="nil"/>
              <w:left w:val="nil"/>
              <w:bottom w:val="nil"/>
              <w:right w:val="nil"/>
            </w:tcBorders>
            <w:tcMar>
              <w:top w:w="100" w:type="dxa"/>
              <w:left w:w="100" w:type="dxa"/>
              <w:bottom w:w="100" w:type="dxa"/>
              <w:right w:w="100" w:type="dxa"/>
            </w:tcMar>
            <w:vAlign w:val="bottom"/>
          </w:tcPr>
          <w:p w14:paraId="182AF4EB" w14:textId="77777777" w:rsidR="00DE3EE8" w:rsidRPr="002B7E6B" w:rsidRDefault="00DE3EE8" w:rsidP="00E26C52">
            <w:r w:rsidRPr="002B7E6B">
              <w:t>111,134</w:t>
            </w:r>
          </w:p>
        </w:tc>
        <w:tc>
          <w:tcPr>
            <w:tcW w:w="1170" w:type="dxa"/>
            <w:tcBorders>
              <w:top w:val="nil"/>
              <w:left w:val="nil"/>
              <w:bottom w:val="nil"/>
              <w:right w:val="nil"/>
            </w:tcBorders>
            <w:tcMar>
              <w:top w:w="100" w:type="dxa"/>
              <w:left w:w="100" w:type="dxa"/>
              <w:bottom w:w="100" w:type="dxa"/>
              <w:right w:w="100" w:type="dxa"/>
            </w:tcMar>
            <w:vAlign w:val="bottom"/>
          </w:tcPr>
          <w:p w14:paraId="4302A327" w14:textId="77777777" w:rsidR="00DE3EE8" w:rsidRPr="002B7E6B" w:rsidRDefault="00DE3EE8" w:rsidP="00E26C52">
            <w:r w:rsidRPr="002B7E6B">
              <w:t>108,491</w:t>
            </w:r>
          </w:p>
        </w:tc>
        <w:tc>
          <w:tcPr>
            <w:tcW w:w="1170" w:type="dxa"/>
            <w:tcBorders>
              <w:top w:val="nil"/>
              <w:left w:val="nil"/>
              <w:bottom w:val="nil"/>
              <w:right w:val="nil"/>
            </w:tcBorders>
            <w:tcMar>
              <w:top w:w="100" w:type="dxa"/>
              <w:left w:w="100" w:type="dxa"/>
              <w:bottom w:w="100" w:type="dxa"/>
              <w:right w:w="100" w:type="dxa"/>
            </w:tcMar>
            <w:vAlign w:val="bottom"/>
          </w:tcPr>
          <w:p w14:paraId="5739E975" w14:textId="77777777" w:rsidR="00DE3EE8" w:rsidRPr="002B7E6B" w:rsidRDefault="00DE3EE8" w:rsidP="00E26C52">
            <w:r w:rsidRPr="002B7E6B">
              <w:t>104,163</w:t>
            </w:r>
          </w:p>
        </w:tc>
      </w:tr>
      <w:tr w:rsidR="00DE3EE8" w:rsidRPr="002B7E6B" w14:paraId="26E061A7" w14:textId="77777777" w:rsidTr="005A5ABD">
        <w:trPr>
          <w:trHeight w:val="500"/>
        </w:trPr>
        <w:tc>
          <w:tcPr>
            <w:tcW w:w="2055" w:type="dxa"/>
            <w:tcBorders>
              <w:top w:val="nil"/>
              <w:left w:val="nil"/>
              <w:bottom w:val="nil"/>
              <w:right w:val="nil"/>
            </w:tcBorders>
            <w:tcMar>
              <w:top w:w="100" w:type="dxa"/>
              <w:left w:w="100" w:type="dxa"/>
              <w:bottom w:w="100" w:type="dxa"/>
              <w:right w:w="100" w:type="dxa"/>
            </w:tcMar>
            <w:vAlign w:val="bottom"/>
          </w:tcPr>
          <w:p w14:paraId="0B7774CB" w14:textId="77777777" w:rsidR="00DE3EE8" w:rsidRPr="002B7E6B" w:rsidRDefault="00DE3EE8" w:rsidP="00E26C52"/>
        </w:tc>
        <w:tc>
          <w:tcPr>
            <w:tcW w:w="1275" w:type="dxa"/>
            <w:tcBorders>
              <w:top w:val="nil"/>
              <w:left w:val="nil"/>
              <w:bottom w:val="nil"/>
              <w:right w:val="nil"/>
            </w:tcBorders>
            <w:tcMar>
              <w:top w:w="100" w:type="dxa"/>
              <w:left w:w="100" w:type="dxa"/>
              <w:bottom w:w="100" w:type="dxa"/>
              <w:right w:w="100" w:type="dxa"/>
            </w:tcMar>
            <w:vAlign w:val="bottom"/>
          </w:tcPr>
          <w:p w14:paraId="00C839DC" w14:textId="77777777" w:rsidR="00DE3EE8" w:rsidRPr="002B7E6B" w:rsidRDefault="00DE3EE8" w:rsidP="00E26C52">
            <w:r w:rsidRPr="002B7E6B">
              <w:t>2022</w:t>
            </w:r>
          </w:p>
        </w:tc>
        <w:tc>
          <w:tcPr>
            <w:tcW w:w="1275" w:type="dxa"/>
            <w:tcBorders>
              <w:top w:val="nil"/>
              <w:left w:val="nil"/>
              <w:bottom w:val="nil"/>
              <w:right w:val="nil"/>
            </w:tcBorders>
            <w:tcMar>
              <w:top w:w="100" w:type="dxa"/>
              <w:left w:w="100" w:type="dxa"/>
              <w:bottom w:w="100" w:type="dxa"/>
              <w:right w:w="100" w:type="dxa"/>
            </w:tcMar>
            <w:vAlign w:val="bottom"/>
          </w:tcPr>
          <w:p w14:paraId="1C60638C" w14:textId="77777777" w:rsidR="00DE3EE8" w:rsidRPr="002B7E6B" w:rsidRDefault="00DE3EE8" w:rsidP="00E26C52">
            <w:r w:rsidRPr="002B7E6B">
              <w:t>848,878</w:t>
            </w:r>
          </w:p>
        </w:tc>
        <w:tc>
          <w:tcPr>
            <w:tcW w:w="1170" w:type="dxa"/>
            <w:tcBorders>
              <w:top w:val="nil"/>
              <w:left w:val="nil"/>
              <w:bottom w:val="nil"/>
              <w:right w:val="nil"/>
            </w:tcBorders>
            <w:tcMar>
              <w:top w:w="100" w:type="dxa"/>
              <w:left w:w="100" w:type="dxa"/>
              <w:bottom w:w="100" w:type="dxa"/>
              <w:right w:w="100" w:type="dxa"/>
            </w:tcMar>
            <w:vAlign w:val="bottom"/>
          </w:tcPr>
          <w:p w14:paraId="38D7B54C" w14:textId="77777777" w:rsidR="00DE3EE8" w:rsidRPr="002B7E6B" w:rsidRDefault="00DE3EE8" w:rsidP="00E26C52">
            <w:r w:rsidRPr="002B7E6B">
              <w:t>154,983</w:t>
            </w:r>
          </w:p>
        </w:tc>
        <w:tc>
          <w:tcPr>
            <w:tcW w:w="1170" w:type="dxa"/>
            <w:tcBorders>
              <w:top w:val="nil"/>
              <w:left w:val="nil"/>
              <w:bottom w:val="nil"/>
              <w:right w:val="nil"/>
            </w:tcBorders>
            <w:tcMar>
              <w:top w:w="100" w:type="dxa"/>
              <w:left w:w="100" w:type="dxa"/>
              <w:bottom w:w="100" w:type="dxa"/>
              <w:right w:w="100" w:type="dxa"/>
            </w:tcMar>
            <w:vAlign w:val="bottom"/>
          </w:tcPr>
          <w:p w14:paraId="4652F5DE" w14:textId="77777777" w:rsidR="00DE3EE8" w:rsidRPr="002B7E6B" w:rsidRDefault="00DE3EE8" w:rsidP="00E26C52">
            <w:r w:rsidRPr="002B7E6B">
              <w:t>139,803</w:t>
            </w:r>
          </w:p>
        </w:tc>
        <w:tc>
          <w:tcPr>
            <w:tcW w:w="1170" w:type="dxa"/>
            <w:tcBorders>
              <w:top w:val="nil"/>
              <w:left w:val="nil"/>
              <w:bottom w:val="nil"/>
              <w:right w:val="nil"/>
            </w:tcBorders>
            <w:tcMar>
              <w:top w:w="100" w:type="dxa"/>
              <w:left w:w="100" w:type="dxa"/>
              <w:bottom w:w="100" w:type="dxa"/>
              <w:right w:w="100" w:type="dxa"/>
            </w:tcMar>
            <w:vAlign w:val="bottom"/>
          </w:tcPr>
          <w:p w14:paraId="77AF324B" w14:textId="77777777" w:rsidR="00DE3EE8" w:rsidRPr="002B7E6B" w:rsidRDefault="00DE3EE8" w:rsidP="00E26C52">
            <w:r w:rsidRPr="002B7E6B">
              <w:t>136,476</w:t>
            </w:r>
          </w:p>
        </w:tc>
        <w:tc>
          <w:tcPr>
            <w:tcW w:w="1170" w:type="dxa"/>
            <w:tcBorders>
              <w:top w:val="nil"/>
              <w:left w:val="nil"/>
              <w:bottom w:val="nil"/>
              <w:right w:val="nil"/>
            </w:tcBorders>
            <w:tcMar>
              <w:top w:w="100" w:type="dxa"/>
              <w:left w:w="100" w:type="dxa"/>
              <w:bottom w:w="100" w:type="dxa"/>
              <w:right w:w="100" w:type="dxa"/>
            </w:tcMar>
            <w:vAlign w:val="bottom"/>
          </w:tcPr>
          <w:p w14:paraId="17294FA0" w14:textId="77777777" w:rsidR="00DE3EE8" w:rsidRPr="002B7E6B" w:rsidRDefault="00DE3EE8" w:rsidP="00E26C52">
            <w:r w:rsidRPr="002B7E6B">
              <w:t>136,317</w:t>
            </w:r>
          </w:p>
        </w:tc>
      </w:tr>
      <w:tr w:rsidR="00DE3EE8" w:rsidRPr="002B7E6B" w14:paraId="43480672" w14:textId="77777777" w:rsidTr="005A5ABD">
        <w:trPr>
          <w:trHeight w:val="500"/>
        </w:trPr>
        <w:tc>
          <w:tcPr>
            <w:tcW w:w="2055" w:type="dxa"/>
            <w:tcBorders>
              <w:top w:val="nil"/>
              <w:left w:val="nil"/>
              <w:bottom w:val="nil"/>
              <w:right w:val="nil"/>
            </w:tcBorders>
            <w:tcMar>
              <w:top w:w="100" w:type="dxa"/>
              <w:left w:w="100" w:type="dxa"/>
              <w:bottom w:w="100" w:type="dxa"/>
              <w:right w:w="100" w:type="dxa"/>
            </w:tcMar>
            <w:vAlign w:val="bottom"/>
          </w:tcPr>
          <w:p w14:paraId="090F03CF" w14:textId="77777777" w:rsidR="00DE3EE8" w:rsidRPr="002B7E6B" w:rsidRDefault="00DE3EE8" w:rsidP="00E26C52"/>
        </w:tc>
        <w:tc>
          <w:tcPr>
            <w:tcW w:w="1275" w:type="dxa"/>
            <w:tcBorders>
              <w:top w:val="nil"/>
              <w:left w:val="nil"/>
              <w:bottom w:val="nil"/>
              <w:right w:val="nil"/>
            </w:tcBorders>
            <w:tcMar>
              <w:top w:w="100" w:type="dxa"/>
              <w:left w:w="100" w:type="dxa"/>
              <w:bottom w:w="100" w:type="dxa"/>
              <w:right w:w="100" w:type="dxa"/>
            </w:tcMar>
            <w:vAlign w:val="bottom"/>
          </w:tcPr>
          <w:p w14:paraId="2011E242" w14:textId="77777777" w:rsidR="00DE3EE8" w:rsidRPr="002B7E6B" w:rsidRDefault="00DE3EE8" w:rsidP="00E26C52">
            <w:r w:rsidRPr="002B7E6B">
              <w:t>2023</w:t>
            </w:r>
          </w:p>
        </w:tc>
        <w:tc>
          <w:tcPr>
            <w:tcW w:w="1275" w:type="dxa"/>
            <w:tcBorders>
              <w:top w:val="nil"/>
              <w:left w:val="nil"/>
              <w:bottom w:val="nil"/>
              <w:right w:val="nil"/>
            </w:tcBorders>
            <w:tcMar>
              <w:top w:w="100" w:type="dxa"/>
              <w:left w:w="100" w:type="dxa"/>
              <w:bottom w:w="100" w:type="dxa"/>
              <w:right w:w="100" w:type="dxa"/>
            </w:tcMar>
            <w:vAlign w:val="bottom"/>
          </w:tcPr>
          <w:p w14:paraId="6921D172" w14:textId="77777777" w:rsidR="00DE3EE8" w:rsidRPr="002B7E6B" w:rsidRDefault="00DE3EE8" w:rsidP="00E26C52">
            <w:r w:rsidRPr="002B7E6B">
              <w:t>1,281,980</w:t>
            </w:r>
          </w:p>
        </w:tc>
        <w:tc>
          <w:tcPr>
            <w:tcW w:w="1170" w:type="dxa"/>
            <w:tcBorders>
              <w:top w:val="nil"/>
              <w:left w:val="nil"/>
              <w:bottom w:val="nil"/>
              <w:right w:val="nil"/>
            </w:tcBorders>
            <w:tcMar>
              <w:top w:w="100" w:type="dxa"/>
              <w:left w:w="100" w:type="dxa"/>
              <w:bottom w:w="100" w:type="dxa"/>
              <w:right w:w="100" w:type="dxa"/>
            </w:tcMar>
            <w:vAlign w:val="bottom"/>
          </w:tcPr>
          <w:p w14:paraId="516CE997" w14:textId="77777777" w:rsidR="00DE3EE8" w:rsidRPr="002B7E6B" w:rsidRDefault="00DE3EE8" w:rsidP="00E26C52">
            <w:r w:rsidRPr="002B7E6B">
              <w:t>173,470</w:t>
            </w:r>
          </w:p>
        </w:tc>
        <w:tc>
          <w:tcPr>
            <w:tcW w:w="1170" w:type="dxa"/>
            <w:tcBorders>
              <w:top w:val="nil"/>
              <w:left w:val="nil"/>
              <w:bottom w:val="nil"/>
              <w:right w:val="nil"/>
            </w:tcBorders>
            <w:tcMar>
              <w:top w:w="100" w:type="dxa"/>
              <w:left w:w="100" w:type="dxa"/>
              <w:bottom w:w="100" w:type="dxa"/>
              <w:right w:w="100" w:type="dxa"/>
            </w:tcMar>
            <w:vAlign w:val="bottom"/>
          </w:tcPr>
          <w:p w14:paraId="5A4A2444" w14:textId="77777777" w:rsidR="00DE3EE8" w:rsidRPr="002B7E6B" w:rsidRDefault="00DE3EE8" w:rsidP="00E26C52">
            <w:r w:rsidRPr="002B7E6B">
              <w:t>148,938</w:t>
            </w:r>
          </w:p>
        </w:tc>
        <w:tc>
          <w:tcPr>
            <w:tcW w:w="1170" w:type="dxa"/>
            <w:tcBorders>
              <w:top w:val="nil"/>
              <w:left w:val="nil"/>
              <w:bottom w:val="nil"/>
              <w:right w:val="nil"/>
            </w:tcBorders>
            <w:tcMar>
              <w:top w:w="100" w:type="dxa"/>
              <w:left w:w="100" w:type="dxa"/>
              <w:bottom w:w="100" w:type="dxa"/>
              <w:right w:w="100" w:type="dxa"/>
            </w:tcMar>
            <w:vAlign w:val="bottom"/>
          </w:tcPr>
          <w:p w14:paraId="695E1972" w14:textId="77777777" w:rsidR="00DE3EE8" w:rsidRPr="002B7E6B" w:rsidRDefault="00DE3EE8" w:rsidP="00E26C52"/>
        </w:tc>
        <w:tc>
          <w:tcPr>
            <w:tcW w:w="1170" w:type="dxa"/>
            <w:tcBorders>
              <w:top w:val="nil"/>
              <w:left w:val="nil"/>
              <w:bottom w:val="nil"/>
              <w:right w:val="nil"/>
            </w:tcBorders>
            <w:tcMar>
              <w:top w:w="100" w:type="dxa"/>
              <w:left w:w="100" w:type="dxa"/>
              <w:bottom w:w="100" w:type="dxa"/>
              <w:right w:w="100" w:type="dxa"/>
            </w:tcMar>
            <w:vAlign w:val="bottom"/>
          </w:tcPr>
          <w:p w14:paraId="5A0314F6" w14:textId="77777777" w:rsidR="00DE3EE8" w:rsidRPr="002B7E6B" w:rsidRDefault="00DE3EE8" w:rsidP="00E26C52"/>
        </w:tc>
      </w:tr>
      <w:tr w:rsidR="00DE3EE8" w:rsidRPr="002B7E6B" w14:paraId="01201E6F" w14:textId="77777777" w:rsidTr="005A5ABD">
        <w:trPr>
          <w:trHeight w:val="500"/>
        </w:trPr>
        <w:tc>
          <w:tcPr>
            <w:tcW w:w="2055" w:type="dxa"/>
            <w:tcBorders>
              <w:top w:val="nil"/>
              <w:left w:val="nil"/>
              <w:bottom w:val="single" w:sz="7" w:space="0" w:color="000000"/>
              <w:right w:val="nil"/>
            </w:tcBorders>
            <w:tcMar>
              <w:top w:w="100" w:type="dxa"/>
              <w:left w:w="100" w:type="dxa"/>
              <w:bottom w:w="100" w:type="dxa"/>
              <w:right w:w="100" w:type="dxa"/>
            </w:tcMar>
            <w:vAlign w:val="bottom"/>
          </w:tcPr>
          <w:p w14:paraId="3D2C1E87" w14:textId="77777777" w:rsidR="00DE3EE8" w:rsidRPr="002B7E6B" w:rsidRDefault="00DE3EE8" w:rsidP="00E26C52">
            <w:r w:rsidRPr="002B7E6B">
              <w:t xml:space="preserve"> </w:t>
            </w:r>
          </w:p>
        </w:tc>
        <w:tc>
          <w:tcPr>
            <w:tcW w:w="1275" w:type="dxa"/>
            <w:tcBorders>
              <w:top w:val="nil"/>
              <w:left w:val="nil"/>
              <w:bottom w:val="single" w:sz="7" w:space="0" w:color="000000"/>
              <w:right w:val="nil"/>
            </w:tcBorders>
            <w:tcMar>
              <w:top w:w="100" w:type="dxa"/>
              <w:left w:w="100" w:type="dxa"/>
              <w:bottom w:w="100" w:type="dxa"/>
              <w:right w:w="100" w:type="dxa"/>
            </w:tcMar>
            <w:vAlign w:val="bottom"/>
          </w:tcPr>
          <w:p w14:paraId="609BF616" w14:textId="77777777" w:rsidR="00DE3EE8" w:rsidRPr="002B7E6B" w:rsidRDefault="00DE3EE8" w:rsidP="00E26C52">
            <w:r w:rsidRPr="002B7E6B">
              <w:t>2024</w:t>
            </w:r>
          </w:p>
        </w:tc>
        <w:tc>
          <w:tcPr>
            <w:tcW w:w="1275" w:type="dxa"/>
            <w:tcBorders>
              <w:top w:val="nil"/>
              <w:left w:val="nil"/>
              <w:bottom w:val="single" w:sz="7" w:space="0" w:color="000000"/>
              <w:right w:val="nil"/>
            </w:tcBorders>
            <w:tcMar>
              <w:top w:w="100" w:type="dxa"/>
              <w:left w:w="100" w:type="dxa"/>
              <w:bottom w:w="100" w:type="dxa"/>
              <w:right w:w="100" w:type="dxa"/>
            </w:tcMar>
            <w:vAlign w:val="bottom"/>
          </w:tcPr>
          <w:p w14:paraId="5A3C8A0D" w14:textId="77777777" w:rsidR="00DE3EE8" w:rsidRPr="002B7E6B" w:rsidRDefault="00DE3EE8" w:rsidP="00E26C52">
            <w:r w:rsidRPr="002B7E6B">
              <w:t>186,101</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5F88E951" w14:textId="77777777" w:rsidR="00DE3EE8" w:rsidRPr="002B7E6B" w:rsidRDefault="00DE3EE8" w:rsidP="00E26C52">
            <w:r w:rsidRPr="002B7E6B">
              <w:t>161,080</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226BA50A" w14:textId="77777777" w:rsidR="00DE3EE8" w:rsidRPr="002B7E6B" w:rsidRDefault="00DE3EE8" w:rsidP="00E26C52">
            <w:r w:rsidRPr="002B7E6B">
              <w:t xml:space="preserve"> </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16A73798" w14:textId="77777777" w:rsidR="00DE3EE8" w:rsidRPr="002B7E6B" w:rsidRDefault="00DE3EE8" w:rsidP="00E26C52">
            <w:r w:rsidRPr="002B7E6B">
              <w:t xml:space="preserve"> </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280C7639" w14:textId="77777777" w:rsidR="00DE3EE8" w:rsidRPr="002B7E6B" w:rsidRDefault="00DE3EE8" w:rsidP="00E26C52">
            <w:r w:rsidRPr="002B7E6B">
              <w:t xml:space="preserve"> </w:t>
            </w:r>
          </w:p>
        </w:tc>
      </w:tr>
      <w:tr w:rsidR="00DE3EE8" w:rsidRPr="002B7E6B" w14:paraId="585C109A" w14:textId="77777777" w:rsidTr="005A5ABD">
        <w:trPr>
          <w:trHeight w:val="500"/>
        </w:trPr>
        <w:tc>
          <w:tcPr>
            <w:tcW w:w="2055" w:type="dxa"/>
            <w:tcBorders>
              <w:top w:val="nil"/>
              <w:left w:val="nil"/>
              <w:bottom w:val="nil"/>
              <w:right w:val="nil"/>
            </w:tcBorders>
            <w:tcMar>
              <w:top w:w="100" w:type="dxa"/>
              <w:left w:w="100" w:type="dxa"/>
              <w:bottom w:w="100" w:type="dxa"/>
              <w:right w:w="100" w:type="dxa"/>
            </w:tcMar>
            <w:vAlign w:val="bottom"/>
          </w:tcPr>
          <w:p w14:paraId="483C44DE" w14:textId="77777777" w:rsidR="00DE3EE8" w:rsidRPr="002B7E6B" w:rsidRDefault="00DE3EE8" w:rsidP="00E26C52">
            <w:r w:rsidRPr="002B7E6B">
              <w:t>SEO</w:t>
            </w:r>
          </w:p>
        </w:tc>
        <w:tc>
          <w:tcPr>
            <w:tcW w:w="1275" w:type="dxa"/>
            <w:tcBorders>
              <w:top w:val="nil"/>
              <w:left w:val="nil"/>
              <w:bottom w:val="nil"/>
              <w:right w:val="nil"/>
            </w:tcBorders>
            <w:tcMar>
              <w:top w:w="100" w:type="dxa"/>
              <w:left w:w="100" w:type="dxa"/>
              <w:bottom w:w="100" w:type="dxa"/>
              <w:right w:w="100" w:type="dxa"/>
            </w:tcMar>
            <w:vAlign w:val="bottom"/>
          </w:tcPr>
          <w:p w14:paraId="4B2AC97F" w14:textId="77777777" w:rsidR="00DE3EE8" w:rsidRPr="002B7E6B" w:rsidRDefault="00DE3EE8" w:rsidP="00E26C52">
            <w:r w:rsidRPr="002B7E6B">
              <w:t>2021</w:t>
            </w:r>
          </w:p>
        </w:tc>
        <w:tc>
          <w:tcPr>
            <w:tcW w:w="1275" w:type="dxa"/>
            <w:tcBorders>
              <w:top w:val="nil"/>
              <w:left w:val="nil"/>
              <w:bottom w:val="nil"/>
              <w:right w:val="nil"/>
            </w:tcBorders>
            <w:tcMar>
              <w:top w:w="100" w:type="dxa"/>
              <w:left w:w="100" w:type="dxa"/>
              <w:bottom w:w="100" w:type="dxa"/>
              <w:right w:w="100" w:type="dxa"/>
            </w:tcMar>
            <w:vAlign w:val="bottom"/>
          </w:tcPr>
          <w:p w14:paraId="4380F211" w14:textId="77777777" w:rsidR="00DE3EE8" w:rsidRPr="002B7E6B" w:rsidRDefault="00DE3EE8" w:rsidP="00E26C52">
            <w:r w:rsidRPr="002B7E6B">
              <w:t>45,103</w:t>
            </w:r>
          </w:p>
        </w:tc>
        <w:tc>
          <w:tcPr>
            <w:tcW w:w="1170" w:type="dxa"/>
            <w:tcBorders>
              <w:top w:val="nil"/>
              <w:left w:val="nil"/>
              <w:bottom w:val="nil"/>
              <w:right w:val="nil"/>
            </w:tcBorders>
            <w:tcMar>
              <w:top w:w="100" w:type="dxa"/>
              <w:left w:w="100" w:type="dxa"/>
              <w:bottom w:w="100" w:type="dxa"/>
              <w:right w:w="100" w:type="dxa"/>
            </w:tcMar>
            <w:vAlign w:val="bottom"/>
          </w:tcPr>
          <w:p w14:paraId="44D3435A" w14:textId="77777777" w:rsidR="00DE3EE8" w:rsidRPr="002B7E6B" w:rsidRDefault="00DE3EE8" w:rsidP="00E26C52">
            <w:r w:rsidRPr="002B7E6B">
              <w:t>13,531</w:t>
            </w:r>
          </w:p>
        </w:tc>
        <w:tc>
          <w:tcPr>
            <w:tcW w:w="1170" w:type="dxa"/>
            <w:tcBorders>
              <w:top w:val="nil"/>
              <w:left w:val="nil"/>
              <w:bottom w:val="nil"/>
              <w:right w:val="nil"/>
            </w:tcBorders>
            <w:tcMar>
              <w:top w:w="100" w:type="dxa"/>
              <w:left w:w="100" w:type="dxa"/>
              <w:bottom w:w="100" w:type="dxa"/>
              <w:right w:w="100" w:type="dxa"/>
            </w:tcMar>
            <w:vAlign w:val="bottom"/>
          </w:tcPr>
          <w:p w14:paraId="77CBB0FA" w14:textId="77777777" w:rsidR="00DE3EE8" w:rsidRPr="002B7E6B" w:rsidRDefault="00DE3EE8" w:rsidP="00E26C52">
            <w:r w:rsidRPr="002B7E6B">
              <w:t>10,148</w:t>
            </w:r>
          </w:p>
        </w:tc>
        <w:tc>
          <w:tcPr>
            <w:tcW w:w="1170" w:type="dxa"/>
            <w:tcBorders>
              <w:top w:val="nil"/>
              <w:left w:val="nil"/>
              <w:bottom w:val="nil"/>
              <w:right w:val="nil"/>
            </w:tcBorders>
            <w:tcMar>
              <w:top w:w="100" w:type="dxa"/>
              <w:left w:w="100" w:type="dxa"/>
              <w:bottom w:w="100" w:type="dxa"/>
              <w:right w:w="100" w:type="dxa"/>
            </w:tcMar>
            <w:vAlign w:val="bottom"/>
          </w:tcPr>
          <w:p w14:paraId="5C516C7E" w14:textId="77777777" w:rsidR="00DE3EE8" w:rsidRPr="002B7E6B" w:rsidRDefault="00DE3EE8" w:rsidP="00E26C52">
            <w:r w:rsidRPr="002B7E6B">
              <w:t>10,148</w:t>
            </w:r>
          </w:p>
        </w:tc>
        <w:tc>
          <w:tcPr>
            <w:tcW w:w="1170" w:type="dxa"/>
            <w:tcBorders>
              <w:top w:val="nil"/>
              <w:left w:val="nil"/>
              <w:bottom w:val="nil"/>
              <w:right w:val="nil"/>
            </w:tcBorders>
            <w:tcMar>
              <w:top w:w="100" w:type="dxa"/>
              <w:left w:w="100" w:type="dxa"/>
              <w:bottom w:w="100" w:type="dxa"/>
              <w:right w:w="100" w:type="dxa"/>
            </w:tcMar>
            <w:vAlign w:val="bottom"/>
          </w:tcPr>
          <w:p w14:paraId="3ABBF969" w14:textId="77777777" w:rsidR="00DE3EE8" w:rsidRPr="002B7E6B" w:rsidRDefault="00DE3EE8" w:rsidP="00E26C52">
            <w:r w:rsidRPr="002B7E6B">
              <w:t>0</w:t>
            </w:r>
          </w:p>
        </w:tc>
      </w:tr>
      <w:tr w:rsidR="00DE3EE8" w:rsidRPr="002B7E6B" w14:paraId="22059FBF" w14:textId="77777777" w:rsidTr="005A5ABD">
        <w:trPr>
          <w:trHeight w:val="500"/>
        </w:trPr>
        <w:tc>
          <w:tcPr>
            <w:tcW w:w="2055" w:type="dxa"/>
            <w:tcBorders>
              <w:top w:val="nil"/>
              <w:left w:val="nil"/>
              <w:bottom w:val="nil"/>
              <w:right w:val="nil"/>
            </w:tcBorders>
            <w:tcMar>
              <w:top w:w="100" w:type="dxa"/>
              <w:left w:w="100" w:type="dxa"/>
              <w:bottom w:w="100" w:type="dxa"/>
              <w:right w:w="100" w:type="dxa"/>
            </w:tcMar>
            <w:vAlign w:val="bottom"/>
          </w:tcPr>
          <w:p w14:paraId="5EF5CD85" w14:textId="77777777" w:rsidR="00DE3EE8" w:rsidRPr="002B7E6B" w:rsidRDefault="00DE3EE8" w:rsidP="00E26C52"/>
        </w:tc>
        <w:tc>
          <w:tcPr>
            <w:tcW w:w="1275" w:type="dxa"/>
            <w:tcBorders>
              <w:top w:val="nil"/>
              <w:left w:val="nil"/>
              <w:bottom w:val="nil"/>
              <w:right w:val="nil"/>
            </w:tcBorders>
            <w:tcMar>
              <w:top w:w="100" w:type="dxa"/>
              <w:left w:w="100" w:type="dxa"/>
              <w:bottom w:w="100" w:type="dxa"/>
              <w:right w:w="100" w:type="dxa"/>
            </w:tcMar>
            <w:vAlign w:val="bottom"/>
          </w:tcPr>
          <w:p w14:paraId="16DA3E89" w14:textId="77777777" w:rsidR="00DE3EE8" w:rsidRPr="002B7E6B" w:rsidRDefault="00DE3EE8" w:rsidP="00E26C52">
            <w:r w:rsidRPr="002B7E6B">
              <w:t>2022</w:t>
            </w:r>
          </w:p>
        </w:tc>
        <w:tc>
          <w:tcPr>
            <w:tcW w:w="1275" w:type="dxa"/>
            <w:tcBorders>
              <w:top w:val="nil"/>
              <w:left w:val="nil"/>
              <w:bottom w:val="nil"/>
              <w:right w:val="nil"/>
            </w:tcBorders>
            <w:tcMar>
              <w:top w:w="100" w:type="dxa"/>
              <w:left w:w="100" w:type="dxa"/>
              <w:bottom w:w="100" w:type="dxa"/>
              <w:right w:w="100" w:type="dxa"/>
            </w:tcMar>
            <w:vAlign w:val="bottom"/>
          </w:tcPr>
          <w:p w14:paraId="4D9DD1BB" w14:textId="77777777" w:rsidR="00DE3EE8" w:rsidRPr="002B7E6B" w:rsidRDefault="00DE3EE8" w:rsidP="00E26C52">
            <w:r w:rsidRPr="002B7E6B">
              <w:t>50,500</w:t>
            </w:r>
          </w:p>
        </w:tc>
        <w:tc>
          <w:tcPr>
            <w:tcW w:w="1170" w:type="dxa"/>
            <w:tcBorders>
              <w:top w:val="nil"/>
              <w:left w:val="nil"/>
              <w:bottom w:val="nil"/>
              <w:right w:val="nil"/>
            </w:tcBorders>
            <w:tcMar>
              <w:top w:w="100" w:type="dxa"/>
              <w:left w:w="100" w:type="dxa"/>
              <w:bottom w:w="100" w:type="dxa"/>
              <w:right w:w="100" w:type="dxa"/>
            </w:tcMar>
            <w:vAlign w:val="bottom"/>
          </w:tcPr>
          <w:p w14:paraId="3A83C31C" w14:textId="77777777" w:rsidR="00DE3EE8" w:rsidRPr="002B7E6B" w:rsidRDefault="00DE3EE8" w:rsidP="00E26C52">
            <w:r w:rsidRPr="002B7E6B">
              <w:t>15,150</w:t>
            </w:r>
          </w:p>
        </w:tc>
        <w:tc>
          <w:tcPr>
            <w:tcW w:w="1170" w:type="dxa"/>
            <w:tcBorders>
              <w:top w:val="nil"/>
              <w:left w:val="nil"/>
              <w:bottom w:val="nil"/>
              <w:right w:val="nil"/>
            </w:tcBorders>
            <w:tcMar>
              <w:top w:w="100" w:type="dxa"/>
              <w:left w:w="100" w:type="dxa"/>
              <w:bottom w:w="100" w:type="dxa"/>
              <w:right w:w="100" w:type="dxa"/>
            </w:tcMar>
            <w:vAlign w:val="bottom"/>
          </w:tcPr>
          <w:p w14:paraId="6BE0CA48" w14:textId="77777777" w:rsidR="00DE3EE8" w:rsidRPr="002B7E6B" w:rsidRDefault="00DE3EE8" w:rsidP="00E26C52">
            <w:r w:rsidRPr="002B7E6B">
              <w:t>11,363</w:t>
            </w:r>
          </w:p>
        </w:tc>
        <w:tc>
          <w:tcPr>
            <w:tcW w:w="1170" w:type="dxa"/>
            <w:tcBorders>
              <w:top w:val="nil"/>
              <w:left w:val="nil"/>
              <w:bottom w:val="nil"/>
              <w:right w:val="nil"/>
            </w:tcBorders>
            <w:tcMar>
              <w:top w:w="100" w:type="dxa"/>
              <w:left w:w="100" w:type="dxa"/>
              <w:bottom w:w="100" w:type="dxa"/>
              <w:right w:w="100" w:type="dxa"/>
            </w:tcMar>
            <w:vAlign w:val="bottom"/>
          </w:tcPr>
          <w:p w14:paraId="29BD2671" w14:textId="77777777" w:rsidR="00DE3EE8" w:rsidRPr="002B7E6B" w:rsidRDefault="00DE3EE8" w:rsidP="00E26C52">
            <w:r w:rsidRPr="002B7E6B">
              <w:t>11,363</w:t>
            </w:r>
          </w:p>
        </w:tc>
        <w:tc>
          <w:tcPr>
            <w:tcW w:w="1170" w:type="dxa"/>
            <w:tcBorders>
              <w:top w:val="nil"/>
              <w:left w:val="nil"/>
              <w:bottom w:val="nil"/>
              <w:right w:val="nil"/>
            </w:tcBorders>
            <w:tcMar>
              <w:top w:w="100" w:type="dxa"/>
              <w:left w:w="100" w:type="dxa"/>
              <w:bottom w:w="100" w:type="dxa"/>
              <w:right w:w="100" w:type="dxa"/>
            </w:tcMar>
            <w:vAlign w:val="bottom"/>
          </w:tcPr>
          <w:p w14:paraId="5878814F" w14:textId="77777777" w:rsidR="00DE3EE8" w:rsidRPr="002B7E6B" w:rsidRDefault="00DE3EE8" w:rsidP="00E26C52">
            <w:r w:rsidRPr="002B7E6B">
              <w:t>0</w:t>
            </w:r>
          </w:p>
        </w:tc>
      </w:tr>
      <w:tr w:rsidR="00DE3EE8" w:rsidRPr="002B7E6B" w14:paraId="0E1D5917" w14:textId="77777777" w:rsidTr="005A5ABD">
        <w:trPr>
          <w:trHeight w:val="500"/>
        </w:trPr>
        <w:tc>
          <w:tcPr>
            <w:tcW w:w="2055" w:type="dxa"/>
            <w:tcBorders>
              <w:top w:val="nil"/>
              <w:left w:val="nil"/>
              <w:bottom w:val="nil"/>
              <w:right w:val="nil"/>
            </w:tcBorders>
            <w:tcMar>
              <w:top w:w="100" w:type="dxa"/>
              <w:left w:w="100" w:type="dxa"/>
              <w:bottom w:w="100" w:type="dxa"/>
              <w:right w:w="100" w:type="dxa"/>
            </w:tcMar>
            <w:vAlign w:val="bottom"/>
          </w:tcPr>
          <w:p w14:paraId="4CCE3961" w14:textId="77777777" w:rsidR="00DE3EE8" w:rsidRPr="002B7E6B" w:rsidRDefault="00DE3EE8" w:rsidP="00E26C52"/>
        </w:tc>
        <w:tc>
          <w:tcPr>
            <w:tcW w:w="1275" w:type="dxa"/>
            <w:tcBorders>
              <w:top w:val="nil"/>
              <w:left w:val="nil"/>
              <w:bottom w:val="nil"/>
              <w:right w:val="nil"/>
            </w:tcBorders>
            <w:tcMar>
              <w:top w:w="100" w:type="dxa"/>
              <w:left w:w="100" w:type="dxa"/>
              <w:bottom w:w="100" w:type="dxa"/>
              <w:right w:w="100" w:type="dxa"/>
            </w:tcMar>
            <w:vAlign w:val="bottom"/>
          </w:tcPr>
          <w:p w14:paraId="1E7C13A9" w14:textId="77777777" w:rsidR="00DE3EE8" w:rsidRPr="002B7E6B" w:rsidRDefault="00DE3EE8" w:rsidP="00E26C52">
            <w:r w:rsidRPr="002B7E6B">
              <w:t>2023</w:t>
            </w:r>
          </w:p>
        </w:tc>
        <w:tc>
          <w:tcPr>
            <w:tcW w:w="1275" w:type="dxa"/>
            <w:tcBorders>
              <w:top w:val="nil"/>
              <w:left w:val="nil"/>
              <w:bottom w:val="nil"/>
              <w:right w:val="nil"/>
            </w:tcBorders>
            <w:tcMar>
              <w:top w:w="100" w:type="dxa"/>
              <w:left w:w="100" w:type="dxa"/>
              <w:bottom w:w="100" w:type="dxa"/>
              <w:right w:w="100" w:type="dxa"/>
            </w:tcMar>
            <w:vAlign w:val="bottom"/>
          </w:tcPr>
          <w:p w14:paraId="190AF092" w14:textId="77777777" w:rsidR="00DE3EE8" w:rsidRPr="002B7E6B" w:rsidRDefault="00DE3EE8" w:rsidP="00E26C52">
            <w:r w:rsidRPr="002B7E6B">
              <w:t>50,500</w:t>
            </w:r>
          </w:p>
        </w:tc>
        <w:tc>
          <w:tcPr>
            <w:tcW w:w="1170" w:type="dxa"/>
            <w:tcBorders>
              <w:top w:val="nil"/>
              <w:left w:val="nil"/>
              <w:bottom w:val="nil"/>
              <w:right w:val="nil"/>
            </w:tcBorders>
            <w:tcMar>
              <w:top w:w="100" w:type="dxa"/>
              <w:left w:w="100" w:type="dxa"/>
              <w:bottom w:w="100" w:type="dxa"/>
              <w:right w:w="100" w:type="dxa"/>
            </w:tcMar>
            <w:vAlign w:val="bottom"/>
          </w:tcPr>
          <w:p w14:paraId="53BBD107" w14:textId="77777777" w:rsidR="00DE3EE8" w:rsidRPr="002B7E6B" w:rsidRDefault="00DE3EE8" w:rsidP="00E26C52">
            <w:r w:rsidRPr="002B7E6B">
              <w:t>15,150</w:t>
            </w:r>
          </w:p>
        </w:tc>
        <w:tc>
          <w:tcPr>
            <w:tcW w:w="1170" w:type="dxa"/>
            <w:tcBorders>
              <w:top w:val="nil"/>
              <w:left w:val="nil"/>
              <w:bottom w:val="nil"/>
              <w:right w:val="nil"/>
            </w:tcBorders>
            <w:tcMar>
              <w:top w:w="100" w:type="dxa"/>
              <w:left w:w="100" w:type="dxa"/>
              <w:bottom w:w="100" w:type="dxa"/>
              <w:right w:w="100" w:type="dxa"/>
            </w:tcMar>
            <w:vAlign w:val="bottom"/>
          </w:tcPr>
          <w:p w14:paraId="674ED807" w14:textId="77777777" w:rsidR="00DE3EE8" w:rsidRPr="002B7E6B" w:rsidRDefault="00DE3EE8" w:rsidP="00E26C52">
            <w:r w:rsidRPr="002B7E6B">
              <w:t>11,363</w:t>
            </w:r>
          </w:p>
        </w:tc>
        <w:tc>
          <w:tcPr>
            <w:tcW w:w="1170" w:type="dxa"/>
            <w:tcBorders>
              <w:top w:val="nil"/>
              <w:left w:val="nil"/>
              <w:bottom w:val="nil"/>
              <w:right w:val="nil"/>
            </w:tcBorders>
            <w:tcMar>
              <w:top w:w="100" w:type="dxa"/>
              <w:left w:w="100" w:type="dxa"/>
              <w:bottom w:w="100" w:type="dxa"/>
              <w:right w:w="100" w:type="dxa"/>
            </w:tcMar>
            <w:vAlign w:val="bottom"/>
          </w:tcPr>
          <w:p w14:paraId="56C26041" w14:textId="77777777" w:rsidR="00DE3EE8" w:rsidRPr="002B7E6B" w:rsidRDefault="00DE3EE8" w:rsidP="00E26C52"/>
        </w:tc>
        <w:tc>
          <w:tcPr>
            <w:tcW w:w="1170" w:type="dxa"/>
            <w:tcBorders>
              <w:top w:val="nil"/>
              <w:left w:val="nil"/>
              <w:bottom w:val="nil"/>
              <w:right w:val="nil"/>
            </w:tcBorders>
            <w:tcMar>
              <w:top w:w="100" w:type="dxa"/>
              <w:left w:w="100" w:type="dxa"/>
              <w:bottom w:w="100" w:type="dxa"/>
              <w:right w:w="100" w:type="dxa"/>
            </w:tcMar>
            <w:vAlign w:val="bottom"/>
          </w:tcPr>
          <w:p w14:paraId="79F38409" w14:textId="77777777" w:rsidR="00DE3EE8" w:rsidRPr="002B7E6B" w:rsidRDefault="00DE3EE8" w:rsidP="00E26C52"/>
        </w:tc>
      </w:tr>
      <w:tr w:rsidR="00DE3EE8" w:rsidRPr="002B7E6B" w14:paraId="7AE6E966" w14:textId="77777777" w:rsidTr="005A5ABD">
        <w:trPr>
          <w:trHeight w:val="500"/>
        </w:trPr>
        <w:tc>
          <w:tcPr>
            <w:tcW w:w="2055" w:type="dxa"/>
            <w:tcBorders>
              <w:top w:val="nil"/>
              <w:left w:val="nil"/>
              <w:bottom w:val="single" w:sz="7" w:space="0" w:color="000000"/>
              <w:right w:val="nil"/>
            </w:tcBorders>
            <w:tcMar>
              <w:top w:w="100" w:type="dxa"/>
              <w:left w:w="100" w:type="dxa"/>
              <w:bottom w:w="100" w:type="dxa"/>
              <w:right w:w="100" w:type="dxa"/>
            </w:tcMar>
            <w:vAlign w:val="bottom"/>
          </w:tcPr>
          <w:p w14:paraId="16EF78BC" w14:textId="77777777" w:rsidR="00DE3EE8" w:rsidRPr="002B7E6B" w:rsidRDefault="00DE3EE8" w:rsidP="00E26C52">
            <w:r w:rsidRPr="002B7E6B">
              <w:t xml:space="preserve"> </w:t>
            </w:r>
          </w:p>
        </w:tc>
        <w:tc>
          <w:tcPr>
            <w:tcW w:w="1275" w:type="dxa"/>
            <w:tcBorders>
              <w:top w:val="nil"/>
              <w:left w:val="nil"/>
              <w:bottom w:val="single" w:sz="7" w:space="0" w:color="000000"/>
              <w:right w:val="nil"/>
            </w:tcBorders>
            <w:tcMar>
              <w:top w:w="100" w:type="dxa"/>
              <w:left w:w="100" w:type="dxa"/>
              <w:bottom w:w="100" w:type="dxa"/>
              <w:right w:w="100" w:type="dxa"/>
            </w:tcMar>
            <w:vAlign w:val="bottom"/>
          </w:tcPr>
          <w:p w14:paraId="7BF792AB" w14:textId="77777777" w:rsidR="00DE3EE8" w:rsidRPr="002B7E6B" w:rsidRDefault="00DE3EE8" w:rsidP="00E26C52">
            <w:r w:rsidRPr="002B7E6B">
              <w:t>2024</w:t>
            </w:r>
          </w:p>
        </w:tc>
        <w:tc>
          <w:tcPr>
            <w:tcW w:w="1275" w:type="dxa"/>
            <w:tcBorders>
              <w:top w:val="nil"/>
              <w:left w:val="nil"/>
              <w:bottom w:val="single" w:sz="7" w:space="0" w:color="000000"/>
              <w:right w:val="nil"/>
            </w:tcBorders>
            <w:tcMar>
              <w:top w:w="100" w:type="dxa"/>
              <w:left w:w="100" w:type="dxa"/>
              <w:bottom w:w="100" w:type="dxa"/>
              <w:right w:w="100" w:type="dxa"/>
            </w:tcMar>
            <w:vAlign w:val="bottom"/>
          </w:tcPr>
          <w:p w14:paraId="63C2AA2C" w14:textId="77777777" w:rsidR="00DE3EE8" w:rsidRPr="002B7E6B" w:rsidRDefault="00DE3EE8" w:rsidP="00E26C52">
            <w:r w:rsidRPr="002B7E6B">
              <w:t>15,150</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3E074429" w14:textId="77777777" w:rsidR="00DE3EE8" w:rsidRPr="002B7E6B" w:rsidRDefault="00DE3EE8" w:rsidP="00E26C52">
            <w:r w:rsidRPr="002B7E6B">
              <w:t>11,363</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37CE9B22" w14:textId="77777777" w:rsidR="00DE3EE8" w:rsidRPr="002B7E6B" w:rsidRDefault="00DE3EE8" w:rsidP="00E26C52">
            <w:r w:rsidRPr="002B7E6B">
              <w:t xml:space="preserve"> </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0C2230B6" w14:textId="77777777" w:rsidR="00DE3EE8" w:rsidRPr="002B7E6B" w:rsidRDefault="00DE3EE8" w:rsidP="00E26C52">
            <w:r w:rsidRPr="002B7E6B">
              <w:t xml:space="preserve"> </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16B362ED" w14:textId="77777777" w:rsidR="00DE3EE8" w:rsidRPr="002B7E6B" w:rsidRDefault="00DE3EE8" w:rsidP="00E26C52">
            <w:r w:rsidRPr="002B7E6B">
              <w:t xml:space="preserve"> </w:t>
            </w:r>
          </w:p>
        </w:tc>
      </w:tr>
      <w:tr w:rsidR="00DE3EE8" w:rsidRPr="002B7E6B" w14:paraId="73CABC51" w14:textId="77777777" w:rsidTr="005A5ABD">
        <w:trPr>
          <w:trHeight w:val="500"/>
        </w:trPr>
        <w:tc>
          <w:tcPr>
            <w:tcW w:w="2055" w:type="dxa"/>
            <w:tcBorders>
              <w:top w:val="nil"/>
              <w:left w:val="nil"/>
              <w:bottom w:val="nil"/>
              <w:right w:val="nil"/>
            </w:tcBorders>
            <w:tcMar>
              <w:top w:w="100" w:type="dxa"/>
              <w:left w:w="100" w:type="dxa"/>
              <w:bottom w:w="100" w:type="dxa"/>
              <w:right w:w="100" w:type="dxa"/>
            </w:tcMar>
            <w:vAlign w:val="bottom"/>
          </w:tcPr>
          <w:p w14:paraId="0794DCF4" w14:textId="77777777" w:rsidR="00DE3EE8" w:rsidRPr="002B7E6B" w:rsidRDefault="00DE3EE8" w:rsidP="00E26C52">
            <w:r w:rsidRPr="002B7E6B">
              <w:t>GOA-wide</w:t>
            </w:r>
          </w:p>
        </w:tc>
        <w:tc>
          <w:tcPr>
            <w:tcW w:w="1275" w:type="dxa"/>
            <w:tcBorders>
              <w:top w:val="nil"/>
              <w:left w:val="nil"/>
              <w:bottom w:val="nil"/>
              <w:right w:val="nil"/>
            </w:tcBorders>
            <w:tcMar>
              <w:top w:w="100" w:type="dxa"/>
              <w:left w:w="100" w:type="dxa"/>
              <w:bottom w:w="100" w:type="dxa"/>
              <w:right w:w="100" w:type="dxa"/>
            </w:tcMar>
            <w:vAlign w:val="bottom"/>
          </w:tcPr>
          <w:p w14:paraId="74ED2985" w14:textId="77777777" w:rsidR="00DE3EE8" w:rsidRPr="002B7E6B" w:rsidRDefault="00DE3EE8" w:rsidP="00E26C52">
            <w:r w:rsidRPr="002B7E6B">
              <w:t>2021</w:t>
            </w:r>
          </w:p>
        </w:tc>
        <w:tc>
          <w:tcPr>
            <w:tcW w:w="1275" w:type="dxa"/>
            <w:tcBorders>
              <w:top w:val="nil"/>
              <w:left w:val="nil"/>
              <w:bottom w:val="nil"/>
              <w:right w:val="nil"/>
            </w:tcBorders>
            <w:tcMar>
              <w:top w:w="100" w:type="dxa"/>
              <w:left w:w="100" w:type="dxa"/>
              <w:bottom w:w="100" w:type="dxa"/>
              <w:right w:w="100" w:type="dxa"/>
            </w:tcMar>
            <w:vAlign w:val="bottom"/>
          </w:tcPr>
          <w:p w14:paraId="495ECBF3" w14:textId="77777777" w:rsidR="00DE3EE8" w:rsidRPr="002B7E6B" w:rsidRDefault="00DE3EE8" w:rsidP="00E26C52">
            <w:r w:rsidRPr="002B7E6B">
              <w:t>1,142,443</w:t>
            </w:r>
          </w:p>
        </w:tc>
        <w:tc>
          <w:tcPr>
            <w:tcW w:w="1170" w:type="dxa"/>
            <w:tcBorders>
              <w:top w:val="nil"/>
              <w:left w:val="nil"/>
              <w:bottom w:val="nil"/>
              <w:right w:val="nil"/>
            </w:tcBorders>
            <w:tcMar>
              <w:top w:w="100" w:type="dxa"/>
              <w:left w:w="100" w:type="dxa"/>
              <w:bottom w:w="100" w:type="dxa"/>
              <w:right w:w="100" w:type="dxa"/>
            </w:tcMar>
            <w:vAlign w:val="bottom"/>
          </w:tcPr>
          <w:p w14:paraId="54C31433" w14:textId="77777777" w:rsidR="00DE3EE8" w:rsidRPr="002B7E6B" w:rsidRDefault="00DE3EE8" w:rsidP="00E26C52">
            <w:r w:rsidRPr="002B7E6B">
              <w:t>136,986</w:t>
            </w:r>
          </w:p>
        </w:tc>
        <w:tc>
          <w:tcPr>
            <w:tcW w:w="1170" w:type="dxa"/>
            <w:tcBorders>
              <w:top w:val="nil"/>
              <w:left w:val="nil"/>
              <w:bottom w:val="nil"/>
              <w:right w:val="nil"/>
            </w:tcBorders>
            <w:tcMar>
              <w:top w:w="100" w:type="dxa"/>
              <w:left w:w="100" w:type="dxa"/>
              <w:bottom w:w="100" w:type="dxa"/>
              <w:right w:w="100" w:type="dxa"/>
            </w:tcMar>
            <w:vAlign w:val="bottom"/>
          </w:tcPr>
          <w:p w14:paraId="5AEACA15" w14:textId="77777777" w:rsidR="00DE3EE8" w:rsidRPr="002B7E6B" w:rsidRDefault="00DE3EE8" w:rsidP="00E26C52">
            <w:r w:rsidRPr="002B7E6B">
              <w:t>115,870</w:t>
            </w:r>
          </w:p>
        </w:tc>
        <w:tc>
          <w:tcPr>
            <w:tcW w:w="1170" w:type="dxa"/>
            <w:tcBorders>
              <w:top w:val="nil"/>
              <w:left w:val="nil"/>
              <w:bottom w:val="nil"/>
              <w:right w:val="nil"/>
            </w:tcBorders>
            <w:tcMar>
              <w:top w:w="100" w:type="dxa"/>
              <w:left w:w="100" w:type="dxa"/>
              <w:bottom w:w="100" w:type="dxa"/>
              <w:right w:w="100" w:type="dxa"/>
            </w:tcMar>
            <w:vAlign w:val="bottom"/>
          </w:tcPr>
          <w:p w14:paraId="7C57747F" w14:textId="77777777" w:rsidR="00DE3EE8" w:rsidRPr="002B7E6B" w:rsidRDefault="00DE3EE8" w:rsidP="00E26C52">
            <w:r w:rsidRPr="002B7E6B">
              <w:t>113,227</w:t>
            </w:r>
          </w:p>
        </w:tc>
        <w:tc>
          <w:tcPr>
            <w:tcW w:w="1170" w:type="dxa"/>
            <w:tcBorders>
              <w:top w:val="nil"/>
              <w:left w:val="nil"/>
              <w:bottom w:val="nil"/>
              <w:right w:val="nil"/>
            </w:tcBorders>
            <w:tcMar>
              <w:top w:w="100" w:type="dxa"/>
              <w:left w:w="100" w:type="dxa"/>
              <w:bottom w:w="100" w:type="dxa"/>
              <w:right w:w="100" w:type="dxa"/>
            </w:tcMar>
            <w:vAlign w:val="bottom"/>
          </w:tcPr>
          <w:p w14:paraId="421D296B" w14:textId="77777777" w:rsidR="00DE3EE8" w:rsidRPr="002B7E6B" w:rsidRDefault="00DE3EE8" w:rsidP="00E26C52">
            <w:r w:rsidRPr="002B7E6B">
              <w:t>99,019</w:t>
            </w:r>
          </w:p>
        </w:tc>
      </w:tr>
      <w:tr w:rsidR="00DE3EE8" w:rsidRPr="002B7E6B" w14:paraId="505DDCDE" w14:textId="77777777" w:rsidTr="005A5ABD">
        <w:trPr>
          <w:trHeight w:val="500"/>
        </w:trPr>
        <w:tc>
          <w:tcPr>
            <w:tcW w:w="2055" w:type="dxa"/>
            <w:tcBorders>
              <w:top w:val="nil"/>
              <w:left w:val="nil"/>
              <w:bottom w:val="nil"/>
              <w:right w:val="nil"/>
            </w:tcBorders>
            <w:tcMar>
              <w:top w:w="100" w:type="dxa"/>
              <w:left w:w="100" w:type="dxa"/>
              <w:bottom w:w="100" w:type="dxa"/>
              <w:right w:w="100" w:type="dxa"/>
            </w:tcMar>
            <w:vAlign w:val="bottom"/>
          </w:tcPr>
          <w:p w14:paraId="43A77672" w14:textId="77777777" w:rsidR="00DE3EE8" w:rsidRPr="002B7E6B" w:rsidRDefault="00DE3EE8" w:rsidP="00E26C52"/>
        </w:tc>
        <w:tc>
          <w:tcPr>
            <w:tcW w:w="1275" w:type="dxa"/>
            <w:tcBorders>
              <w:top w:val="nil"/>
              <w:left w:val="nil"/>
              <w:bottom w:val="nil"/>
              <w:right w:val="nil"/>
            </w:tcBorders>
            <w:tcMar>
              <w:top w:w="100" w:type="dxa"/>
              <w:left w:w="100" w:type="dxa"/>
              <w:bottom w:w="100" w:type="dxa"/>
              <w:right w:w="100" w:type="dxa"/>
            </w:tcMar>
            <w:vAlign w:val="bottom"/>
          </w:tcPr>
          <w:p w14:paraId="0A77D98B" w14:textId="77777777" w:rsidR="00DE3EE8" w:rsidRPr="002B7E6B" w:rsidRDefault="00DE3EE8" w:rsidP="00E26C52">
            <w:r w:rsidRPr="002B7E6B">
              <w:t>2022</w:t>
            </w:r>
          </w:p>
        </w:tc>
        <w:tc>
          <w:tcPr>
            <w:tcW w:w="1275" w:type="dxa"/>
            <w:tcBorders>
              <w:top w:val="nil"/>
              <w:left w:val="nil"/>
              <w:bottom w:val="nil"/>
              <w:right w:val="nil"/>
            </w:tcBorders>
            <w:tcMar>
              <w:top w:w="100" w:type="dxa"/>
              <w:left w:w="100" w:type="dxa"/>
              <w:bottom w:w="100" w:type="dxa"/>
              <w:right w:w="100" w:type="dxa"/>
            </w:tcMar>
            <w:vAlign w:val="bottom"/>
          </w:tcPr>
          <w:p w14:paraId="32E17314" w14:textId="77777777" w:rsidR="00DE3EE8" w:rsidRPr="002B7E6B" w:rsidRDefault="00DE3EE8" w:rsidP="00E26C52">
            <w:r w:rsidRPr="002B7E6B">
              <w:t>899,378</w:t>
            </w:r>
          </w:p>
        </w:tc>
        <w:tc>
          <w:tcPr>
            <w:tcW w:w="1170" w:type="dxa"/>
            <w:tcBorders>
              <w:top w:val="nil"/>
              <w:left w:val="nil"/>
              <w:bottom w:val="nil"/>
              <w:right w:val="nil"/>
            </w:tcBorders>
            <w:tcMar>
              <w:top w:w="100" w:type="dxa"/>
              <w:left w:w="100" w:type="dxa"/>
              <w:bottom w:w="100" w:type="dxa"/>
              <w:right w:w="100" w:type="dxa"/>
            </w:tcMar>
            <w:vAlign w:val="bottom"/>
          </w:tcPr>
          <w:p w14:paraId="0E0887FB" w14:textId="77777777" w:rsidR="00DE3EE8" w:rsidRPr="002B7E6B" w:rsidRDefault="00DE3EE8" w:rsidP="00E26C52">
            <w:r w:rsidRPr="002B7E6B">
              <w:t>170,133</w:t>
            </w:r>
          </w:p>
        </w:tc>
        <w:tc>
          <w:tcPr>
            <w:tcW w:w="1170" w:type="dxa"/>
            <w:tcBorders>
              <w:top w:val="nil"/>
              <w:left w:val="nil"/>
              <w:bottom w:val="nil"/>
              <w:right w:val="nil"/>
            </w:tcBorders>
            <w:tcMar>
              <w:top w:w="100" w:type="dxa"/>
              <w:left w:w="100" w:type="dxa"/>
              <w:bottom w:w="100" w:type="dxa"/>
              <w:right w:w="100" w:type="dxa"/>
            </w:tcMar>
            <w:vAlign w:val="bottom"/>
          </w:tcPr>
          <w:p w14:paraId="7855671F" w14:textId="77777777" w:rsidR="00DE3EE8" w:rsidRPr="002B7E6B" w:rsidRDefault="00DE3EE8" w:rsidP="00E26C52">
            <w:r w:rsidRPr="002B7E6B">
              <w:t>144,444</w:t>
            </w:r>
          </w:p>
        </w:tc>
        <w:tc>
          <w:tcPr>
            <w:tcW w:w="1170" w:type="dxa"/>
            <w:tcBorders>
              <w:top w:val="nil"/>
              <w:left w:val="nil"/>
              <w:bottom w:val="nil"/>
              <w:right w:val="nil"/>
            </w:tcBorders>
            <w:tcMar>
              <w:top w:w="100" w:type="dxa"/>
              <w:left w:w="100" w:type="dxa"/>
              <w:bottom w:w="100" w:type="dxa"/>
              <w:right w:w="100" w:type="dxa"/>
            </w:tcMar>
            <w:vAlign w:val="bottom"/>
          </w:tcPr>
          <w:p w14:paraId="7F620047" w14:textId="77777777" w:rsidR="00DE3EE8" w:rsidRPr="002B7E6B" w:rsidRDefault="00DE3EE8" w:rsidP="00E26C52">
            <w:r w:rsidRPr="002B7E6B">
              <w:t>141,117</w:t>
            </w:r>
          </w:p>
        </w:tc>
        <w:tc>
          <w:tcPr>
            <w:tcW w:w="1170" w:type="dxa"/>
            <w:tcBorders>
              <w:top w:val="nil"/>
              <w:left w:val="nil"/>
              <w:bottom w:val="nil"/>
              <w:right w:val="nil"/>
            </w:tcBorders>
            <w:tcMar>
              <w:top w:w="100" w:type="dxa"/>
              <w:left w:w="100" w:type="dxa"/>
              <w:bottom w:w="100" w:type="dxa"/>
              <w:right w:w="100" w:type="dxa"/>
            </w:tcMar>
            <w:vAlign w:val="bottom"/>
          </w:tcPr>
          <w:p w14:paraId="6DB192E9" w14:textId="77777777" w:rsidR="00DE3EE8" w:rsidRPr="002B7E6B" w:rsidRDefault="00DE3EE8" w:rsidP="00E26C52">
            <w:r w:rsidRPr="002B7E6B">
              <w:t>129,876</w:t>
            </w:r>
          </w:p>
        </w:tc>
      </w:tr>
      <w:tr w:rsidR="00DE3EE8" w:rsidRPr="002B7E6B" w14:paraId="7D1A4696" w14:textId="77777777" w:rsidTr="005A5ABD">
        <w:trPr>
          <w:trHeight w:val="500"/>
        </w:trPr>
        <w:tc>
          <w:tcPr>
            <w:tcW w:w="2055" w:type="dxa"/>
            <w:tcBorders>
              <w:top w:val="nil"/>
              <w:left w:val="nil"/>
              <w:bottom w:val="nil"/>
              <w:right w:val="nil"/>
            </w:tcBorders>
            <w:tcMar>
              <w:top w:w="100" w:type="dxa"/>
              <w:left w:w="100" w:type="dxa"/>
              <w:bottom w:w="100" w:type="dxa"/>
              <w:right w:w="100" w:type="dxa"/>
            </w:tcMar>
            <w:vAlign w:val="bottom"/>
          </w:tcPr>
          <w:p w14:paraId="3BEF23F7" w14:textId="77777777" w:rsidR="00DE3EE8" w:rsidRPr="002B7E6B" w:rsidRDefault="00DE3EE8" w:rsidP="00E26C52"/>
        </w:tc>
        <w:tc>
          <w:tcPr>
            <w:tcW w:w="1275" w:type="dxa"/>
            <w:tcBorders>
              <w:top w:val="nil"/>
              <w:left w:val="nil"/>
              <w:bottom w:val="nil"/>
              <w:right w:val="nil"/>
            </w:tcBorders>
            <w:tcMar>
              <w:top w:w="100" w:type="dxa"/>
              <w:left w:w="100" w:type="dxa"/>
              <w:bottom w:w="100" w:type="dxa"/>
              <w:right w:w="100" w:type="dxa"/>
            </w:tcMar>
            <w:vAlign w:val="bottom"/>
          </w:tcPr>
          <w:p w14:paraId="6043831C" w14:textId="77777777" w:rsidR="00DE3EE8" w:rsidRPr="002B7E6B" w:rsidRDefault="00DE3EE8" w:rsidP="00E26C52">
            <w:r w:rsidRPr="002B7E6B">
              <w:t>2023</w:t>
            </w:r>
          </w:p>
        </w:tc>
        <w:tc>
          <w:tcPr>
            <w:tcW w:w="1275" w:type="dxa"/>
            <w:tcBorders>
              <w:top w:val="nil"/>
              <w:left w:val="nil"/>
              <w:bottom w:val="nil"/>
              <w:right w:val="nil"/>
            </w:tcBorders>
            <w:tcMar>
              <w:top w:w="100" w:type="dxa"/>
              <w:left w:w="100" w:type="dxa"/>
              <w:bottom w:w="100" w:type="dxa"/>
              <w:right w:w="100" w:type="dxa"/>
            </w:tcMar>
            <w:vAlign w:val="bottom"/>
          </w:tcPr>
          <w:p w14:paraId="1909B4D9" w14:textId="77777777" w:rsidR="00DE3EE8" w:rsidRPr="002B7E6B" w:rsidRDefault="00DE3EE8" w:rsidP="00E26C52">
            <w:r w:rsidRPr="002B7E6B">
              <w:t>1,332,480</w:t>
            </w:r>
          </w:p>
        </w:tc>
        <w:tc>
          <w:tcPr>
            <w:tcW w:w="1170" w:type="dxa"/>
            <w:tcBorders>
              <w:top w:val="nil"/>
              <w:left w:val="nil"/>
              <w:bottom w:val="nil"/>
              <w:right w:val="nil"/>
            </w:tcBorders>
            <w:tcMar>
              <w:top w:w="100" w:type="dxa"/>
              <w:left w:w="100" w:type="dxa"/>
              <w:bottom w:w="100" w:type="dxa"/>
              <w:right w:w="100" w:type="dxa"/>
            </w:tcMar>
            <w:vAlign w:val="bottom"/>
          </w:tcPr>
          <w:p w14:paraId="246B9CFC" w14:textId="77777777" w:rsidR="00DE3EE8" w:rsidRPr="002B7E6B" w:rsidRDefault="00DE3EE8" w:rsidP="00E26C52">
            <w:r w:rsidRPr="002B7E6B">
              <w:t>188,620</w:t>
            </w:r>
          </w:p>
        </w:tc>
        <w:tc>
          <w:tcPr>
            <w:tcW w:w="1170" w:type="dxa"/>
            <w:tcBorders>
              <w:top w:val="nil"/>
              <w:left w:val="nil"/>
              <w:bottom w:val="nil"/>
              <w:right w:val="nil"/>
            </w:tcBorders>
            <w:tcMar>
              <w:top w:w="100" w:type="dxa"/>
              <w:left w:w="100" w:type="dxa"/>
              <w:bottom w:w="100" w:type="dxa"/>
              <w:right w:w="100" w:type="dxa"/>
            </w:tcMar>
            <w:vAlign w:val="bottom"/>
          </w:tcPr>
          <w:p w14:paraId="4F723335" w14:textId="77777777" w:rsidR="00DE3EE8" w:rsidRPr="002B7E6B" w:rsidRDefault="00DE3EE8" w:rsidP="00E26C52">
            <w:r w:rsidRPr="002B7E6B">
              <w:t>160,301</w:t>
            </w:r>
          </w:p>
        </w:tc>
        <w:tc>
          <w:tcPr>
            <w:tcW w:w="1170" w:type="dxa"/>
            <w:tcBorders>
              <w:top w:val="nil"/>
              <w:left w:val="nil"/>
              <w:bottom w:val="nil"/>
              <w:right w:val="nil"/>
            </w:tcBorders>
            <w:tcMar>
              <w:top w:w="100" w:type="dxa"/>
              <w:left w:w="100" w:type="dxa"/>
              <w:bottom w:w="100" w:type="dxa"/>
              <w:right w:w="100" w:type="dxa"/>
            </w:tcMar>
            <w:vAlign w:val="bottom"/>
          </w:tcPr>
          <w:p w14:paraId="6B2352EA" w14:textId="77777777" w:rsidR="00DE3EE8" w:rsidRPr="002B7E6B" w:rsidRDefault="00DE3EE8" w:rsidP="00E26C52"/>
        </w:tc>
        <w:tc>
          <w:tcPr>
            <w:tcW w:w="1170" w:type="dxa"/>
            <w:tcBorders>
              <w:top w:val="nil"/>
              <w:left w:val="nil"/>
              <w:bottom w:val="nil"/>
              <w:right w:val="nil"/>
            </w:tcBorders>
            <w:tcMar>
              <w:top w:w="100" w:type="dxa"/>
              <w:left w:w="100" w:type="dxa"/>
              <w:bottom w:w="100" w:type="dxa"/>
              <w:right w:w="100" w:type="dxa"/>
            </w:tcMar>
            <w:vAlign w:val="bottom"/>
          </w:tcPr>
          <w:p w14:paraId="4530D2F8" w14:textId="77777777" w:rsidR="00DE3EE8" w:rsidRPr="002B7E6B" w:rsidRDefault="00DE3EE8" w:rsidP="00E26C52"/>
        </w:tc>
      </w:tr>
      <w:tr w:rsidR="00DE3EE8" w:rsidRPr="002B7E6B" w14:paraId="0FE6D782" w14:textId="77777777" w:rsidTr="005A5ABD">
        <w:trPr>
          <w:trHeight w:val="500"/>
        </w:trPr>
        <w:tc>
          <w:tcPr>
            <w:tcW w:w="2055" w:type="dxa"/>
            <w:tcBorders>
              <w:top w:val="nil"/>
              <w:left w:val="nil"/>
              <w:bottom w:val="single" w:sz="7" w:space="0" w:color="000000"/>
              <w:right w:val="nil"/>
            </w:tcBorders>
            <w:tcMar>
              <w:top w:w="100" w:type="dxa"/>
              <w:left w:w="100" w:type="dxa"/>
              <w:bottom w:w="100" w:type="dxa"/>
              <w:right w:w="100" w:type="dxa"/>
            </w:tcMar>
            <w:vAlign w:val="bottom"/>
          </w:tcPr>
          <w:p w14:paraId="7412E82B" w14:textId="77777777" w:rsidR="00DE3EE8" w:rsidRPr="002B7E6B" w:rsidRDefault="00DE3EE8" w:rsidP="00E26C52">
            <w:r w:rsidRPr="002B7E6B">
              <w:t xml:space="preserve"> </w:t>
            </w:r>
          </w:p>
        </w:tc>
        <w:tc>
          <w:tcPr>
            <w:tcW w:w="1275" w:type="dxa"/>
            <w:tcBorders>
              <w:top w:val="nil"/>
              <w:left w:val="nil"/>
              <w:bottom w:val="single" w:sz="7" w:space="0" w:color="000000"/>
              <w:right w:val="nil"/>
            </w:tcBorders>
            <w:tcMar>
              <w:top w:w="100" w:type="dxa"/>
              <w:left w:w="100" w:type="dxa"/>
              <w:bottom w:w="100" w:type="dxa"/>
              <w:right w:w="100" w:type="dxa"/>
            </w:tcMar>
            <w:vAlign w:val="bottom"/>
          </w:tcPr>
          <w:p w14:paraId="1461A73F" w14:textId="77777777" w:rsidR="00DE3EE8" w:rsidRPr="002B7E6B" w:rsidRDefault="00DE3EE8" w:rsidP="00E26C52">
            <w:r w:rsidRPr="002B7E6B">
              <w:t>2024</w:t>
            </w:r>
          </w:p>
        </w:tc>
        <w:tc>
          <w:tcPr>
            <w:tcW w:w="1275" w:type="dxa"/>
            <w:tcBorders>
              <w:top w:val="nil"/>
              <w:left w:val="nil"/>
              <w:bottom w:val="single" w:sz="7" w:space="0" w:color="000000"/>
              <w:right w:val="nil"/>
            </w:tcBorders>
            <w:tcMar>
              <w:top w:w="100" w:type="dxa"/>
              <w:left w:w="100" w:type="dxa"/>
              <w:bottom w:w="100" w:type="dxa"/>
              <w:right w:w="100" w:type="dxa"/>
            </w:tcMar>
            <w:vAlign w:val="bottom"/>
          </w:tcPr>
          <w:p w14:paraId="0159C57A" w14:textId="77777777" w:rsidR="00DE3EE8" w:rsidRPr="002B7E6B" w:rsidRDefault="00DE3EE8" w:rsidP="00E26C52">
            <w:r w:rsidRPr="002B7E6B">
              <w:t>201,251</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6BF98587" w14:textId="77777777" w:rsidR="00DE3EE8" w:rsidRPr="002B7E6B" w:rsidRDefault="00DE3EE8" w:rsidP="00E26C52">
            <w:r w:rsidRPr="002B7E6B">
              <w:t>172,443</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5E846C53" w14:textId="77777777" w:rsidR="00DE3EE8" w:rsidRPr="002B7E6B" w:rsidRDefault="00DE3EE8" w:rsidP="00E26C52">
            <w:r w:rsidRPr="002B7E6B">
              <w:t xml:space="preserve"> </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193CA145" w14:textId="77777777" w:rsidR="00DE3EE8" w:rsidRPr="002B7E6B" w:rsidRDefault="00DE3EE8" w:rsidP="00E26C52">
            <w:r w:rsidRPr="002B7E6B">
              <w:t xml:space="preserve"> </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460383DF" w14:textId="77777777" w:rsidR="00DE3EE8" w:rsidRPr="002B7E6B" w:rsidRDefault="00DE3EE8" w:rsidP="00E26C52">
            <w:r w:rsidRPr="002B7E6B">
              <w:t xml:space="preserve"> </w:t>
            </w:r>
          </w:p>
        </w:tc>
      </w:tr>
    </w:tbl>
    <w:p w14:paraId="25E6535F" w14:textId="4F68A4BB" w:rsidR="00DE3EE8" w:rsidRDefault="00DE3EE8" w:rsidP="00E26C52">
      <w:bookmarkStart w:id="95" w:name="_heading=h.gszpg2k3aneh" w:colFirst="0" w:colLast="0"/>
      <w:bookmarkEnd w:id="95"/>
      <w:r w:rsidRPr="002B7E6B">
        <w:lastRenderedPageBreak/>
        <w:t xml:space="preserve">For more </w:t>
      </w:r>
      <w:proofErr w:type="gramStart"/>
      <w:r w:rsidRPr="002B7E6B">
        <w:t>information</w:t>
      </w:r>
      <w:proofErr w:type="gramEnd"/>
      <w:r w:rsidRPr="002B7E6B">
        <w:t xml:space="preserve"> contact Cole Monnahan (</w:t>
      </w:r>
      <w:hyperlink r:id="rId64">
        <w:r w:rsidRPr="002B7E6B">
          <w:rPr>
            <w:color w:val="1155CC"/>
            <w:u w:val="single"/>
          </w:rPr>
          <w:t>cole.monnahan@noaa.gov</w:t>
        </w:r>
      </w:hyperlink>
      <w:r w:rsidRPr="002B7E6B">
        <w:t>)</w:t>
      </w:r>
    </w:p>
    <w:p w14:paraId="7C8473EB" w14:textId="77777777" w:rsidR="00E26C52" w:rsidRPr="002B7E6B" w:rsidRDefault="00E26C52" w:rsidP="00E26C52"/>
    <w:p w14:paraId="10191F62" w14:textId="77777777" w:rsidR="00DE3EE8" w:rsidRPr="002B7E6B" w:rsidRDefault="00DE3EE8" w:rsidP="00DE3EE8">
      <w:pPr>
        <w:pStyle w:val="Heading3"/>
        <w:keepNext w:val="0"/>
        <w:keepLines w:val="0"/>
        <w:numPr>
          <w:ilvl w:val="0"/>
          <w:numId w:val="3"/>
        </w:numPr>
        <w:spacing w:before="0" w:after="0"/>
        <w:ind w:left="360"/>
        <w:rPr>
          <w:rFonts w:cs="Times New Roman"/>
          <w:sz w:val="22"/>
          <w:szCs w:val="22"/>
        </w:rPr>
      </w:pPr>
      <w:bookmarkStart w:id="96" w:name="_Toc131503842"/>
      <w:r w:rsidRPr="002B7E6B">
        <w:rPr>
          <w:rFonts w:cs="Times New Roman"/>
          <w:sz w:val="22"/>
          <w:szCs w:val="22"/>
        </w:rPr>
        <w:t>Pacific Whiting (hake)</w:t>
      </w:r>
      <w:bookmarkEnd w:id="96"/>
    </w:p>
    <w:p w14:paraId="2ED5AB19" w14:textId="77777777" w:rsidR="00DE3EE8" w:rsidRPr="002B7E6B" w:rsidRDefault="00DE3EE8" w:rsidP="00DE3EE8">
      <w:pPr>
        <w:rPr>
          <w:sz w:val="22"/>
          <w:szCs w:val="22"/>
        </w:rPr>
      </w:pPr>
    </w:p>
    <w:p w14:paraId="5611B646" w14:textId="77777777" w:rsidR="00DE3EE8" w:rsidRPr="002B7E6B" w:rsidRDefault="00DE3EE8" w:rsidP="00DE3EE8">
      <w:pPr>
        <w:rPr>
          <w:sz w:val="22"/>
          <w:szCs w:val="22"/>
        </w:rPr>
      </w:pPr>
      <w:r w:rsidRPr="002B7E6B">
        <w:rPr>
          <w:sz w:val="22"/>
          <w:szCs w:val="22"/>
        </w:rPr>
        <w:t>There are no hake fisheries in Alaska waters.</w:t>
      </w:r>
    </w:p>
    <w:p w14:paraId="008A6D41" w14:textId="77777777" w:rsidR="00DE3EE8" w:rsidRPr="002B7E6B" w:rsidRDefault="00DE3EE8" w:rsidP="00DE3EE8">
      <w:pPr>
        <w:rPr>
          <w:sz w:val="22"/>
          <w:szCs w:val="22"/>
        </w:rPr>
      </w:pPr>
    </w:p>
    <w:p w14:paraId="598E1793" w14:textId="77777777" w:rsidR="00DE3EE8" w:rsidRPr="002B7E6B" w:rsidRDefault="00DE3EE8" w:rsidP="00DE3EE8">
      <w:pPr>
        <w:pStyle w:val="Heading3"/>
        <w:keepNext w:val="0"/>
        <w:keepLines w:val="0"/>
        <w:numPr>
          <w:ilvl w:val="0"/>
          <w:numId w:val="3"/>
        </w:numPr>
        <w:spacing w:before="0" w:after="0"/>
        <w:ind w:left="270" w:hanging="270"/>
        <w:rPr>
          <w:rFonts w:cs="Times New Roman"/>
          <w:sz w:val="22"/>
          <w:szCs w:val="22"/>
        </w:rPr>
      </w:pPr>
      <w:r w:rsidRPr="002B7E6B">
        <w:rPr>
          <w:rFonts w:cs="Times New Roman"/>
          <w:sz w:val="22"/>
          <w:szCs w:val="22"/>
        </w:rPr>
        <w:t xml:space="preserve"> </w:t>
      </w:r>
      <w:bookmarkStart w:id="97" w:name="_Toc131503843"/>
      <w:r w:rsidRPr="002B7E6B">
        <w:rPr>
          <w:rFonts w:cs="Times New Roman"/>
          <w:sz w:val="22"/>
          <w:szCs w:val="22"/>
        </w:rPr>
        <w:t>Rockfish</w:t>
      </w:r>
      <w:bookmarkEnd w:id="97"/>
    </w:p>
    <w:p w14:paraId="3B2B4EC0" w14:textId="77777777" w:rsidR="00DE3EE8" w:rsidRPr="002B7E6B" w:rsidRDefault="00DE3EE8" w:rsidP="00DE3EE8">
      <w:pPr>
        <w:rPr>
          <w:sz w:val="22"/>
          <w:szCs w:val="22"/>
        </w:rPr>
      </w:pPr>
    </w:p>
    <w:p w14:paraId="0778F3B8" w14:textId="264CD0C0" w:rsidR="00DE3EE8" w:rsidRDefault="00DE3EE8" w:rsidP="002C1E2B">
      <w:pPr>
        <w:pStyle w:val="Heading4"/>
        <w:numPr>
          <w:ilvl w:val="3"/>
          <w:numId w:val="3"/>
        </w:numPr>
        <w:ind w:left="360"/>
        <w:rPr>
          <w:szCs w:val="22"/>
        </w:rPr>
      </w:pPr>
      <w:bookmarkStart w:id="98" w:name="_Toc131503844"/>
      <w:r w:rsidRPr="002B7E6B">
        <w:rPr>
          <w:szCs w:val="22"/>
        </w:rPr>
        <w:t>Research</w:t>
      </w:r>
      <w:bookmarkEnd w:id="98"/>
    </w:p>
    <w:p w14:paraId="331C7C1D" w14:textId="77777777" w:rsidR="008F75DB" w:rsidRPr="008F75DB" w:rsidRDefault="008F75DB" w:rsidP="008F75DB"/>
    <w:p w14:paraId="462A96C3" w14:textId="7DA8B3F9" w:rsidR="00DE3EE8" w:rsidRDefault="00DE3EE8" w:rsidP="008F75DB">
      <w:pPr>
        <w:pStyle w:val="Heading5"/>
      </w:pPr>
      <w:bookmarkStart w:id="99" w:name="_Toc131503845"/>
      <w:r w:rsidRPr="002B7E6B">
        <w:t>Rockfish Condition and Reproductive Studies</w:t>
      </w:r>
      <w:r w:rsidR="0024271A">
        <w:t xml:space="preserve"> – RACE-GAP</w:t>
      </w:r>
      <w:r w:rsidRPr="002B7E6B">
        <w:t xml:space="preserve"> Kodiak</w:t>
      </w:r>
      <w:bookmarkEnd w:id="99"/>
    </w:p>
    <w:p w14:paraId="7EC6F438" w14:textId="77777777" w:rsidR="008F75DB" w:rsidRPr="008F75DB" w:rsidRDefault="008F75DB" w:rsidP="008F75DB"/>
    <w:p w14:paraId="0B43986C" w14:textId="77777777" w:rsidR="008F75DB" w:rsidRDefault="008F75DB" w:rsidP="008F75DB">
      <w:pPr>
        <w:shd w:val="clear" w:color="auto" w:fill="FFFFFF"/>
      </w:pPr>
      <w:r>
        <w:t xml:space="preserve">The development of accurate and logistically feasible methods to assess fish condition and reproductive success across the large spatial scales of the marine ecosystems of Alaska would be a valuable tool for assessing the importance of habitat for commercially important species. This research project is a collaborative effort with researchers from the EBS GAP group, the REFM Age and Growth Program (NOAA Strategic Initiative), and the Deep Sea Coral and Sponge Initiative. </w:t>
      </w:r>
    </w:p>
    <w:p w14:paraId="3B3B1072" w14:textId="77777777" w:rsidR="008F75DB" w:rsidRDefault="008F75DB" w:rsidP="008F75DB">
      <w:pPr>
        <w:spacing w:before="240" w:line="276" w:lineRule="auto"/>
      </w:pPr>
      <w:r>
        <w:t xml:space="preserve">Fish condition </w:t>
      </w:r>
      <w:proofErr w:type="gramStart"/>
      <w:r>
        <w:t>is generally thought</w:t>
      </w:r>
      <w:proofErr w:type="gramEnd"/>
      <w:r>
        <w:t xml:space="preserve"> to be a predictor of fish productivity and has been directly linked to reproductive success for some species (Kjesbu et al. 1991, Lambert and Dutil 2000). By measuring both condition indices and reproductive parameters (maturity, skipped spawning, and fecundity), it is possible to quantify the link between fish condition and reproductive status and success. Reproduction is energetically costly, and there is evidence that fish in better condition or that have higher energy reserves are more reproductively successful. The realization of maturity </w:t>
      </w:r>
      <w:proofErr w:type="gramStart"/>
      <w:r>
        <w:t>is related</w:t>
      </w:r>
      <w:proofErr w:type="gramEnd"/>
      <w:r>
        <w:t xml:space="preserve"> to greater body condition in some species (Henderson and Morgan 2002, Feiner et al. 2019). Improved fish condition </w:t>
      </w:r>
      <w:proofErr w:type="gramStart"/>
      <w:r>
        <w:t>is also linked</w:t>
      </w:r>
      <w:proofErr w:type="gramEnd"/>
      <w:r>
        <w:t xml:space="preserve"> to increased fecundity, earlier spawning, and eggs with larger energy reserves (Gagliano and McCormick 2007, Donelson et al. 2008, Feiner et al. 2019). Spawning omission </w:t>
      </w:r>
      <w:proofErr w:type="gramStart"/>
      <w:r>
        <w:t>has also been related</w:t>
      </w:r>
      <w:proofErr w:type="gramEnd"/>
      <w:r>
        <w:t xml:space="preserve"> to fish condition and low energy reserves (Rideout and Rose, 2006, Skjaeraasen et al. 2012, McBride et al. 2015). Several rockfish species in Alaska waters have been shown to exhibit some reproductive failure or skipped spawning (Conrath 2017, 2019), but it is unknown if body condition relates to this reduction in spawning effort.</w:t>
      </w:r>
    </w:p>
    <w:p w14:paraId="63F2BB81" w14:textId="3F1E16C0" w:rsidR="008F75DB" w:rsidRDefault="008F75DB" w:rsidP="008F75DB">
      <w:pPr>
        <w:spacing w:before="240" w:line="276" w:lineRule="auto"/>
        <w:rPr>
          <w:color w:val="222222"/>
        </w:rPr>
      </w:pPr>
      <w:r>
        <w:rPr>
          <w:color w:val="222222"/>
        </w:rPr>
        <w:t xml:space="preserve">Spatial differences in condition have been related to both water temperature and depth (Lloret and Ratz 2000, Chouinard and Swain 2002), but differences due to the presence of different substrate types are not as well documented. Rockfish species are frequently associated with coral and sponge habitat in both the Gulf of Alaska and the Aleutian Islands (Rooper et al. 2007, Rooper and Martin 2011, Conrath et al. 2019). It is often assumed structure-forming invertebrates provide a valuable habitat </w:t>
      </w:r>
      <w:proofErr w:type="gramStart"/>
      <w:r>
        <w:rPr>
          <w:color w:val="222222"/>
        </w:rPr>
        <w:t>that results</w:t>
      </w:r>
      <w:proofErr w:type="gramEnd"/>
      <w:r>
        <w:rPr>
          <w:color w:val="222222"/>
        </w:rPr>
        <w:t xml:space="preserve"> in higher productivity of these species. A previous study in the Gulf of Alaska examining rockfish abundance and community structure in different habitats found that rockfish densities were highest in complex habitat, but additional value of habitat containing structure-forming invertebrates </w:t>
      </w:r>
      <w:proofErr w:type="gramStart"/>
      <w:r>
        <w:rPr>
          <w:color w:val="222222"/>
        </w:rPr>
        <w:t>was not shown</w:t>
      </w:r>
      <w:proofErr w:type="gramEnd"/>
      <w:r>
        <w:rPr>
          <w:color w:val="222222"/>
        </w:rPr>
        <w:t xml:space="preserve"> (Conrath et al. 2019). Similarly, Rooper et al. (2019) found that rockfish in the eastern Bering Sea and the Aleutian </w:t>
      </w:r>
      <w:r>
        <w:rPr>
          <w:color w:val="222222"/>
        </w:rPr>
        <w:lastRenderedPageBreak/>
        <w:t xml:space="preserve">Islands had an affinity for coral and sponge habitats, but that any structure is important for rockfish and both abiotic and biotic structure was associated with increased rockfish densities. A more comprehensive examination of fish condition and reproductive success across large spatial scales within the Gulf of Alaska and the Aleutian Islands will support the further examination of the value of coral and sponge habitats within these large marine ecosystems. </w:t>
      </w:r>
    </w:p>
    <w:p w14:paraId="005BA71C" w14:textId="77777777" w:rsidR="008F75DB" w:rsidRDefault="008F75DB" w:rsidP="008F75DB">
      <w:pPr>
        <w:spacing w:before="240" w:line="276" w:lineRule="auto"/>
        <w:rPr>
          <w:color w:val="222222"/>
        </w:rPr>
      </w:pPr>
    </w:p>
    <w:p w14:paraId="721038C0" w14:textId="755F46E9" w:rsidR="008F75DB" w:rsidRDefault="008F75DB" w:rsidP="008F75DB">
      <w:pPr>
        <w:pStyle w:val="Heading5"/>
      </w:pPr>
      <w:bookmarkStart w:id="100" w:name="_Toc131503846"/>
      <w:r>
        <w:t xml:space="preserve">Northern Rockfishes and Pacific </w:t>
      </w:r>
      <w:proofErr w:type="gramStart"/>
      <w:r w:rsidR="00836085">
        <w:t>o</w:t>
      </w:r>
      <w:r>
        <w:t>cean</w:t>
      </w:r>
      <w:proofErr w:type="gramEnd"/>
      <w:r>
        <w:t xml:space="preserve"> </w:t>
      </w:r>
      <w:r w:rsidR="00836085">
        <w:t>p</w:t>
      </w:r>
      <w:r>
        <w:t>erch – RACE</w:t>
      </w:r>
      <w:r w:rsidR="00E404E3">
        <w:t>-GAP</w:t>
      </w:r>
      <w:bookmarkEnd w:id="100"/>
    </w:p>
    <w:p w14:paraId="7756FBEB" w14:textId="77777777" w:rsidR="008F75DB" w:rsidRPr="008F75DB" w:rsidRDefault="008F75DB" w:rsidP="008F75DB"/>
    <w:p w14:paraId="735E055F" w14:textId="77777777" w:rsidR="008F75DB" w:rsidRDefault="008F75DB" w:rsidP="008F75DB">
      <w:pPr>
        <w:shd w:val="clear" w:color="auto" w:fill="FFFFFF"/>
        <w:rPr>
          <w:color w:val="222222"/>
        </w:rPr>
      </w:pPr>
      <w:r>
        <w:rPr>
          <w:color w:val="222222"/>
        </w:rPr>
        <w:t xml:space="preserve">A project focused on developing an appropriate condition index for use during annual bottom trawl surveys, relating condition to reproductive success, and examining the relationship between these parameters and habitat </w:t>
      </w:r>
      <w:proofErr w:type="gramStart"/>
      <w:r>
        <w:rPr>
          <w:color w:val="222222"/>
        </w:rPr>
        <w:t>was initiated</w:t>
      </w:r>
      <w:proofErr w:type="gramEnd"/>
      <w:r>
        <w:rPr>
          <w:color w:val="222222"/>
        </w:rPr>
        <w:t xml:space="preserve"> in 2021. During 2021, the sampling for this project </w:t>
      </w:r>
      <w:proofErr w:type="gramStart"/>
      <w:r>
        <w:rPr>
          <w:color w:val="222222"/>
        </w:rPr>
        <w:t>was focused</w:t>
      </w:r>
      <w:proofErr w:type="gramEnd"/>
      <w:r>
        <w:rPr>
          <w:color w:val="222222"/>
        </w:rPr>
        <w:t xml:space="preserve"> on developing the best method to examine fish condition during standardized annual bottom trawl surveys. Pacific </w:t>
      </w:r>
      <w:proofErr w:type="gramStart"/>
      <w:r>
        <w:rPr>
          <w:color w:val="222222"/>
        </w:rPr>
        <w:t>ocean</w:t>
      </w:r>
      <w:proofErr w:type="gramEnd"/>
      <w:r>
        <w:rPr>
          <w:color w:val="222222"/>
        </w:rPr>
        <w:t xml:space="preserve"> perch (</w:t>
      </w:r>
      <w:r>
        <w:rPr>
          <w:i/>
          <w:color w:val="222222"/>
        </w:rPr>
        <w:t>Sebastes alutus</w:t>
      </w:r>
      <w:r>
        <w:rPr>
          <w:color w:val="222222"/>
        </w:rPr>
        <w:t>) and northern rockfish (</w:t>
      </w:r>
      <w:r>
        <w:rPr>
          <w:i/>
          <w:color w:val="222222"/>
        </w:rPr>
        <w:t>S. polyspinis</w:t>
      </w:r>
      <w:r>
        <w:rPr>
          <w:color w:val="222222"/>
        </w:rPr>
        <w:t xml:space="preserve">) were sampled for this project during the Alaska Fisheries Science Center (AFSC) 2021 Gulf of Alaska Bottom Trawl Survey. Fifty rockfish of each species </w:t>
      </w:r>
      <w:proofErr w:type="gramStart"/>
      <w:r>
        <w:rPr>
          <w:color w:val="222222"/>
        </w:rPr>
        <w:t>were sampled</w:t>
      </w:r>
      <w:proofErr w:type="gramEnd"/>
      <w:r>
        <w:rPr>
          <w:color w:val="222222"/>
        </w:rPr>
        <w:t xml:space="preserve"> throughout the survey area. Each sampled rockfish </w:t>
      </w:r>
      <w:proofErr w:type="gramStart"/>
      <w:r>
        <w:rPr>
          <w:color w:val="222222"/>
        </w:rPr>
        <w:t>was measured</w:t>
      </w:r>
      <w:proofErr w:type="gramEnd"/>
      <w:r>
        <w:rPr>
          <w:color w:val="222222"/>
        </w:rPr>
        <w:t xml:space="preserve"> for length, total weight, liver weight, and two types of fat meters were used to estimate lipid content. The condition indices developed form this data will be validated using energy density values measured with proximate composition and bomb calorimetry. The fish samples </w:t>
      </w:r>
      <w:proofErr w:type="gramStart"/>
      <w:r>
        <w:rPr>
          <w:color w:val="222222"/>
        </w:rPr>
        <w:t>have been transported</w:t>
      </w:r>
      <w:proofErr w:type="gramEnd"/>
      <w:r>
        <w:rPr>
          <w:color w:val="222222"/>
        </w:rPr>
        <w:t xml:space="preserve"> to the Auke Bay Laboratories in Juneau and these bioenergetics analyses will occur in 2023. </w:t>
      </w:r>
    </w:p>
    <w:p w14:paraId="790115CE" w14:textId="77777777" w:rsidR="008F75DB" w:rsidRDefault="008F75DB" w:rsidP="008F75DB">
      <w:pPr>
        <w:shd w:val="clear" w:color="auto" w:fill="FFFFFF"/>
        <w:rPr>
          <w:color w:val="222222"/>
        </w:rPr>
      </w:pPr>
      <w:r>
        <w:rPr>
          <w:color w:val="222222"/>
        </w:rPr>
        <w:t xml:space="preserve"> </w:t>
      </w:r>
    </w:p>
    <w:p w14:paraId="39AE6943" w14:textId="77777777" w:rsidR="008F75DB" w:rsidRDefault="008F75DB" w:rsidP="008F75DB">
      <w:pPr>
        <w:shd w:val="clear" w:color="auto" w:fill="FFFFFF"/>
      </w:pPr>
      <w:r>
        <w:t xml:space="preserve">The focus of sampling in 2022 was collecting fish condition and reproductive samples for Pacific </w:t>
      </w:r>
      <w:proofErr w:type="gramStart"/>
      <w:r>
        <w:t>ocean</w:t>
      </w:r>
      <w:proofErr w:type="gramEnd"/>
      <w:r>
        <w:t xml:space="preserve"> perch and northern rockfish in or near areas of high concentrations of structure forming invertebrates and areas without structure forming invertebrates. During the 2022 Aleutian Bottom Trawl Survey, 390 Pacific </w:t>
      </w:r>
      <w:proofErr w:type="gramStart"/>
      <w:r>
        <w:t>ocean</w:t>
      </w:r>
      <w:proofErr w:type="gramEnd"/>
      <w:r>
        <w:t xml:space="preserve"> perch and 163 northern rockfish were sampled.  In addition to the measurements listed above, ovaries </w:t>
      </w:r>
      <w:proofErr w:type="gramStart"/>
      <w:r>
        <w:t>were sampled</w:t>
      </w:r>
      <w:proofErr w:type="gramEnd"/>
      <w:r>
        <w:t xml:space="preserve"> from female fish and otoliths were collected from all fish. The maturity status and fecundity of these samples </w:t>
      </w:r>
      <w:proofErr w:type="gramStart"/>
      <w:r>
        <w:t>will be evaluated</w:t>
      </w:r>
      <w:proofErr w:type="gramEnd"/>
      <w:r>
        <w:t xml:space="preserve"> during 2023. The results from the data </w:t>
      </w:r>
      <w:proofErr w:type="gramStart"/>
      <w:r>
        <w:t>will be utilized</w:t>
      </w:r>
      <w:proofErr w:type="gramEnd"/>
      <w:r>
        <w:t xml:space="preserve"> to assess the efficiency and accuracy of fish condition indices and to develop further sampling plans for 2024 in the Aleutian Islands. </w:t>
      </w:r>
    </w:p>
    <w:p w14:paraId="7308F8B1" w14:textId="634655EA" w:rsidR="008F75DB" w:rsidRDefault="008F75DB" w:rsidP="008F75DB">
      <w:pPr>
        <w:spacing w:before="240" w:line="276" w:lineRule="auto"/>
      </w:pPr>
      <w:r>
        <w:t>For further information, please contact Christina Conrath (907) 481-1732</w:t>
      </w:r>
    </w:p>
    <w:p w14:paraId="3A3997D6" w14:textId="77777777" w:rsidR="008F75DB" w:rsidRDefault="008F75DB" w:rsidP="008F75DB"/>
    <w:p w14:paraId="5663B765" w14:textId="1FDBE10A" w:rsidR="00DE3EE8" w:rsidRDefault="00DE3EE8" w:rsidP="008F75DB">
      <w:pPr>
        <w:pStyle w:val="Heading5"/>
      </w:pPr>
      <w:bookmarkStart w:id="101" w:name="_Toc131503847"/>
      <w:r w:rsidRPr="002B7E6B">
        <w:t xml:space="preserve">Whole genome resequencing of rockfish </w:t>
      </w:r>
      <w:r w:rsidR="008F75DB">
        <w:t>–</w:t>
      </w:r>
      <w:r w:rsidRPr="002B7E6B">
        <w:t xml:space="preserve"> ABL</w:t>
      </w:r>
      <w:bookmarkEnd w:id="101"/>
    </w:p>
    <w:p w14:paraId="01783326" w14:textId="77777777" w:rsidR="008F75DB" w:rsidRPr="008F75DB" w:rsidRDefault="008F75DB" w:rsidP="008F75DB"/>
    <w:p w14:paraId="4A7F7848" w14:textId="77777777" w:rsidR="00DE3EE8" w:rsidRPr="002B7E6B" w:rsidRDefault="00DE3EE8" w:rsidP="00DE3EE8">
      <w:pPr>
        <w:widowControl/>
        <w:shd w:val="clear" w:color="auto" w:fill="FFFFFF"/>
        <w:spacing w:after="160"/>
        <w:rPr>
          <w:sz w:val="22"/>
          <w:szCs w:val="22"/>
        </w:rPr>
      </w:pPr>
      <w:r w:rsidRPr="002B7E6B">
        <w:rPr>
          <w:sz w:val="22"/>
          <w:szCs w:val="22"/>
        </w:rPr>
        <w:t xml:space="preserve">The genetics group at ABL is using whole genome resequencing to understand population structure in a number of groundfish and crab species including various rockfish, sablefish, king crab, and Pacific cod. The focus of this work will </w:t>
      </w:r>
      <w:proofErr w:type="gramStart"/>
      <w:r w:rsidRPr="002B7E6B">
        <w:rPr>
          <w:sz w:val="22"/>
          <w:szCs w:val="22"/>
        </w:rPr>
        <w:t>be understanding</w:t>
      </w:r>
      <w:proofErr w:type="gramEnd"/>
      <w:r w:rsidRPr="002B7E6B">
        <w:rPr>
          <w:sz w:val="22"/>
          <w:szCs w:val="22"/>
        </w:rPr>
        <w:t xml:space="preserve"> the population structure of these species. Sablefish were collected from Washington to the central Aleutian Islands. Analysis showed no structure, reinforcing results from Jasonowicz et al. 2017. Analysis of red king crab showed similar structure as previous microsatellite studies. Analysis of Pacific Ocean perch results revealed that there </w:t>
      </w:r>
      <w:proofErr w:type="gramStart"/>
      <w:r w:rsidRPr="002B7E6B">
        <w:rPr>
          <w:sz w:val="22"/>
          <w:szCs w:val="22"/>
        </w:rPr>
        <w:t>may</w:t>
      </w:r>
      <w:proofErr w:type="gramEnd"/>
      <w:r w:rsidRPr="002B7E6B">
        <w:rPr>
          <w:sz w:val="22"/>
          <w:szCs w:val="22"/>
        </w:rPr>
        <w:t xml:space="preserve"> be more than one species. This </w:t>
      </w:r>
      <w:proofErr w:type="gramStart"/>
      <w:r w:rsidRPr="002B7E6B">
        <w:rPr>
          <w:sz w:val="22"/>
          <w:szCs w:val="22"/>
        </w:rPr>
        <w:t>is being further investigated</w:t>
      </w:r>
      <w:proofErr w:type="gramEnd"/>
      <w:r w:rsidRPr="002B7E6B">
        <w:rPr>
          <w:sz w:val="22"/>
          <w:szCs w:val="22"/>
        </w:rPr>
        <w:t xml:space="preserve">. A new high throughput GTseq panel </w:t>
      </w:r>
      <w:proofErr w:type="gramStart"/>
      <w:r w:rsidRPr="002B7E6B">
        <w:rPr>
          <w:sz w:val="22"/>
          <w:szCs w:val="22"/>
        </w:rPr>
        <w:t>has been developed</w:t>
      </w:r>
      <w:proofErr w:type="gramEnd"/>
      <w:r w:rsidRPr="002B7E6B">
        <w:rPr>
          <w:sz w:val="22"/>
          <w:szCs w:val="22"/>
        </w:rPr>
        <w:t xml:space="preserve"> for Pacific cod that will be used to understand stock-specific distributions.</w:t>
      </w:r>
    </w:p>
    <w:p w14:paraId="17362CCA" w14:textId="77777777" w:rsidR="00DE3EE8" w:rsidRPr="002B7E6B" w:rsidRDefault="00DE3EE8" w:rsidP="00DE3EE8">
      <w:pPr>
        <w:spacing w:before="240" w:after="240"/>
        <w:rPr>
          <w:sz w:val="22"/>
          <w:szCs w:val="22"/>
        </w:rPr>
      </w:pPr>
      <w:r w:rsidRPr="002B7E6B">
        <w:rPr>
          <w:sz w:val="22"/>
          <w:szCs w:val="22"/>
        </w:rPr>
        <w:t>For more information, contact Wes.Larson@noaa.gov.</w:t>
      </w:r>
    </w:p>
    <w:p w14:paraId="661FF348" w14:textId="5CAF2F51" w:rsidR="00DE3EE8" w:rsidRPr="002B7E6B" w:rsidRDefault="00DE3EE8" w:rsidP="002C1E2B">
      <w:pPr>
        <w:pStyle w:val="Heading4"/>
        <w:numPr>
          <w:ilvl w:val="3"/>
          <w:numId w:val="3"/>
        </w:numPr>
        <w:ind w:left="360"/>
        <w:rPr>
          <w:szCs w:val="22"/>
        </w:rPr>
      </w:pPr>
      <w:bookmarkStart w:id="102" w:name="_Toc131503848"/>
      <w:r w:rsidRPr="002B7E6B">
        <w:rPr>
          <w:szCs w:val="22"/>
        </w:rPr>
        <w:t>Assessment</w:t>
      </w:r>
      <w:bookmarkEnd w:id="102"/>
    </w:p>
    <w:p w14:paraId="72C5066B" w14:textId="77777777" w:rsidR="00DE3EE8" w:rsidRPr="002B7E6B" w:rsidRDefault="00DE3EE8" w:rsidP="00DE3EE8">
      <w:pPr>
        <w:rPr>
          <w:sz w:val="22"/>
          <w:szCs w:val="22"/>
        </w:rPr>
      </w:pPr>
    </w:p>
    <w:p w14:paraId="0B941AFB" w14:textId="76DAE414" w:rsidR="00DE3EE8" w:rsidRPr="008F75DB" w:rsidRDefault="00DE3EE8" w:rsidP="008F75DB">
      <w:pPr>
        <w:pStyle w:val="Heading5"/>
      </w:pPr>
      <w:bookmarkStart w:id="103" w:name="_Toc131503849"/>
      <w:r w:rsidRPr="008F75DB">
        <w:t xml:space="preserve">Pacific </w:t>
      </w:r>
      <w:proofErr w:type="gramStart"/>
      <w:r w:rsidR="00836085">
        <w:t>o</w:t>
      </w:r>
      <w:r w:rsidRPr="008F75DB">
        <w:t>cean</w:t>
      </w:r>
      <w:proofErr w:type="gramEnd"/>
      <w:r w:rsidRPr="008F75DB">
        <w:t xml:space="preserve"> </w:t>
      </w:r>
      <w:r w:rsidR="00836085">
        <w:t>p</w:t>
      </w:r>
      <w:r w:rsidRPr="008F75DB">
        <w:t>erch (POP) – Bering Sea and Aleutian Islands</w:t>
      </w:r>
      <w:r w:rsidR="0024271A">
        <w:t xml:space="preserve"> – </w:t>
      </w:r>
      <w:r w:rsidRPr="008F75DB">
        <w:t>REFM</w:t>
      </w:r>
      <w:bookmarkEnd w:id="103"/>
    </w:p>
    <w:p w14:paraId="4BDBB612" w14:textId="77777777" w:rsidR="00DE3EE8" w:rsidRPr="002B7E6B" w:rsidRDefault="00DE3EE8" w:rsidP="00DE3EE8">
      <w:pPr>
        <w:rPr>
          <w:sz w:val="22"/>
          <w:szCs w:val="22"/>
        </w:rPr>
      </w:pPr>
      <w:r w:rsidRPr="002B7E6B">
        <w:rPr>
          <w:sz w:val="22"/>
          <w:szCs w:val="22"/>
        </w:rPr>
        <w:t xml:space="preserve">In 2005, BSAI rockfish </w:t>
      </w:r>
      <w:proofErr w:type="gramStart"/>
      <w:r w:rsidRPr="002B7E6B">
        <w:rPr>
          <w:sz w:val="22"/>
          <w:szCs w:val="22"/>
        </w:rPr>
        <w:t>were moved</w:t>
      </w:r>
      <w:proofErr w:type="gramEnd"/>
      <w:r w:rsidRPr="002B7E6B">
        <w:rPr>
          <w:sz w:val="22"/>
          <w:szCs w:val="22"/>
        </w:rPr>
        <w:t xml:space="preserve"> to a biennial assessment schedule with full assessments in even years to coincide with the occurrence of trawl surveys in the Aleutian Islands (AI) and the eastern Bering Sea (EBS) slope. A full assessment </w:t>
      </w:r>
      <w:proofErr w:type="gramStart"/>
      <w:r w:rsidRPr="002B7E6B">
        <w:rPr>
          <w:sz w:val="22"/>
          <w:szCs w:val="22"/>
        </w:rPr>
        <w:t>was conducted</w:t>
      </w:r>
      <w:proofErr w:type="gramEnd"/>
      <w:r w:rsidRPr="002B7E6B">
        <w:rPr>
          <w:sz w:val="22"/>
          <w:szCs w:val="22"/>
        </w:rPr>
        <w:t xml:space="preserve"> in 2022. The age-structured assessment implemented in AD Model Builder was unchanged from the 2020 stock assessment. Changes to the input data included updated catch data through 2021, projected 2022-2024 catch estimates, 2022 Aleutian Islands (AI) survey biomass estimate and length compositions, 2020 and 2021 fishery age composition, and reweighted age and length data using the iterative reweighting procedure (McAllister-Ianelli method).</w:t>
      </w:r>
    </w:p>
    <w:p w14:paraId="46E4B4CB" w14:textId="77777777" w:rsidR="00DE3EE8" w:rsidRPr="002B7E6B" w:rsidRDefault="00DE3EE8" w:rsidP="00DE3EE8">
      <w:pPr>
        <w:rPr>
          <w:sz w:val="22"/>
          <w:szCs w:val="22"/>
        </w:rPr>
      </w:pPr>
    </w:p>
    <w:p w14:paraId="4EF8AAEF" w14:textId="77777777" w:rsidR="00DE3EE8" w:rsidRPr="002B7E6B" w:rsidRDefault="00DE3EE8" w:rsidP="00DE3EE8">
      <w:pPr>
        <w:rPr>
          <w:sz w:val="22"/>
          <w:szCs w:val="22"/>
        </w:rPr>
      </w:pPr>
      <w:r w:rsidRPr="002B7E6B">
        <w:rPr>
          <w:sz w:val="22"/>
          <w:szCs w:val="22"/>
        </w:rPr>
        <w:t xml:space="preserve">The high survey biomass estimates over the past five years have contributed to a substantial increase in estimated stock size in recent years; however, there remains a poor residual pattern in the fit to the AI survey index. The 2022 AI survey biomass estimate is a 5% increase from the 2018 AI survey biomass estimate. Spawning biomass </w:t>
      </w:r>
      <w:proofErr w:type="gramStart"/>
      <w:r w:rsidRPr="002B7E6B">
        <w:rPr>
          <w:sz w:val="22"/>
          <w:szCs w:val="22"/>
        </w:rPr>
        <w:t>is projected</w:t>
      </w:r>
      <w:proofErr w:type="gramEnd"/>
      <w:r w:rsidRPr="002B7E6B">
        <w:rPr>
          <w:sz w:val="22"/>
          <w:szCs w:val="22"/>
        </w:rPr>
        <w:t xml:space="preserve"> to be 359,074 t in 2023 and decline to 352,616 t in 2024. The recent year classes of 2011-2012, 2014, and 2016 appear to be relatively strong, but the retrospective analysis suggests that recruitment estimates for these year classes may not have stabilized.</w:t>
      </w:r>
    </w:p>
    <w:p w14:paraId="34C26ED6" w14:textId="77777777" w:rsidR="00DE3EE8" w:rsidRPr="002B7E6B" w:rsidRDefault="00DE3EE8" w:rsidP="00DE3EE8">
      <w:pPr>
        <w:rPr>
          <w:sz w:val="22"/>
          <w:szCs w:val="22"/>
        </w:rPr>
      </w:pPr>
    </w:p>
    <w:p w14:paraId="2222E3AE" w14:textId="77777777" w:rsidR="00DE3EE8" w:rsidRPr="002B7E6B" w:rsidRDefault="00DE3EE8" w:rsidP="00DE3EE8">
      <w:pPr>
        <w:rPr>
          <w:sz w:val="22"/>
          <w:szCs w:val="22"/>
        </w:rPr>
      </w:pPr>
      <w:r w:rsidRPr="002B7E6B">
        <w:rPr>
          <w:sz w:val="22"/>
          <w:szCs w:val="22"/>
        </w:rPr>
        <w:t xml:space="preserve">The updated point estimates of </w:t>
      </w:r>
      <w:proofErr w:type="gramStart"/>
      <w:r w:rsidRPr="002B7E6B">
        <w:rPr>
          <w:sz w:val="22"/>
          <w:szCs w:val="22"/>
        </w:rPr>
        <w:t>B</w:t>
      </w:r>
      <w:r w:rsidRPr="002B7E6B">
        <w:rPr>
          <w:sz w:val="22"/>
          <w:szCs w:val="22"/>
          <w:vertAlign w:val="subscript"/>
        </w:rPr>
        <w:t>40%</w:t>
      </w:r>
      <w:proofErr w:type="gramEnd"/>
      <w:r w:rsidRPr="002B7E6B">
        <w:rPr>
          <w:sz w:val="22"/>
          <w:szCs w:val="22"/>
        </w:rPr>
        <w:t>, F</w:t>
      </w:r>
      <w:r w:rsidRPr="002B7E6B">
        <w:rPr>
          <w:sz w:val="22"/>
          <w:szCs w:val="22"/>
          <w:vertAlign w:val="subscript"/>
        </w:rPr>
        <w:t>40%</w:t>
      </w:r>
      <w:r w:rsidRPr="002B7E6B">
        <w:rPr>
          <w:sz w:val="22"/>
          <w:szCs w:val="22"/>
        </w:rPr>
        <w:t>, and F</w:t>
      </w:r>
      <w:r w:rsidRPr="002B7E6B">
        <w:rPr>
          <w:sz w:val="22"/>
          <w:szCs w:val="22"/>
          <w:vertAlign w:val="subscript"/>
        </w:rPr>
        <w:t>35%</w:t>
      </w:r>
      <w:r w:rsidRPr="002B7E6B">
        <w:rPr>
          <w:sz w:val="22"/>
          <w:szCs w:val="22"/>
        </w:rPr>
        <w:t xml:space="preserve"> are 261,050 t, 0.074, and 0.089, respectively. The maximum permissible value of F</w:t>
      </w:r>
      <w:r w:rsidRPr="002B7E6B">
        <w:rPr>
          <w:sz w:val="22"/>
          <w:szCs w:val="22"/>
          <w:vertAlign w:val="subscript"/>
        </w:rPr>
        <w:t>ABC</w:t>
      </w:r>
      <w:r w:rsidRPr="002B7E6B">
        <w:rPr>
          <w:sz w:val="22"/>
          <w:szCs w:val="22"/>
        </w:rPr>
        <w:t xml:space="preserve"> is 0.074, which results in a 2023 ABC of 42,038 t and 2024 ABC of 41,322 t. The OFL fishing mortality rate is </w:t>
      </w:r>
      <w:proofErr w:type="gramStart"/>
      <w:r w:rsidRPr="002B7E6B">
        <w:rPr>
          <w:sz w:val="22"/>
          <w:szCs w:val="22"/>
        </w:rPr>
        <w:t>0.089 which</w:t>
      </w:r>
      <w:proofErr w:type="gramEnd"/>
      <w:r w:rsidRPr="002B7E6B">
        <w:rPr>
          <w:sz w:val="22"/>
          <w:szCs w:val="22"/>
        </w:rPr>
        <w:t xml:space="preserve"> results in a 2023 OFL of 50,133 t and 2024 OFL of 49,279 t.</w:t>
      </w:r>
    </w:p>
    <w:p w14:paraId="2F855F2E" w14:textId="77777777" w:rsidR="00DE3EE8" w:rsidRPr="002B7E6B" w:rsidRDefault="00DE3EE8" w:rsidP="00DE3EE8">
      <w:pPr>
        <w:rPr>
          <w:sz w:val="22"/>
          <w:szCs w:val="22"/>
        </w:rPr>
      </w:pPr>
    </w:p>
    <w:p w14:paraId="2AA140CD" w14:textId="77777777" w:rsidR="00DE3EE8" w:rsidRPr="002B7E6B" w:rsidRDefault="00DE3EE8" w:rsidP="00DE3EE8">
      <w:pPr>
        <w:rPr>
          <w:sz w:val="22"/>
          <w:szCs w:val="22"/>
        </w:rPr>
      </w:pPr>
      <w:r w:rsidRPr="002B7E6B">
        <w:rPr>
          <w:sz w:val="22"/>
          <w:szCs w:val="22"/>
        </w:rPr>
        <w:t xml:space="preserve">The ABC is set regionally based on the proportions in combined survey biomass as follows (values are for 2023): EBS = 11,903 t, Eastern Aleutians (Area 541) = 8,152 t, Central Aleutians (Area 542) = 5,648 </w:t>
      </w:r>
      <w:proofErr w:type="gramStart"/>
      <w:r w:rsidRPr="002B7E6B">
        <w:rPr>
          <w:sz w:val="22"/>
          <w:szCs w:val="22"/>
        </w:rPr>
        <w:t>t,</w:t>
      </w:r>
      <w:proofErr w:type="gramEnd"/>
      <w:r w:rsidRPr="002B7E6B">
        <w:rPr>
          <w:sz w:val="22"/>
          <w:szCs w:val="22"/>
        </w:rPr>
        <w:t xml:space="preserve"> and Western Aleutians (Area 543) = 16,335 t. The recommended OFLs for 2023 and 2024 </w:t>
      </w:r>
      <w:proofErr w:type="gramStart"/>
      <w:r w:rsidRPr="002B7E6B">
        <w:rPr>
          <w:sz w:val="22"/>
          <w:szCs w:val="22"/>
        </w:rPr>
        <w:t>are not regionally apportioned</w:t>
      </w:r>
      <w:proofErr w:type="gramEnd"/>
      <w:r w:rsidRPr="002B7E6B">
        <w:rPr>
          <w:sz w:val="22"/>
          <w:szCs w:val="22"/>
        </w:rPr>
        <w:t>.</w:t>
      </w:r>
    </w:p>
    <w:p w14:paraId="073FD131" w14:textId="77777777" w:rsidR="00DE3EE8" w:rsidRPr="002B7E6B" w:rsidRDefault="00DE3EE8" w:rsidP="00DE3EE8">
      <w:pPr>
        <w:rPr>
          <w:sz w:val="22"/>
          <w:szCs w:val="22"/>
        </w:rPr>
      </w:pPr>
    </w:p>
    <w:tbl>
      <w:tblPr>
        <w:tblW w:w="9629" w:type="dxa"/>
        <w:tblBorders>
          <w:top w:val="nil"/>
          <w:left w:val="nil"/>
          <w:bottom w:val="nil"/>
          <w:right w:val="nil"/>
          <w:insideH w:val="nil"/>
          <w:insideV w:val="nil"/>
        </w:tblBorders>
        <w:tblLayout w:type="fixed"/>
        <w:tblLook w:val="0600" w:firstRow="0" w:lastRow="0" w:firstColumn="0" w:lastColumn="0" w:noHBand="1" w:noVBand="1"/>
      </w:tblPr>
      <w:tblGrid>
        <w:gridCol w:w="2597"/>
        <w:gridCol w:w="1240"/>
        <w:gridCol w:w="1240"/>
        <w:gridCol w:w="1138"/>
        <w:gridCol w:w="1138"/>
        <w:gridCol w:w="1138"/>
        <w:gridCol w:w="1138"/>
      </w:tblGrid>
      <w:tr w:rsidR="00DE3EE8" w:rsidRPr="002B7E6B" w14:paraId="3705D183" w14:textId="77777777" w:rsidTr="005A5ABD">
        <w:trPr>
          <w:trHeight w:val="800"/>
        </w:trPr>
        <w:tc>
          <w:tcPr>
            <w:tcW w:w="2597"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3648FAAD" w14:textId="77777777" w:rsidR="00DE3EE8" w:rsidRPr="002B7E6B" w:rsidRDefault="00DE3EE8" w:rsidP="005A5ABD">
            <w:pPr>
              <w:rPr>
                <w:b/>
                <w:sz w:val="22"/>
                <w:szCs w:val="22"/>
              </w:rPr>
            </w:pPr>
            <w:r w:rsidRPr="002B7E6B">
              <w:rPr>
                <w:b/>
                <w:sz w:val="22"/>
                <w:szCs w:val="22"/>
              </w:rPr>
              <w:t>Area</w:t>
            </w:r>
          </w:p>
        </w:tc>
        <w:tc>
          <w:tcPr>
            <w:tcW w:w="1240"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28C58954" w14:textId="77777777" w:rsidR="00DE3EE8" w:rsidRPr="002B7E6B" w:rsidRDefault="00DE3EE8" w:rsidP="005A5ABD">
            <w:pPr>
              <w:rPr>
                <w:b/>
                <w:sz w:val="22"/>
                <w:szCs w:val="22"/>
              </w:rPr>
            </w:pPr>
            <w:r w:rsidRPr="002B7E6B">
              <w:rPr>
                <w:b/>
                <w:sz w:val="22"/>
                <w:szCs w:val="22"/>
              </w:rPr>
              <w:t>Year</w:t>
            </w:r>
          </w:p>
        </w:tc>
        <w:tc>
          <w:tcPr>
            <w:tcW w:w="1240"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3D32241F" w14:textId="77777777" w:rsidR="00DE3EE8" w:rsidRPr="002B7E6B" w:rsidRDefault="00DE3EE8" w:rsidP="005A5ABD">
            <w:pPr>
              <w:rPr>
                <w:b/>
                <w:sz w:val="22"/>
                <w:szCs w:val="22"/>
              </w:rPr>
            </w:pPr>
            <w:r w:rsidRPr="002B7E6B">
              <w:rPr>
                <w:b/>
                <w:sz w:val="22"/>
                <w:szCs w:val="22"/>
              </w:rPr>
              <w:t>Biomass (age 3+)</w:t>
            </w:r>
          </w:p>
        </w:tc>
        <w:tc>
          <w:tcPr>
            <w:tcW w:w="1138"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47A0937A" w14:textId="77777777" w:rsidR="00DE3EE8" w:rsidRPr="002B7E6B" w:rsidRDefault="00DE3EE8" w:rsidP="005A5ABD">
            <w:pPr>
              <w:rPr>
                <w:b/>
                <w:sz w:val="22"/>
                <w:szCs w:val="22"/>
              </w:rPr>
            </w:pPr>
            <w:r w:rsidRPr="002B7E6B">
              <w:rPr>
                <w:b/>
                <w:sz w:val="22"/>
                <w:szCs w:val="22"/>
              </w:rPr>
              <w:t>OFL</w:t>
            </w:r>
          </w:p>
        </w:tc>
        <w:tc>
          <w:tcPr>
            <w:tcW w:w="1138"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76467D78" w14:textId="77777777" w:rsidR="00DE3EE8" w:rsidRPr="002B7E6B" w:rsidRDefault="00DE3EE8" w:rsidP="005A5ABD">
            <w:pPr>
              <w:rPr>
                <w:b/>
                <w:sz w:val="22"/>
                <w:szCs w:val="22"/>
              </w:rPr>
            </w:pPr>
            <w:r w:rsidRPr="002B7E6B">
              <w:rPr>
                <w:b/>
                <w:sz w:val="22"/>
                <w:szCs w:val="22"/>
              </w:rPr>
              <w:t>ABC</w:t>
            </w:r>
          </w:p>
        </w:tc>
        <w:tc>
          <w:tcPr>
            <w:tcW w:w="1138"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09484FBF" w14:textId="77777777" w:rsidR="00DE3EE8" w:rsidRPr="002B7E6B" w:rsidRDefault="00DE3EE8" w:rsidP="005A5ABD">
            <w:pPr>
              <w:rPr>
                <w:b/>
                <w:sz w:val="22"/>
                <w:szCs w:val="22"/>
              </w:rPr>
            </w:pPr>
            <w:r w:rsidRPr="002B7E6B">
              <w:rPr>
                <w:b/>
                <w:sz w:val="22"/>
                <w:szCs w:val="22"/>
              </w:rPr>
              <w:t>TAC</w:t>
            </w:r>
          </w:p>
        </w:tc>
        <w:tc>
          <w:tcPr>
            <w:tcW w:w="1138"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3627FC46" w14:textId="77777777" w:rsidR="00DE3EE8" w:rsidRPr="002B7E6B" w:rsidRDefault="00DE3EE8" w:rsidP="005A5ABD">
            <w:pPr>
              <w:rPr>
                <w:b/>
                <w:sz w:val="22"/>
                <w:szCs w:val="22"/>
              </w:rPr>
            </w:pPr>
            <w:r w:rsidRPr="002B7E6B">
              <w:rPr>
                <w:b/>
                <w:sz w:val="22"/>
                <w:szCs w:val="22"/>
              </w:rPr>
              <w:t>Catch</w:t>
            </w:r>
          </w:p>
        </w:tc>
      </w:tr>
      <w:tr w:rsidR="00DE3EE8" w:rsidRPr="002B7E6B" w14:paraId="0EEE2952" w14:textId="77777777" w:rsidTr="005A5ABD">
        <w:trPr>
          <w:trHeight w:val="500"/>
        </w:trPr>
        <w:tc>
          <w:tcPr>
            <w:tcW w:w="2597" w:type="dxa"/>
            <w:tcBorders>
              <w:top w:val="nil"/>
              <w:left w:val="nil"/>
              <w:bottom w:val="nil"/>
              <w:right w:val="nil"/>
            </w:tcBorders>
            <w:tcMar>
              <w:top w:w="100" w:type="dxa"/>
              <w:left w:w="100" w:type="dxa"/>
              <w:bottom w:w="100" w:type="dxa"/>
              <w:right w:w="100" w:type="dxa"/>
            </w:tcMar>
            <w:vAlign w:val="bottom"/>
          </w:tcPr>
          <w:p w14:paraId="75435E63" w14:textId="77777777" w:rsidR="00DE3EE8" w:rsidRPr="002B7E6B" w:rsidRDefault="00DE3EE8" w:rsidP="005A5ABD">
            <w:pPr>
              <w:rPr>
                <w:sz w:val="22"/>
                <w:szCs w:val="22"/>
              </w:rPr>
            </w:pPr>
            <w:r w:rsidRPr="002B7E6B">
              <w:rPr>
                <w:sz w:val="22"/>
                <w:szCs w:val="22"/>
              </w:rPr>
              <w:t>BSAI</w:t>
            </w:r>
          </w:p>
        </w:tc>
        <w:tc>
          <w:tcPr>
            <w:tcW w:w="1240" w:type="dxa"/>
            <w:tcBorders>
              <w:top w:val="nil"/>
              <w:left w:val="nil"/>
              <w:bottom w:val="nil"/>
              <w:right w:val="nil"/>
            </w:tcBorders>
            <w:tcMar>
              <w:top w:w="100" w:type="dxa"/>
              <w:left w:w="100" w:type="dxa"/>
              <w:bottom w:w="100" w:type="dxa"/>
              <w:right w:w="100" w:type="dxa"/>
            </w:tcMar>
            <w:vAlign w:val="bottom"/>
          </w:tcPr>
          <w:p w14:paraId="3488E6F7" w14:textId="77777777" w:rsidR="00DE3EE8" w:rsidRPr="002B7E6B" w:rsidRDefault="00DE3EE8" w:rsidP="005A5ABD">
            <w:pPr>
              <w:rPr>
                <w:sz w:val="22"/>
                <w:szCs w:val="22"/>
              </w:rPr>
            </w:pPr>
            <w:r w:rsidRPr="002B7E6B">
              <w:rPr>
                <w:sz w:val="22"/>
                <w:szCs w:val="22"/>
              </w:rPr>
              <w:t>2021</w:t>
            </w:r>
          </w:p>
        </w:tc>
        <w:tc>
          <w:tcPr>
            <w:tcW w:w="1240" w:type="dxa"/>
            <w:tcBorders>
              <w:top w:val="nil"/>
              <w:left w:val="nil"/>
              <w:bottom w:val="nil"/>
              <w:right w:val="nil"/>
            </w:tcBorders>
            <w:tcMar>
              <w:top w:w="100" w:type="dxa"/>
              <w:left w:w="100" w:type="dxa"/>
              <w:bottom w:w="100" w:type="dxa"/>
              <w:right w:w="100" w:type="dxa"/>
            </w:tcMar>
            <w:vAlign w:val="bottom"/>
          </w:tcPr>
          <w:p w14:paraId="031153E5" w14:textId="77777777" w:rsidR="00DE3EE8" w:rsidRPr="002B7E6B" w:rsidRDefault="00DE3EE8" w:rsidP="005A5ABD">
            <w:pPr>
              <w:rPr>
                <w:sz w:val="22"/>
                <w:szCs w:val="22"/>
              </w:rPr>
            </w:pPr>
            <w:r w:rsidRPr="002B7E6B">
              <w:rPr>
                <w:sz w:val="22"/>
                <w:szCs w:val="22"/>
              </w:rPr>
              <w:t>756,011</w:t>
            </w:r>
          </w:p>
        </w:tc>
        <w:tc>
          <w:tcPr>
            <w:tcW w:w="1138" w:type="dxa"/>
            <w:tcBorders>
              <w:top w:val="nil"/>
              <w:left w:val="nil"/>
              <w:bottom w:val="nil"/>
              <w:right w:val="nil"/>
            </w:tcBorders>
            <w:tcMar>
              <w:top w:w="100" w:type="dxa"/>
              <w:left w:w="100" w:type="dxa"/>
              <w:bottom w:w="100" w:type="dxa"/>
              <w:right w:w="100" w:type="dxa"/>
            </w:tcMar>
            <w:vAlign w:val="bottom"/>
          </w:tcPr>
          <w:p w14:paraId="4ACC3A94" w14:textId="77777777" w:rsidR="00DE3EE8" w:rsidRPr="002B7E6B" w:rsidRDefault="00DE3EE8" w:rsidP="005A5ABD">
            <w:pPr>
              <w:rPr>
                <w:sz w:val="22"/>
                <w:szCs w:val="22"/>
              </w:rPr>
            </w:pPr>
            <w:r w:rsidRPr="002B7E6B">
              <w:rPr>
                <w:sz w:val="22"/>
                <w:szCs w:val="22"/>
              </w:rPr>
              <w:t>44,376</w:t>
            </w:r>
          </w:p>
        </w:tc>
        <w:tc>
          <w:tcPr>
            <w:tcW w:w="1138" w:type="dxa"/>
            <w:tcBorders>
              <w:top w:val="nil"/>
              <w:left w:val="nil"/>
              <w:bottom w:val="nil"/>
              <w:right w:val="nil"/>
            </w:tcBorders>
            <w:tcMar>
              <w:top w:w="100" w:type="dxa"/>
              <w:left w:w="100" w:type="dxa"/>
              <w:bottom w:w="100" w:type="dxa"/>
              <w:right w:w="100" w:type="dxa"/>
            </w:tcMar>
            <w:vAlign w:val="bottom"/>
          </w:tcPr>
          <w:p w14:paraId="17F01710" w14:textId="77777777" w:rsidR="00DE3EE8" w:rsidRPr="002B7E6B" w:rsidRDefault="00DE3EE8" w:rsidP="005A5ABD">
            <w:pPr>
              <w:rPr>
                <w:sz w:val="22"/>
                <w:szCs w:val="22"/>
              </w:rPr>
            </w:pPr>
            <w:r w:rsidRPr="002B7E6B">
              <w:rPr>
                <w:sz w:val="22"/>
                <w:szCs w:val="22"/>
              </w:rPr>
              <w:t>37,173</w:t>
            </w:r>
          </w:p>
        </w:tc>
        <w:tc>
          <w:tcPr>
            <w:tcW w:w="1138" w:type="dxa"/>
            <w:tcBorders>
              <w:top w:val="nil"/>
              <w:left w:val="nil"/>
              <w:bottom w:val="nil"/>
              <w:right w:val="nil"/>
            </w:tcBorders>
            <w:tcMar>
              <w:top w:w="100" w:type="dxa"/>
              <w:left w:w="100" w:type="dxa"/>
              <w:bottom w:w="100" w:type="dxa"/>
              <w:right w:w="100" w:type="dxa"/>
            </w:tcMar>
            <w:vAlign w:val="bottom"/>
          </w:tcPr>
          <w:p w14:paraId="70B17C61" w14:textId="77777777" w:rsidR="00DE3EE8" w:rsidRPr="002B7E6B" w:rsidRDefault="00DE3EE8" w:rsidP="005A5ABD">
            <w:pPr>
              <w:rPr>
                <w:sz w:val="22"/>
                <w:szCs w:val="22"/>
              </w:rPr>
            </w:pPr>
            <w:r w:rsidRPr="002B7E6B">
              <w:rPr>
                <w:sz w:val="22"/>
                <w:szCs w:val="22"/>
              </w:rPr>
              <w:t>35,899</w:t>
            </w:r>
          </w:p>
        </w:tc>
        <w:tc>
          <w:tcPr>
            <w:tcW w:w="1138" w:type="dxa"/>
            <w:tcBorders>
              <w:top w:val="nil"/>
              <w:left w:val="nil"/>
              <w:bottom w:val="nil"/>
              <w:right w:val="nil"/>
            </w:tcBorders>
            <w:tcMar>
              <w:top w:w="100" w:type="dxa"/>
              <w:left w:w="100" w:type="dxa"/>
              <w:bottom w:w="100" w:type="dxa"/>
              <w:right w:w="100" w:type="dxa"/>
            </w:tcMar>
            <w:vAlign w:val="bottom"/>
          </w:tcPr>
          <w:p w14:paraId="63FD7E96" w14:textId="77777777" w:rsidR="00DE3EE8" w:rsidRPr="002B7E6B" w:rsidRDefault="00DE3EE8" w:rsidP="005A5ABD">
            <w:pPr>
              <w:rPr>
                <w:sz w:val="22"/>
                <w:szCs w:val="22"/>
              </w:rPr>
            </w:pPr>
            <w:r w:rsidRPr="002B7E6B">
              <w:rPr>
                <w:sz w:val="22"/>
                <w:szCs w:val="22"/>
              </w:rPr>
              <w:t>35,479</w:t>
            </w:r>
          </w:p>
        </w:tc>
      </w:tr>
      <w:tr w:rsidR="00DE3EE8" w:rsidRPr="002B7E6B" w14:paraId="33219373" w14:textId="77777777" w:rsidTr="005A5ABD">
        <w:trPr>
          <w:trHeight w:val="500"/>
        </w:trPr>
        <w:tc>
          <w:tcPr>
            <w:tcW w:w="2597" w:type="dxa"/>
            <w:tcBorders>
              <w:top w:val="nil"/>
              <w:left w:val="nil"/>
              <w:bottom w:val="nil"/>
              <w:right w:val="nil"/>
            </w:tcBorders>
            <w:tcMar>
              <w:top w:w="100" w:type="dxa"/>
              <w:left w:w="100" w:type="dxa"/>
              <w:bottom w:w="100" w:type="dxa"/>
              <w:right w:w="100" w:type="dxa"/>
            </w:tcMar>
            <w:vAlign w:val="bottom"/>
          </w:tcPr>
          <w:p w14:paraId="61B3E6AF" w14:textId="77777777" w:rsidR="00DE3EE8" w:rsidRPr="002B7E6B" w:rsidRDefault="00DE3EE8" w:rsidP="005A5ABD">
            <w:pPr>
              <w:rPr>
                <w:sz w:val="22"/>
                <w:szCs w:val="22"/>
              </w:rPr>
            </w:pPr>
          </w:p>
        </w:tc>
        <w:tc>
          <w:tcPr>
            <w:tcW w:w="1240" w:type="dxa"/>
            <w:tcBorders>
              <w:top w:val="nil"/>
              <w:left w:val="nil"/>
              <w:bottom w:val="nil"/>
              <w:right w:val="nil"/>
            </w:tcBorders>
            <w:tcMar>
              <w:top w:w="100" w:type="dxa"/>
              <w:left w:w="100" w:type="dxa"/>
              <w:bottom w:w="100" w:type="dxa"/>
              <w:right w:w="100" w:type="dxa"/>
            </w:tcMar>
            <w:vAlign w:val="bottom"/>
          </w:tcPr>
          <w:p w14:paraId="4DA5B4BF" w14:textId="77777777" w:rsidR="00DE3EE8" w:rsidRPr="002B7E6B" w:rsidRDefault="00DE3EE8" w:rsidP="005A5ABD">
            <w:pPr>
              <w:rPr>
                <w:sz w:val="22"/>
                <w:szCs w:val="22"/>
              </w:rPr>
            </w:pPr>
            <w:r w:rsidRPr="002B7E6B">
              <w:rPr>
                <w:sz w:val="22"/>
                <w:szCs w:val="22"/>
              </w:rPr>
              <w:t>2022</w:t>
            </w:r>
          </w:p>
        </w:tc>
        <w:tc>
          <w:tcPr>
            <w:tcW w:w="1240" w:type="dxa"/>
            <w:tcBorders>
              <w:top w:val="nil"/>
              <w:left w:val="nil"/>
              <w:bottom w:val="nil"/>
              <w:right w:val="nil"/>
            </w:tcBorders>
            <w:tcMar>
              <w:top w:w="100" w:type="dxa"/>
              <w:left w:w="100" w:type="dxa"/>
              <w:bottom w:w="100" w:type="dxa"/>
              <w:right w:w="100" w:type="dxa"/>
            </w:tcMar>
            <w:vAlign w:val="bottom"/>
          </w:tcPr>
          <w:p w14:paraId="6913CFD0" w14:textId="77777777" w:rsidR="00DE3EE8" w:rsidRPr="002B7E6B" w:rsidRDefault="00DE3EE8" w:rsidP="005A5ABD">
            <w:pPr>
              <w:rPr>
                <w:sz w:val="22"/>
                <w:szCs w:val="22"/>
              </w:rPr>
            </w:pPr>
            <w:r w:rsidRPr="002B7E6B">
              <w:rPr>
                <w:sz w:val="22"/>
                <w:szCs w:val="22"/>
              </w:rPr>
              <w:t>738,710</w:t>
            </w:r>
          </w:p>
        </w:tc>
        <w:tc>
          <w:tcPr>
            <w:tcW w:w="1138" w:type="dxa"/>
            <w:tcBorders>
              <w:top w:val="nil"/>
              <w:left w:val="nil"/>
              <w:bottom w:val="nil"/>
              <w:right w:val="nil"/>
            </w:tcBorders>
            <w:tcMar>
              <w:top w:w="100" w:type="dxa"/>
              <w:left w:w="100" w:type="dxa"/>
              <w:bottom w:w="100" w:type="dxa"/>
              <w:right w:w="100" w:type="dxa"/>
            </w:tcMar>
            <w:vAlign w:val="bottom"/>
          </w:tcPr>
          <w:p w14:paraId="381842E4" w14:textId="77777777" w:rsidR="00DE3EE8" w:rsidRPr="002B7E6B" w:rsidRDefault="00DE3EE8" w:rsidP="005A5ABD">
            <w:pPr>
              <w:rPr>
                <w:sz w:val="22"/>
                <w:szCs w:val="22"/>
              </w:rPr>
            </w:pPr>
            <w:r w:rsidRPr="002B7E6B">
              <w:rPr>
                <w:sz w:val="22"/>
                <w:szCs w:val="22"/>
              </w:rPr>
              <w:t>42,605</w:t>
            </w:r>
          </w:p>
        </w:tc>
        <w:tc>
          <w:tcPr>
            <w:tcW w:w="1138" w:type="dxa"/>
            <w:tcBorders>
              <w:top w:val="nil"/>
              <w:left w:val="nil"/>
              <w:bottom w:val="nil"/>
              <w:right w:val="nil"/>
            </w:tcBorders>
            <w:tcMar>
              <w:top w:w="100" w:type="dxa"/>
              <w:left w:w="100" w:type="dxa"/>
              <w:bottom w:w="100" w:type="dxa"/>
              <w:right w:w="100" w:type="dxa"/>
            </w:tcMar>
            <w:vAlign w:val="bottom"/>
          </w:tcPr>
          <w:p w14:paraId="15CB06FD" w14:textId="77777777" w:rsidR="00DE3EE8" w:rsidRPr="002B7E6B" w:rsidRDefault="00DE3EE8" w:rsidP="005A5ABD">
            <w:pPr>
              <w:rPr>
                <w:sz w:val="22"/>
                <w:szCs w:val="22"/>
              </w:rPr>
            </w:pPr>
            <w:r w:rsidRPr="002B7E6B">
              <w:rPr>
                <w:sz w:val="22"/>
                <w:szCs w:val="22"/>
              </w:rPr>
              <w:t>35,688</w:t>
            </w:r>
          </w:p>
        </w:tc>
        <w:tc>
          <w:tcPr>
            <w:tcW w:w="1138" w:type="dxa"/>
            <w:tcBorders>
              <w:top w:val="nil"/>
              <w:left w:val="nil"/>
              <w:bottom w:val="nil"/>
              <w:right w:val="nil"/>
            </w:tcBorders>
            <w:tcMar>
              <w:top w:w="100" w:type="dxa"/>
              <w:left w:w="100" w:type="dxa"/>
              <w:bottom w:w="100" w:type="dxa"/>
              <w:right w:w="100" w:type="dxa"/>
            </w:tcMar>
            <w:vAlign w:val="bottom"/>
          </w:tcPr>
          <w:p w14:paraId="28D7C971" w14:textId="77777777" w:rsidR="00DE3EE8" w:rsidRPr="002B7E6B" w:rsidRDefault="00DE3EE8" w:rsidP="005A5ABD">
            <w:pPr>
              <w:rPr>
                <w:sz w:val="22"/>
                <w:szCs w:val="22"/>
              </w:rPr>
            </w:pPr>
            <w:r w:rsidRPr="002B7E6B">
              <w:rPr>
                <w:sz w:val="22"/>
                <w:szCs w:val="22"/>
              </w:rPr>
              <w:t>35,385</w:t>
            </w:r>
          </w:p>
        </w:tc>
        <w:tc>
          <w:tcPr>
            <w:tcW w:w="1138" w:type="dxa"/>
            <w:tcBorders>
              <w:top w:val="nil"/>
              <w:left w:val="nil"/>
              <w:bottom w:val="nil"/>
              <w:right w:val="nil"/>
            </w:tcBorders>
            <w:tcMar>
              <w:top w:w="100" w:type="dxa"/>
              <w:left w:w="100" w:type="dxa"/>
              <w:bottom w:w="100" w:type="dxa"/>
              <w:right w:w="100" w:type="dxa"/>
            </w:tcMar>
            <w:vAlign w:val="bottom"/>
          </w:tcPr>
          <w:p w14:paraId="7957A9FF" w14:textId="77777777" w:rsidR="00DE3EE8" w:rsidRPr="002B7E6B" w:rsidRDefault="00DE3EE8" w:rsidP="005A5ABD">
            <w:pPr>
              <w:rPr>
                <w:sz w:val="22"/>
                <w:szCs w:val="22"/>
              </w:rPr>
            </w:pPr>
            <w:r w:rsidRPr="002B7E6B">
              <w:rPr>
                <w:sz w:val="22"/>
                <w:szCs w:val="22"/>
              </w:rPr>
              <w:t>32,294</w:t>
            </w:r>
          </w:p>
        </w:tc>
      </w:tr>
      <w:tr w:rsidR="00DE3EE8" w:rsidRPr="002B7E6B" w14:paraId="4AD55235" w14:textId="77777777" w:rsidTr="005A5ABD">
        <w:trPr>
          <w:trHeight w:val="500"/>
        </w:trPr>
        <w:tc>
          <w:tcPr>
            <w:tcW w:w="2597" w:type="dxa"/>
            <w:tcBorders>
              <w:top w:val="nil"/>
              <w:left w:val="nil"/>
              <w:bottom w:val="nil"/>
              <w:right w:val="nil"/>
            </w:tcBorders>
            <w:tcMar>
              <w:top w:w="100" w:type="dxa"/>
              <w:left w:w="100" w:type="dxa"/>
              <w:bottom w:w="100" w:type="dxa"/>
              <w:right w:w="100" w:type="dxa"/>
            </w:tcMar>
            <w:vAlign w:val="bottom"/>
          </w:tcPr>
          <w:p w14:paraId="2A226757" w14:textId="77777777" w:rsidR="00DE3EE8" w:rsidRPr="002B7E6B" w:rsidRDefault="00DE3EE8" w:rsidP="005A5ABD">
            <w:pPr>
              <w:rPr>
                <w:sz w:val="22"/>
                <w:szCs w:val="22"/>
              </w:rPr>
            </w:pPr>
          </w:p>
        </w:tc>
        <w:tc>
          <w:tcPr>
            <w:tcW w:w="1240" w:type="dxa"/>
            <w:tcBorders>
              <w:top w:val="nil"/>
              <w:left w:val="nil"/>
              <w:bottom w:val="nil"/>
              <w:right w:val="nil"/>
            </w:tcBorders>
            <w:tcMar>
              <w:top w:w="100" w:type="dxa"/>
              <w:left w:w="100" w:type="dxa"/>
              <w:bottom w:w="100" w:type="dxa"/>
              <w:right w:w="100" w:type="dxa"/>
            </w:tcMar>
            <w:vAlign w:val="bottom"/>
          </w:tcPr>
          <w:p w14:paraId="04E32FCE" w14:textId="77777777" w:rsidR="00DE3EE8" w:rsidRPr="002B7E6B" w:rsidRDefault="00DE3EE8" w:rsidP="005A5ABD">
            <w:pPr>
              <w:rPr>
                <w:sz w:val="22"/>
                <w:szCs w:val="22"/>
              </w:rPr>
            </w:pPr>
            <w:r w:rsidRPr="002B7E6B">
              <w:rPr>
                <w:sz w:val="22"/>
                <w:szCs w:val="22"/>
              </w:rPr>
              <w:t>2023</w:t>
            </w:r>
          </w:p>
        </w:tc>
        <w:tc>
          <w:tcPr>
            <w:tcW w:w="1240" w:type="dxa"/>
            <w:tcBorders>
              <w:top w:val="nil"/>
              <w:left w:val="nil"/>
              <w:bottom w:val="nil"/>
              <w:right w:val="nil"/>
            </w:tcBorders>
            <w:tcMar>
              <w:top w:w="100" w:type="dxa"/>
              <w:left w:w="100" w:type="dxa"/>
              <w:bottom w:w="100" w:type="dxa"/>
              <w:right w:w="100" w:type="dxa"/>
            </w:tcMar>
            <w:vAlign w:val="bottom"/>
          </w:tcPr>
          <w:p w14:paraId="1AAD91FC" w14:textId="77777777" w:rsidR="00DE3EE8" w:rsidRPr="002B7E6B" w:rsidRDefault="00DE3EE8" w:rsidP="005A5ABD">
            <w:pPr>
              <w:rPr>
                <w:sz w:val="22"/>
                <w:szCs w:val="22"/>
              </w:rPr>
            </w:pPr>
            <w:r w:rsidRPr="002B7E6B">
              <w:rPr>
                <w:sz w:val="22"/>
                <w:szCs w:val="22"/>
              </w:rPr>
              <w:t>888,722</w:t>
            </w:r>
          </w:p>
        </w:tc>
        <w:tc>
          <w:tcPr>
            <w:tcW w:w="1138" w:type="dxa"/>
            <w:tcBorders>
              <w:top w:val="nil"/>
              <w:left w:val="nil"/>
              <w:bottom w:val="nil"/>
              <w:right w:val="nil"/>
            </w:tcBorders>
            <w:tcMar>
              <w:top w:w="100" w:type="dxa"/>
              <w:left w:w="100" w:type="dxa"/>
              <w:bottom w:w="100" w:type="dxa"/>
              <w:right w:w="100" w:type="dxa"/>
            </w:tcMar>
            <w:vAlign w:val="bottom"/>
          </w:tcPr>
          <w:p w14:paraId="0FC6211B" w14:textId="77777777" w:rsidR="00DE3EE8" w:rsidRPr="002B7E6B" w:rsidRDefault="00DE3EE8" w:rsidP="005A5ABD">
            <w:pPr>
              <w:rPr>
                <w:sz w:val="22"/>
                <w:szCs w:val="22"/>
              </w:rPr>
            </w:pPr>
            <w:r w:rsidRPr="002B7E6B">
              <w:rPr>
                <w:sz w:val="22"/>
                <w:szCs w:val="22"/>
              </w:rPr>
              <w:t>50,133</w:t>
            </w:r>
          </w:p>
        </w:tc>
        <w:tc>
          <w:tcPr>
            <w:tcW w:w="1138" w:type="dxa"/>
            <w:tcBorders>
              <w:top w:val="nil"/>
              <w:left w:val="nil"/>
              <w:bottom w:val="nil"/>
              <w:right w:val="nil"/>
            </w:tcBorders>
            <w:tcMar>
              <w:top w:w="100" w:type="dxa"/>
              <w:left w:w="100" w:type="dxa"/>
              <w:bottom w:w="100" w:type="dxa"/>
              <w:right w:w="100" w:type="dxa"/>
            </w:tcMar>
            <w:vAlign w:val="bottom"/>
          </w:tcPr>
          <w:p w14:paraId="3EF0B0E5" w14:textId="77777777" w:rsidR="00DE3EE8" w:rsidRPr="002B7E6B" w:rsidRDefault="00DE3EE8" w:rsidP="005A5ABD">
            <w:pPr>
              <w:rPr>
                <w:sz w:val="22"/>
                <w:szCs w:val="22"/>
              </w:rPr>
            </w:pPr>
            <w:r w:rsidRPr="002B7E6B">
              <w:rPr>
                <w:sz w:val="22"/>
                <w:szCs w:val="22"/>
              </w:rPr>
              <w:t>42,038</w:t>
            </w:r>
          </w:p>
        </w:tc>
        <w:tc>
          <w:tcPr>
            <w:tcW w:w="1138" w:type="dxa"/>
            <w:tcBorders>
              <w:top w:val="nil"/>
              <w:left w:val="nil"/>
              <w:bottom w:val="nil"/>
              <w:right w:val="nil"/>
            </w:tcBorders>
            <w:tcMar>
              <w:top w:w="100" w:type="dxa"/>
              <w:left w:w="100" w:type="dxa"/>
              <w:bottom w:w="100" w:type="dxa"/>
              <w:right w:w="100" w:type="dxa"/>
            </w:tcMar>
            <w:vAlign w:val="bottom"/>
          </w:tcPr>
          <w:p w14:paraId="32BF21DA" w14:textId="77777777" w:rsidR="00DE3EE8" w:rsidRPr="002B7E6B" w:rsidRDefault="00DE3EE8" w:rsidP="005A5ABD">
            <w:pPr>
              <w:rPr>
                <w:sz w:val="22"/>
                <w:szCs w:val="22"/>
              </w:rPr>
            </w:pPr>
            <w:r w:rsidRPr="002B7E6B">
              <w:rPr>
                <w:sz w:val="22"/>
                <w:szCs w:val="22"/>
              </w:rPr>
              <w:t>n/a</w:t>
            </w:r>
          </w:p>
        </w:tc>
        <w:tc>
          <w:tcPr>
            <w:tcW w:w="1138" w:type="dxa"/>
            <w:tcBorders>
              <w:top w:val="nil"/>
              <w:left w:val="nil"/>
              <w:bottom w:val="nil"/>
              <w:right w:val="nil"/>
            </w:tcBorders>
            <w:tcMar>
              <w:top w:w="100" w:type="dxa"/>
              <w:left w:w="100" w:type="dxa"/>
              <w:bottom w:w="100" w:type="dxa"/>
              <w:right w:w="100" w:type="dxa"/>
            </w:tcMar>
            <w:vAlign w:val="bottom"/>
          </w:tcPr>
          <w:p w14:paraId="698267CF" w14:textId="77777777" w:rsidR="00DE3EE8" w:rsidRPr="002B7E6B" w:rsidRDefault="00DE3EE8" w:rsidP="005A5ABD">
            <w:pPr>
              <w:rPr>
                <w:sz w:val="22"/>
                <w:szCs w:val="22"/>
              </w:rPr>
            </w:pPr>
            <w:r w:rsidRPr="002B7E6B">
              <w:rPr>
                <w:sz w:val="22"/>
                <w:szCs w:val="22"/>
              </w:rPr>
              <w:t>n/a</w:t>
            </w:r>
          </w:p>
        </w:tc>
      </w:tr>
      <w:tr w:rsidR="00DE3EE8" w:rsidRPr="002B7E6B" w14:paraId="5F1BF9DB" w14:textId="77777777" w:rsidTr="005A5ABD">
        <w:trPr>
          <w:trHeight w:val="500"/>
        </w:trPr>
        <w:tc>
          <w:tcPr>
            <w:tcW w:w="2597" w:type="dxa"/>
            <w:tcBorders>
              <w:top w:val="nil"/>
              <w:left w:val="nil"/>
              <w:bottom w:val="single" w:sz="7" w:space="0" w:color="000000"/>
              <w:right w:val="nil"/>
            </w:tcBorders>
            <w:tcMar>
              <w:top w:w="100" w:type="dxa"/>
              <w:left w:w="100" w:type="dxa"/>
              <w:bottom w:w="100" w:type="dxa"/>
              <w:right w:w="100" w:type="dxa"/>
            </w:tcMar>
            <w:vAlign w:val="bottom"/>
          </w:tcPr>
          <w:p w14:paraId="74BF8535" w14:textId="77777777" w:rsidR="00DE3EE8" w:rsidRPr="002B7E6B" w:rsidRDefault="00DE3EE8" w:rsidP="005A5ABD">
            <w:pPr>
              <w:rPr>
                <w:sz w:val="22"/>
                <w:szCs w:val="22"/>
              </w:rPr>
            </w:pPr>
            <w:r w:rsidRPr="002B7E6B">
              <w:rPr>
                <w:sz w:val="22"/>
                <w:szCs w:val="22"/>
              </w:rPr>
              <w:t xml:space="preserve"> </w:t>
            </w:r>
          </w:p>
        </w:tc>
        <w:tc>
          <w:tcPr>
            <w:tcW w:w="1240" w:type="dxa"/>
            <w:tcBorders>
              <w:top w:val="nil"/>
              <w:left w:val="nil"/>
              <w:bottom w:val="single" w:sz="7" w:space="0" w:color="000000"/>
              <w:right w:val="nil"/>
            </w:tcBorders>
            <w:tcMar>
              <w:top w:w="100" w:type="dxa"/>
              <w:left w:w="100" w:type="dxa"/>
              <w:bottom w:w="100" w:type="dxa"/>
              <w:right w:w="100" w:type="dxa"/>
            </w:tcMar>
            <w:vAlign w:val="bottom"/>
          </w:tcPr>
          <w:p w14:paraId="726626CE" w14:textId="77777777" w:rsidR="00DE3EE8" w:rsidRPr="002B7E6B" w:rsidRDefault="00DE3EE8" w:rsidP="005A5ABD">
            <w:pPr>
              <w:rPr>
                <w:sz w:val="22"/>
                <w:szCs w:val="22"/>
              </w:rPr>
            </w:pPr>
            <w:r w:rsidRPr="002B7E6B">
              <w:rPr>
                <w:sz w:val="22"/>
                <w:szCs w:val="22"/>
              </w:rPr>
              <w:t>2024</w:t>
            </w:r>
          </w:p>
        </w:tc>
        <w:tc>
          <w:tcPr>
            <w:tcW w:w="1240" w:type="dxa"/>
            <w:tcBorders>
              <w:top w:val="nil"/>
              <w:left w:val="nil"/>
              <w:bottom w:val="single" w:sz="7" w:space="0" w:color="000000"/>
              <w:right w:val="nil"/>
            </w:tcBorders>
            <w:tcMar>
              <w:top w:w="100" w:type="dxa"/>
              <w:left w:w="100" w:type="dxa"/>
              <w:bottom w:w="100" w:type="dxa"/>
              <w:right w:w="100" w:type="dxa"/>
            </w:tcMar>
            <w:vAlign w:val="bottom"/>
          </w:tcPr>
          <w:p w14:paraId="53EBA40C" w14:textId="77777777" w:rsidR="00DE3EE8" w:rsidRPr="002B7E6B" w:rsidRDefault="00DE3EE8" w:rsidP="005A5ABD">
            <w:pPr>
              <w:rPr>
                <w:sz w:val="22"/>
                <w:szCs w:val="22"/>
              </w:rPr>
            </w:pPr>
            <w:r w:rsidRPr="002B7E6B">
              <w:rPr>
                <w:sz w:val="22"/>
                <w:szCs w:val="22"/>
              </w:rPr>
              <w:t>876,140</w:t>
            </w:r>
          </w:p>
        </w:tc>
        <w:tc>
          <w:tcPr>
            <w:tcW w:w="1138" w:type="dxa"/>
            <w:tcBorders>
              <w:top w:val="nil"/>
              <w:left w:val="nil"/>
              <w:bottom w:val="single" w:sz="7" w:space="0" w:color="000000"/>
              <w:right w:val="nil"/>
            </w:tcBorders>
            <w:tcMar>
              <w:top w:w="100" w:type="dxa"/>
              <w:left w:w="100" w:type="dxa"/>
              <w:bottom w:w="100" w:type="dxa"/>
              <w:right w:w="100" w:type="dxa"/>
            </w:tcMar>
            <w:vAlign w:val="bottom"/>
          </w:tcPr>
          <w:p w14:paraId="120139E7" w14:textId="77777777" w:rsidR="00DE3EE8" w:rsidRPr="002B7E6B" w:rsidRDefault="00DE3EE8" w:rsidP="005A5ABD">
            <w:pPr>
              <w:rPr>
                <w:sz w:val="22"/>
                <w:szCs w:val="22"/>
              </w:rPr>
            </w:pPr>
            <w:r w:rsidRPr="002B7E6B">
              <w:rPr>
                <w:sz w:val="22"/>
                <w:szCs w:val="22"/>
              </w:rPr>
              <w:t>49,279</w:t>
            </w:r>
          </w:p>
        </w:tc>
        <w:tc>
          <w:tcPr>
            <w:tcW w:w="1138" w:type="dxa"/>
            <w:tcBorders>
              <w:top w:val="nil"/>
              <w:left w:val="nil"/>
              <w:bottom w:val="single" w:sz="7" w:space="0" w:color="000000"/>
              <w:right w:val="nil"/>
            </w:tcBorders>
            <w:tcMar>
              <w:top w:w="100" w:type="dxa"/>
              <w:left w:w="100" w:type="dxa"/>
              <w:bottom w:w="100" w:type="dxa"/>
              <w:right w:w="100" w:type="dxa"/>
            </w:tcMar>
            <w:vAlign w:val="bottom"/>
          </w:tcPr>
          <w:p w14:paraId="541708B7" w14:textId="77777777" w:rsidR="00DE3EE8" w:rsidRPr="002B7E6B" w:rsidRDefault="00DE3EE8" w:rsidP="005A5ABD">
            <w:pPr>
              <w:rPr>
                <w:sz w:val="22"/>
                <w:szCs w:val="22"/>
              </w:rPr>
            </w:pPr>
            <w:r w:rsidRPr="002B7E6B">
              <w:rPr>
                <w:sz w:val="22"/>
                <w:szCs w:val="22"/>
              </w:rPr>
              <w:t>41,322</w:t>
            </w:r>
          </w:p>
        </w:tc>
        <w:tc>
          <w:tcPr>
            <w:tcW w:w="1138" w:type="dxa"/>
            <w:tcBorders>
              <w:top w:val="nil"/>
              <w:left w:val="nil"/>
              <w:bottom w:val="single" w:sz="7" w:space="0" w:color="000000"/>
              <w:right w:val="nil"/>
            </w:tcBorders>
            <w:tcMar>
              <w:top w:w="100" w:type="dxa"/>
              <w:left w:w="100" w:type="dxa"/>
              <w:bottom w:w="100" w:type="dxa"/>
              <w:right w:w="100" w:type="dxa"/>
            </w:tcMar>
            <w:vAlign w:val="bottom"/>
          </w:tcPr>
          <w:p w14:paraId="12B63E5B" w14:textId="77777777" w:rsidR="00DE3EE8" w:rsidRPr="002B7E6B" w:rsidRDefault="00DE3EE8" w:rsidP="005A5ABD">
            <w:pPr>
              <w:rPr>
                <w:sz w:val="22"/>
                <w:szCs w:val="22"/>
              </w:rPr>
            </w:pPr>
            <w:r w:rsidRPr="002B7E6B">
              <w:rPr>
                <w:sz w:val="22"/>
                <w:szCs w:val="22"/>
              </w:rPr>
              <w:t>n/a</w:t>
            </w:r>
          </w:p>
        </w:tc>
        <w:tc>
          <w:tcPr>
            <w:tcW w:w="1138" w:type="dxa"/>
            <w:tcBorders>
              <w:top w:val="nil"/>
              <w:left w:val="nil"/>
              <w:bottom w:val="single" w:sz="7" w:space="0" w:color="000000"/>
              <w:right w:val="nil"/>
            </w:tcBorders>
            <w:tcMar>
              <w:top w:w="100" w:type="dxa"/>
              <w:left w:w="100" w:type="dxa"/>
              <w:bottom w:w="100" w:type="dxa"/>
              <w:right w:w="100" w:type="dxa"/>
            </w:tcMar>
            <w:vAlign w:val="bottom"/>
          </w:tcPr>
          <w:p w14:paraId="7482F5C8" w14:textId="77777777" w:rsidR="00DE3EE8" w:rsidRPr="002B7E6B" w:rsidRDefault="00DE3EE8" w:rsidP="005A5ABD">
            <w:pPr>
              <w:rPr>
                <w:sz w:val="22"/>
                <w:szCs w:val="22"/>
              </w:rPr>
            </w:pPr>
            <w:r w:rsidRPr="002B7E6B">
              <w:rPr>
                <w:sz w:val="22"/>
                <w:szCs w:val="22"/>
              </w:rPr>
              <w:t>n/a</w:t>
            </w:r>
          </w:p>
        </w:tc>
      </w:tr>
      <w:tr w:rsidR="00DE3EE8" w:rsidRPr="002B7E6B" w14:paraId="260034B5" w14:textId="77777777" w:rsidTr="005A5ABD">
        <w:trPr>
          <w:trHeight w:val="500"/>
        </w:trPr>
        <w:tc>
          <w:tcPr>
            <w:tcW w:w="2597" w:type="dxa"/>
            <w:tcBorders>
              <w:top w:val="nil"/>
              <w:left w:val="nil"/>
              <w:bottom w:val="nil"/>
              <w:right w:val="nil"/>
            </w:tcBorders>
            <w:tcMar>
              <w:top w:w="100" w:type="dxa"/>
              <w:left w:w="100" w:type="dxa"/>
              <w:bottom w:w="100" w:type="dxa"/>
              <w:right w:w="100" w:type="dxa"/>
            </w:tcMar>
            <w:vAlign w:val="bottom"/>
          </w:tcPr>
          <w:p w14:paraId="4F4D3EAB" w14:textId="77777777" w:rsidR="00DE3EE8" w:rsidRPr="002B7E6B" w:rsidRDefault="00DE3EE8" w:rsidP="005A5ABD">
            <w:pPr>
              <w:rPr>
                <w:sz w:val="22"/>
                <w:szCs w:val="22"/>
              </w:rPr>
            </w:pPr>
            <w:r w:rsidRPr="002B7E6B">
              <w:rPr>
                <w:sz w:val="22"/>
                <w:szCs w:val="22"/>
              </w:rPr>
              <w:t>Eastern Bering Sea</w:t>
            </w:r>
          </w:p>
        </w:tc>
        <w:tc>
          <w:tcPr>
            <w:tcW w:w="1240" w:type="dxa"/>
            <w:tcBorders>
              <w:top w:val="nil"/>
              <w:left w:val="nil"/>
              <w:bottom w:val="nil"/>
              <w:right w:val="nil"/>
            </w:tcBorders>
            <w:tcMar>
              <w:top w:w="100" w:type="dxa"/>
              <w:left w:w="100" w:type="dxa"/>
              <w:bottom w:w="100" w:type="dxa"/>
              <w:right w:w="100" w:type="dxa"/>
            </w:tcMar>
            <w:vAlign w:val="bottom"/>
          </w:tcPr>
          <w:p w14:paraId="616A067A" w14:textId="77777777" w:rsidR="00DE3EE8" w:rsidRPr="002B7E6B" w:rsidRDefault="00DE3EE8" w:rsidP="005A5ABD">
            <w:pPr>
              <w:rPr>
                <w:sz w:val="22"/>
                <w:szCs w:val="22"/>
              </w:rPr>
            </w:pPr>
            <w:r w:rsidRPr="002B7E6B">
              <w:rPr>
                <w:sz w:val="22"/>
                <w:szCs w:val="22"/>
              </w:rPr>
              <w:t>2021</w:t>
            </w:r>
          </w:p>
        </w:tc>
        <w:tc>
          <w:tcPr>
            <w:tcW w:w="1240" w:type="dxa"/>
            <w:tcBorders>
              <w:top w:val="nil"/>
              <w:left w:val="nil"/>
              <w:bottom w:val="nil"/>
              <w:right w:val="nil"/>
            </w:tcBorders>
            <w:tcMar>
              <w:top w:w="100" w:type="dxa"/>
              <w:left w:w="100" w:type="dxa"/>
              <w:bottom w:w="100" w:type="dxa"/>
              <w:right w:w="100" w:type="dxa"/>
            </w:tcMar>
            <w:vAlign w:val="bottom"/>
          </w:tcPr>
          <w:p w14:paraId="3B8766CA" w14:textId="77777777" w:rsidR="00DE3EE8" w:rsidRPr="002B7E6B" w:rsidRDefault="00DE3EE8" w:rsidP="005A5ABD">
            <w:pPr>
              <w:rPr>
                <w:sz w:val="22"/>
                <w:szCs w:val="22"/>
              </w:rPr>
            </w:pPr>
          </w:p>
        </w:tc>
        <w:tc>
          <w:tcPr>
            <w:tcW w:w="1138" w:type="dxa"/>
            <w:tcBorders>
              <w:top w:val="nil"/>
              <w:left w:val="nil"/>
              <w:bottom w:val="nil"/>
              <w:right w:val="nil"/>
            </w:tcBorders>
            <w:tcMar>
              <w:top w:w="100" w:type="dxa"/>
              <w:left w:w="100" w:type="dxa"/>
              <w:bottom w:w="100" w:type="dxa"/>
              <w:right w:w="100" w:type="dxa"/>
            </w:tcMar>
            <w:vAlign w:val="bottom"/>
          </w:tcPr>
          <w:p w14:paraId="547F1F82" w14:textId="77777777" w:rsidR="00DE3EE8" w:rsidRPr="002B7E6B" w:rsidRDefault="00DE3EE8" w:rsidP="005A5ABD">
            <w:pPr>
              <w:pBdr>
                <w:top w:val="nil"/>
                <w:left w:val="nil"/>
                <w:bottom w:val="nil"/>
                <w:right w:val="nil"/>
                <w:between w:val="nil"/>
              </w:pBdr>
              <w:rPr>
                <w:sz w:val="22"/>
                <w:szCs w:val="22"/>
              </w:rPr>
            </w:pPr>
          </w:p>
        </w:tc>
        <w:tc>
          <w:tcPr>
            <w:tcW w:w="1138" w:type="dxa"/>
            <w:tcBorders>
              <w:top w:val="nil"/>
              <w:left w:val="nil"/>
              <w:bottom w:val="nil"/>
              <w:right w:val="nil"/>
            </w:tcBorders>
            <w:tcMar>
              <w:top w:w="100" w:type="dxa"/>
              <w:left w:w="100" w:type="dxa"/>
              <w:bottom w:w="100" w:type="dxa"/>
              <w:right w:w="100" w:type="dxa"/>
            </w:tcMar>
            <w:vAlign w:val="bottom"/>
          </w:tcPr>
          <w:p w14:paraId="2BE8AD0C" w14:textId="77777777" w:rsidR="00DE3EE8" w:rsidRPr="002B7E6B" w:rsidRDefault="00DE3EE8" w:rsidP="005A5ABD">
            <w:pPr>
              <w:rPr>
                <w:sz w:val="22"/>
                <w:szCs w:val="22"/>
              </w:rPr>
            </w:pPr>
            <w:r w:rsidRPr="002B7E6B">
              <w:rPr>
                <w:sz w:val="22"/>
                <w:szCs w:val="22"/>
              </w:rPr>
              <w:t>10,782</w:t>
            </w:r>
          </w:p>
        </w:tc>
        <w:tc>
          <w:tcPr>
            <w:tcW w:w="1138" w:type="dxa"/>
            <w:tcBorders>
              <w:top w:val="nil"/>
              <w:left w:val="nil"/>
              <w:bottom w:val="nil"/>
              <w:right w:val="nil"/>
            </w:tcBorders>
            <w:tcMar>
              <w:top w:w="100" w:type="dxa"/>
              <w:left w:w="100" w:type="dxa"/>
              <w:bottom w:w="100" w:type="dxa"/>
              <w:right w:w="100" w:type="dxa"/>
            </w:tcMar>
            <w:vAlign w:val="bottom"/>
          </w:tcPr>
          <w:p w14:paraId="184371A4" w14:textId="77777777" w:rsidR="00DE3EE8" w:rsidRPr="002B7E6B" w:rsidRDefault="00DE3EE8" w:rsidP="005A5ABD">
            <w:pPr>
              <w:rPr>
                <w:sz w:val="22"/>
                <w:szCs w:val="22"/>
              </w:rPr>
            </w:pPr>
            <w:r w:rsidRPr="002B7E6B">
              <w:rPr>
                <w:sz w:val="22"/>
                <w:szCs w:val="22"/>
              </w:rPr>
              <w:t>10,782</w:t>
            </w:r>
          </w:p>
        </w:tc>
        <w:tc>
          <w:tcPr>
            <w:tcW w:w="1138" w:type="dxa"/>
            <w:tcBorders>
              <w:top w:val="nil"/>
              <w:left w:val="nil"/>
              <w:bottom w:val="nil"/>
              <w:right w:val="nil"/>
            </w:tcBorders>
            <w:tcMar>
              <w:top w:w="100" w:type="dxa"/>
              <w:left w:w="100" w:type="dxa"/>
              <w:bottom w:w="100" w:type="dxa"/>
              <w:right w:w="100" w:type="dxa"/>
            </w:tcMar>
            <w:vAlign w:val="bottom"/>
          </w:tcPr>
          <w:p w14:paraId="6E6B509B" w14:textId="77777777" w:rsidR="00DE3EE8" w:rsidRPr="002B7E6B" w:rsidRDefault="00DE3EE8" w:rsidP="005A5ABD">
            <w:pPr>
              <w:rPr>
                <w:sz w:val="22"/>
                <w:szCs w:val="22"/>
              </w:rPr>
            </w:pPr>
            <w:r w:rsidRPr="002B7E6B">
              <w:rPr>
                <w:sz w:val="22"/>
                <w:szCs w:val="22"/>
              </w:rPr>
              <w:t>10,693</w:t>
            </w:r>
          </w:p>
        </w:tc>
      </w:tr>
      <w:tr w:rsidR="00DE3EE8" w:rsidRPr="002B7E6B" w14:paraId="36D67775" w14:textId="77777777" w:rsidTr="005A5ABD">
        <w:trPr>
          <w:trHeight w:val="500"/>
        </w:trPr>
        <w:tc>
          <w:tcPr>
            <w:tcW w:w="2597" w:type="dxa"/>
            <w:tcBorders>
              <w:top w:val="nil"/>
              <w:left w:val="nil"/>
              <w:bottom w:val="nil"/>
              <w:right w:val="nil"/>
            </w:tcBorders>
            <w:tcMar>
              <w:top w:w="100" w:type="dxa"/>
              <w:left w:w="100" w:type="dxa"/>
              <w:bottom w:w="100" w:type="dxa"/>
              <w:right w:w="100" w:type="dxa"/>
            </w:tcMar>
            <w:vAlign w:val="bottom"/>
          </w:tcPr>
          <w:p w14:paraId="70F2DAE5" w14:textId="77777777" w:rsidR="00DE3EE8" w:rsidRPr="002B7E6B" w:rsidRDefault="00DE3EE8" w:rsidP="005A5ABD">
            <w:pPr>
              <w:rPr>
                <w:sz w:val="22"/>
                <w:szCs w:val="22"/>
              </w:rPr>
            </w:pPr>
          </w:p>
        </w:tc>
        <w:tc>
          <w:tcPr>
            <w:tcW w:w="1240" w:type="dxa"/>
            <w:tcBorders>
              <w:top w:val="nil"/>
              <w:left w:val="nil"/>
              <w:bottom w:val="nil"/>
              <w:right w:val="nil"/>
            </w:tcBorders>
            <w:tcMar>
              <w:top w:w="100" w:type="dxa"/>
              <w:left w:w="100" w:type="dxa"/>
              <w:bottom w:w="100" w:type="dxa"/>
              <w:right w:w="100" w:type="dxa"/>
            </w:tcMar>
            <w:vAlign w:val="bottom"/>
          </w:tcPr>
          <w:p w14:paraId="2FC4668C" w14:textId="77777777" w:rsidR="00DE3EE8" w:rsidRPr="002B7E6B" w:rsidRDefault="00DE3EE8" w:rsidP="005A5ABD">
            <w:pPr>
              <w:rPr>
                <w:sz w:val="22"/>
                <w:szCs w:val="22"/>
              </w:rPr>
            </w:pPr>
            <w:r w:rsidRPr="002B7E6B">
              <w:rPr>
                <w:sz w:val="22"/>
                <w:szCs w:val="22"/>
              </w:rPr>
              <w:t>2022</w:t>
            </w:r>
          </w:p>
        </w:tc>
        <w:tc>
          <w:tcPr>
            <w:tcW w:w="1240" w:type="dxa"/>
            <w:tcBorders>
              <w:top w:val="nil"/>
              <w:left w:val="nil"/>
              <w:bottom w:val="nil"/>
              <w:right w:val="nil"/>
            </w:tcBorders>
            <w:tcMar>
              <w:top w:w="100" w:type="dxa"/>
              <w:left w:w="100" w:type="dxa"/>
              <w:bottom w:w="100" w:type="dxa"/>
              <w:right w:w="100" w:type="dxa"/>
            </w:tcMar>
            <w:vAlign w:val="bottom"/>
          </w:tcPr>
          <w:p w14:paraId="1C9EDD4E" w14:textId="77777777" w:rsidR="00DE3EE8" w:rsidRPr="002B7E6B" w:rsidRDefault="00DE3EE8" w:rsidP="005A5ABD">
            <w:pPr>
              <w:rPr>
                <w:sz w:val="22"/>
                <w:szCs w:val="22"/>
              </w:rPr>
            </w:pPr>
          </w:p>
        </w:tc>
        <w:tc>
          <w:tcPr>
            <w:tcW w:w="1138" w:type="dxa"/>
            <w:tcBorders>
              <w:top w:val="nil"/>
              <w:left w:val="nil"/>
              <w:bottom w:val="nil"/>
              <w:right w:val="nil"/>
            </w:tcBorders>
            <w:tcMar>
              <w:top w:w="100" w:type="dxa"/>
              <w:left w:w="100" w:type="dxa"/>
              <w:bottom w:w="100" w:type="dxa"/>
              <w:right w:w="100" w:type="dxa"/>
            </w:tcMar>
            <w:vAlign w:val="bottom"/>
          </w:tcPr>
          <w:p w14:paraId="159CC803" w14:textId="77777777" w:rsidR="00DE3EE8" w:rsidRPr="002B7E6B" w:rsidRDefault="00DE3EE8" w:rsidP="005A5ABD">
            <w:pPr>
              <w:pBdr>
                <w:top w:val="nil"/>
                <w:left w:val="nil"/>
                <w:bottom w:val="nil"/>
                <w:right w:val="nil"/>
                <w:between w:val="nil"/>
              </w:pBdr>
              <w:rPr>
                <w:sz w:val="22"/>
                <w:szCs w:val="22"/>
              </w:rPr>
            </w:pPr>
          </w:p>
        </w:tc>
        <w:tc>
          <w:tcPr>
            <w:tcW w:w="1138" w:type="dxa"/>
            <w:tcBorders>
              <w:top w:val="nil"/>
              <w:left w:val="nil"/>
              <w:bottom w:val="nil"/>
              <w:right w:val="nil"/>
            </w:tcBorders>
            <w:tcMar>
              <w:top w:w="100" w:type="dxa"/>
              <w:left w:w="100" w:type="dxa"/>
              <w:bottom w:w="100" w:type="dxa"/>
              <w:right w:w="100" w:type="dxa"/>
            </w:tcMar>
            <w:vAlign w:val="bottom"/>
          </w:tcPr>
          <w:p w14:paraId="3AB1EA4A" w14:textId="77777777" w:rsidR="00DE3EE8" w:rsidRPr="002B7E6B" w:rsidRDefault="00DE3EE8" w:rsidP="005A5ABD">
            <w:pPr>
              <w:rPr>
                <w:sz w:val="22"/>
                <w:szCs w:val="22"/>
              </w:rPr>
            </w:pPr>
            <w:r w:rsidRPr="002B7E6B">
              <w:rPr>
                <w:sz w:val="22"/>
                <w:szCs w:val="22"/>
              </w:rPr>
              <w:t>10,352</w:t>
            </w:r>
          </w:p>
        </w:tc>
        <w:tc>
          <w:tcPr>
            <w:tcW w:w="1138" w:type="dxa"/>
            <w:tcBorders>
              <w:top w:val="nil"/>
              <w:left w:val="nil"/>
              <w:bottom w:val="nil"/>
              <w:right w:val="nil"/>
            </w:tcBorders>
            <w:tcMar>
              <w:top w:w="100" w:type="dxa"/>
              <w:left w:w="100" w:type="dxa"/>
              <w:bottom w:w="100" w:type="dxa"/>
              <w:right w:w="100" w:type="dxa"/>
            </w:tcMar>
            <w:vAlign w:val="bottom"/>
          </w:tcPr>
          <w:p w14:paraId="5675F27F" w14:textId="77777777" w:rsidR="00DE3EE8" w:rsidRPr="002B7E6B" w:rsidRDefault="00DE3EE8" w:rsidP="005A5ABD">
            <w:pPr>
              <w:rPr>
                <w:sz w:val="22"/>
                <w:szCs w:val="22"/>
              </w:rPr>
            </w:pPr>
            <w:r w:rsidRPr="002B7E6B">
              <w:rPr>
                <w:sz w:val="22"/>
                <w:szCs w:val="22"/>
              </w:rPr>
              <w:t>10,352</w:t>
            </w:r>
          </w:p>
        </w:tc>
        <w:tc>
          <w:tcPr>
            <w:tcW w:w="1138" w:type="dxa"/>
            <w:tcBorders>
              <w:top w:val="nil"/>
              <w:left w:val="nil"/>
              <w:bottom w:val="nil"/>
              <w:right w:val="nil"/>
            </w:tcBorders>
            <w:tcMar>
              <w:top w:w="100" w:type="dxa"/>
              <w:left w:w="100" w:type="dxa"/>
              <w:bottom w:w="100" w:type="dxa"/>
              <w:right w:w="100" w:type="dxa"/>
            </w:tcMar>
            <w:vAlign w:val="bottom"/>
          </w:tcPr>
          <w:p w14:paraId="05E4D545" w14:textId="77777777" w:rsidR="00DE3EE8" w:rsidRPr="002B7E6B" w:rsidRDefault="00DE3EE8" w:rsidP="005A5ABD">
            <w:pPr>
              <w:rPr>
                <w:sz w:val="22"/>
                <w:szCs w:val="22"/>
              </w:rPr>
            </w:pPr>
            <w:r w:rsidRPr="002B7E6B">
              <w:rPr>
                <w:sz w:val="22"/>
                <w:szCs w:val="22"/>
              </w:rPr>
              <w:t>9,665</w:t>
            </w:r>
          </w:p>
        </w:tc>
      </w:tr>
      <w:tr w:rsidR="00DE3EE8" w:rsidRPr="002B7E6B" w14:paraId="2FA768B3" w14:textId="77777777" w:rsidTr="005A5ABD">
        <w:trPr>
          <w:trHeight w:val="500"/>
        </w:trPr>
        <w:tc>
          <w:tcPr>
            <w:tcW w:w="2597" w:type="dxa"/>
            <w:tcBorders>
              <w:top w:val="nil"/>
              <w:left w:val="nil"/>
              <w:bottom w:val="nil"/>
              <w:right w:val="nil"/>
            </w:tcBorders>
            <w:tcMar>
              <w:top w:w="100" w:type="dxa"/>
              <w:left w:w="100" w:type="dxa"/>
              <w:bottom w:w="100" w:type="dxa"/>
              <w:right w:w="100" w:type="dxa"/>
            </w:tcMar>
            <w:vAlign w:val="bottom"/>
          </w:tcPr>
          <w:p w14:paraId="5CB1909B" w14:textId="77777777" w:rsidR="00DE3EE8" w:rsidRPr="002B7E6B" w:rsidRDefault="00DE3EE8" w:rsidP="005A5ABD">
            <w:pPr>
              <w:rPr>
                <w:sz w:val="22"/>
                <w:szCs w:val="22"/>
              </w:rPr>
            </w:pPr>
          </w:p>
        </w:tc>
        <w:tc>
          <w:tcPr>
            <w:tcW w:w="1240" w:type="dxa"/>
            <w:tcBorders>
              <w:top w:val="nil"/>
              <w:left w:val="nil"/>
              <w:bottom w:val="nil"/>
              <w:right w:val="nil"/>
            </w:tcBorders>
            <w:tcMar>
              <w:top w:w="100" w:type="dxa"/>
              <w:left w:w="100" w:type="dxa"/>
              <w:bottom w:w="100" w:type="dxa"/>
              <w:right w:w="100" w:type="dxa"/>
            </w:tcMar>
            <w:vAlign w:val="bottom"/>
          </w:tcPr>
          <w:p w14:paraId="230560A1" w14:textId="77777777" w:rsidR="00DE3EE8" w:rsidRPr="002B7E6B" w:rsidRDefault="00DE3EE8" w:rsidP="005A5ABD">
            <w:pPr>
              <w:rPr>
                <w:sz w:val="22"/>
                <w:szCs w:val="22"/>
              </w:rPr>
            </w:pPr>
            <w:r w:rsidRPr="002B7E6B">
              <w:rPr>
                <w:sz w:val="22"/>
                <w:szCs w:val="22"/>
              </w:rPr>
              <w:t>2023</w:t>
            </w:r>
          </w:p>
        </w:tc>
        <w:tc>
          <w:tcPr>
            <w:tcW w:w="1240" w:type="dxa"/>
            <w:tcBorders>
              <w:top w:val="nil"/>
              <w:left w:val="nil"/>
              <w:bottom w:val="nil"/>
              <w:right w:val="nil"/>
            </w:tcBorders>
            <w:tcMar>
              <w:top w:w="100" w:type="dxa"/>
              <w:left w:w="100" w:type="dxa"/>
              <w:bottom w:w="100" w:type="dxa"/>
              <w:right w:w="100" w:type="dxa"/>
            </w:tcMar>
            <w:vAlign w:val="bottom"/>
          </w:tcPr>
          <w:p w14:paraId="2058BD8F" w14:textId="77777777" w:rsidR="00DE3EE8" w:rsidRPr="002B7E6B" w:rsidRDefault="00DE3EE8" w:rsidP="005A5ABD">
            <w:pPr>
              <w:rPr>
                <w:sz w:val="22"/>
                <w:szCs w:val="22"/>
              </w:rPr>
            </w:pPr>
          </w:p>
        </w:tc>
        <w:tc>
          <w:tcPr>
            <w:tcW w:w="1138" w:type="dxa"/>
            <w:tcBorders>
              <w:top w:val="nil"/>
              <w:left w:val="nil"/>
              <w:bottom w:val="nil"/>
              <w:right w:val="nil"/>
            </w:tcBorders>
            <w:tcMar>
              <w:top w:w="100" w:type="dxa"/>
              <w:left w:w="100" w:type="dxa"/>
              <w:bottom w:w="100" w:type="dxa"/>
              <w:right w:w="100" w:type="dxa"/>
            </w:tcMar>
            <w:vAlign w:val="bottom"/>
          </w:tcPr>
          <w:p w14:paraId="076CCBDA" w14:textId="77777777" w:rsidR="00DE3EE8" w:rsidRPr="002B7E6B" w:rsidRDefault="00DE3EE8" w:rsidP="005A5ABD">
            <w:pPr>
              <w:pBdr>
                <w:top w:val="nil"/>
                <w:left w:val="nil"/>
                <w:bottom w:val="nil"/>
                <w:right w:val="nil"/>
                <w:between w:val="nil"/>
              </w:pBdr>
              <w:rPr>
                <w:sz w:val="22"/>
                <w:szCs w:val="22"/>
              </w:rPr>
            </w:pPr>
          </w:p>
        </w:tc>
        <w:tc>
          <w:tcPr>
            <w:tcW w:w="1138" w:type="dxa"/>
            <w:tcBorders>
              <w:top w:val="nil"/>
              <w:left w:val="nil"/>
              <w:bottom w:val="nil"/>
              <w:right w:val="nil"/>
            </w:tcBorders>
            <w:tcMar>
              <w:top w:w="100" w:type="dxa"/>
              <w:left w:w="100" w:type="dxa"/>
              <w:bottom w:w="100" w:type="dxa"/>
              <w:right w:w="100" w:type="dxa"/>
            </w:tcMar>
            <w:vAlign w:val="bottom"/>
          </w:tcPr>
          <w:p w14:paraId="73D526CF" w14:textId="77777777" w:rsidR="00DE3EE8" w:rsidRPr="002B7E6B" w:rsidRDefault="00DE3EE8" w:rsidP="005A5ABD">
            <w:pPr>
              <w:rPr>
                <w:sz w:val="22"/>
                <w:szCs w:val="22"/>
              </w:rPr>
            </w:pPr>
            <w:r w:rsidRPr="002B7E6B">
              <w:rPr>
                <w:sz w:val="22"/>
                <w:szCs w:val="22"/>
              </w:rPr>
              <w:t>11,903</w:t>
            </w:r>
          </w:p>
        </w:tc>
        <w:tc>
          <w:tcPr>
            <w:tcW w:w="1138" w:type="dxa"/>
            <w:tcBorders>
              <w:top w:val="nil"/>
              <w:left w:val="nil"/>
              <w:bottom w:val="nil"/>
              <w:right w:val="nil"/>
            </w:tcBorders>
            <w:tcMar>
              <w:top w:w="100" w:type="dxa"/>
              <w:left w:w="100" w:type="dxa"/>
              <w:bottom w:w="100" w:type="dxa"/>
              <w:right w:w="100" w:type="dxa"/>
            </w:tcMar>
            <w:vAlign w:val="bottom"/>
          </w:tcPr>
          <w:p w14:paraId="533ED161" w14:textId="77777777" w:rsidR="00DE3EE8" w:rsidRPr="002B7E6B" w:rsidRDefault="00DE3EE8" w:rsidP="005A5ABD">
            <w:pPr>
              <w:rPr>
                <w:sz w:val="22"/>
                <w:szCs w:val="22"/>
              </w:rPr>
            </w:pPr>
            <w:r w:rsidRPr="002B7E6B">
              <w:rPr>
                <w:sz w:val="22"/>
                <w:szCs w:val="22"/>
              </w:rPr>
              <w:t>n/a</w:t>
            </w:r>
          </w:p>
        </w:tc>
        <w:tc>
          <w:tcPr>
            <w:tcW w:w="1138" w:type="dxa"/>
            <w:tcBorders>
              <w:top w:val="nil"/>
              <w:left w:val="nil"/>
              <w:bottom w:val="nil"/>
              <w:right w:val="nil"/>
            </w:tcBorders>
            <w:tcMar>
              <w:top w:w="100" w:type="dxa"/>
              <w:left w:w="100" w:type="dxa"/>
              <w:bottom w:w="100" w:type="dxa"/>
              <w:right w:w="100" w:type="dxa"/>
            </w:tcMar>
            <w:vAlign w:val="bottom"/>
          </w:tcPr>
          <w:p w14:paraId="2BF34B95" w14:textId="77777777" w:rsidR="00DE3EE8" w:rsidRPr="002B7E6B" w:rsidRDefault="00DE3EE8" w:rsidP="005A5ABD">
            <w:pPr>
              <w:rPr>
                <w:sz w:val="22"/>
                <w:szCs w:val="22"/>
              </w:rPr>
            </w:pPr>
            <w:r w:rsidRPr="002B7E6B">
              <w:rPr>
                <w:sz w:val="22"/>
                <w:szCs w:val="22"/>
              </w:rPr>
              <w:t>n/a</w:t>
            </w:r>
          </w:p>
        </w:tc>
      </w:tr>
      <w:tr w:rsidR="00DE3EE8" w:rsidRPr="002B7E6B" w14:paraId="2E71394A" w14:textId="77777777" w:rsidTr="005A5ABD">
        <w:trPr>
          <w:trHeight w:val="500"/>
        </w:trPr>
        <w:tc>
          <w:tcPr>
            <w:tcW w:w="2597" w:type="dxa"/>
            <w:tcBorders>
              <w:top w:val="nil"/>
              <w:left w:val="nil"/>
              <w:bottom w:val="single" w:sz="7" w:space="0" w:color="000000"/>
              <w:right w:val="nil"/>
            </w:tcBorders>
            <w:tcMar>
              <w:top w:w="100" w:type="dxa"/>
              <w:left w:w="100" w:type="dxa"/>
              <w:bottom w:w="100" w:type="dxa"/>
              <w:right w:w="100" w:type="dxa"/>
            </w:tcMar>
            <w:vAlign w:val="bottom"/>
          </w:tcPr>
          <w:p w14:paraId="44685F23" w14:textId="77777777" w:rsidR="00DE3EE8" w:rsidRPr="002B7E6B" w:rsidRDefault="00DE3EE8" w:rsidP="005A5ABD">
            <w:pPr>
              <w:rPr>
                <w:sz w:val="22"/>
                <w:szCs w:val="22"/>
              </w:rPr>
            </w:pPr>
            <w:r w:rsidRPr="002B7E6B">
              <w:rPr>
                <w:sz w:val="22"/>
                <w:szCs w:val="22"/>
              </w:rPr>
              <w:lastRenderedPageBreak/>
              <w:t xml:space="preserve"> </w:t>
            </w:r>
          </w:p>
        </w:tc>
        <w:tc>
          <w:tcPr>
            <w:tcW w:w="1240" w:type="dxa"/>
            <w:tcBorders>
              <w:top w:val="nil"/>
              <w:left w:val="nil"/>
              <w:bottom w:val="single" w:sz="7" w:space="0" w:color="000000"/>
              <w:right w:val="nil"/>
            </w:tcBorders>
            <w:tcMar>
              <w:top w:w="100" w:type="dxa"/>
              <w:left w:w="100" w:type="dxa"/>
              <w:bottom w:w="100" w:type="dxa"/>
              <w:right w:w="100" w:type="dxa"/>
            </w:tcMar>
            <w:vAlign w:val="bottom"/>
          </w:tcPr>
          <w:p w14:paraId="73169FD2" w14:textId="77777777" w:rsidR="00DE3EE8" w:rsidRPr="002B7E6B" w:rsidRDefault="00DE3EE8" w:rsidP="005A5ABD">
            <w:pPr>
              <w:rPr>
                <w:sz w:val="22"/>
                <w:szCs w:val="22"/>
              </w:rPr>
            </w:pPr>
            <w:r w:rsidRPr="002B7E6B">
              <w:rPr>
                <w:sz w:val="22"/>
                <w:szCs w:val="22"/>
              </w:rPr>
              <w:t>2024</w:t>
            </w:r>
          </w:p>
        </w:tc>
        <w:tc>
          <w:tcPr>
            <w:tcW w:w="1240" w:type="dxa"/>
            <w:tcBorders>
              <w:top w:val="nil"/>
              <w:left w:val="nil"/>
              <w:bottom w:val="single" w:sz="7" w:space="0" w:color="000000"/>
              <w:right w:val="nil"/>
            </w:tcBorders>
            <w:tcMar>
              <w:top w:w="100" w:type="dxa"/>
              <w:left w:w="100" w:type="dxa"/>
              <w:bottom w:w="100" w:type="dxa"/>
              <w:right w:w="100" w:type="dxa"/>
            </w:tcMar>
            <w:vAlign w:val="bottom"/>
          </w:tcPr>
          <w:p w14:paraId="45FE40E3" w14:textId="77777777" w:rsidR="00DE3EE8" w:rsidRPr="002B7E6B" w:rsidRDefault="00DE3EE8" w:rsidP="005A5ABD">
            <w:pPr>
              <w:rPr>
                <w:sz w:val="22"/>
                <w:szCs w:val="22"/>
              </w:rPr>
            </w:pPr>
            <w:r w:rsidRPr="002B7E6B">
              <w:rPr>
                <w:sz w:val="22"/>
                <w:szCs w:val="22"/>
              </w:rPr>
              <w:t xml:space="preserve"> </w:t>
            </w:r>
          </w:p>
        </w:tc>
        <w:tc>
          <w:tcPr>
            <w:tcW w:w="1138" w:type="dxa"/>
            <w:tcBorders>
              <w:top w:val="nil"/>
              <w:left w:val="nil"/>
              <w:bottom w:val="single" w:sz="7" w:space="0" w:color="000000"/>
              <w:right w:val="nil"/>
            </w:tcBorders>
            <w:tcMar>
              <w:top w:w="100" w:type="dxa"/>
              <w:left w:w="100" w:type="dxa"/>
              <w:bottom w:w="100" w:type="dxa"/>
              <w:right w:w="100" w:type="dxa"/>
            </w:tcMar>
            <w:vAlign w:val="bottom"/>
          </w:tcPr>
          <w:p w14:paraId="460C1935" w14:textId="77777777" w:rsidR="00DE3EE8" w:rsidRPr="002B7E6B" w:rsidRDefault="00DE3EE8" w:rsidP="005A5ABD">
            <w:pPr>
              <w:rPr>
                <w:sz w:val="22"/>
                <w:szCs w:val="22"/>
              </w:rPr>
            </w:pPr>
            <w:r w:rsidRPr="002B7E6B">
              <w:rPr>
                <w:sz w:val="22"/>
                <w:szCs w:val="22"/>
              </w:rPr>
              <w:t xml:space="preserve"> </w:t>
            </w:r>
          </w:p>
        </w:tc>
        <w:tc>
          <w:tcPr>
            <w:tcW w:w="1138" w:type="dxa"/>
            <w:tcBorders>
              <w:top w:val="nil"/>
              <w:left w:val="nil"/>
              <w:bottom w:val="single" w:sz="7" w:space="0" w:color="000000"/>
              <w:right w:val="nil"/>
            </w:tcBorders>
            <w:tcMar>
              <w:top w:w="100" w:type="dxa"/>
              <w:left w:w="100" w:type="dxa"/>
              <w:bottom w:w="100" w:type="dxa"/>
              <w:right w:w="100" w:type="dxa"/>
            </w:tcMar>
            <w:vAlign w:val="bottom"/>
          </w:tcPr>
          <w:p w14:paraId="592FF0CD" w14:textId="77777777" w:rsidR="00DE3EE8" w:rsidRPr="002B7E6B" w:rsidRDefault="00DE3EE8" w:rsidP="005A5ABD">
            <w:pPr>
              <w:rPr>
                <w:sz w:val="22"/>
                <w:szCs w:val="22"/>
              </w:rPr>
            </w:pPr>
            <w:r w:rsidRPr="002B7E6B">
              <w:rPr>
                <w:sz w:val="22"/>
                <w:szCs w:val="22"/>
              </w:rPr>
              <w:t>11,700</w:t>
            </w:r>
          </w:p>
        </w:tc>
        <w:tc>
          <w:tcPr>
            <w:tcW w:w="1138" w:type="dxa"/>
            <w:tcBorders>
              <w:top w:val="nil"/>
              <w:left w:val="nil"/>
              <w:bottom w:val="single" w:sz="7" w:space="0" w:color="000000"/>
              <w:right w:val="nil"/>
            </w:tcBorders>
            <w:tcMar>
              <w:top w:w="100" w:type="dxa"/>
              <w:left w:w="100" w:type="dxa"/>
              <w:bottom w:w="100" w:type="dxa"/>
              <w:right w:w="100" w:type="dxa"/>
            </w:tcMar>
            <w:vAlign w:val="bottom"/>
          </w:tcPr>
          <w:p w14:paraId="1F35CD8E" w14:textId="77777777" w:rsidR="00DE3EE8" w:rsidRPr="002B7E6B" w:rsidRDefault="00DE3EE8" w:rsidP="005A5ABD">
            <w:pPr>
              <w:rPr>
                <w:sz w:val="22"/>
                <w:szCs w:val="22"/>
              </w:rPr>
            </w:pPr>
            <w:r w:rsidRPr="002B7E6B">
              <w:rPr>
                <w:sz w:val="22"/>
                <w:szCs w:val="22"/>
              </w:rPr>
              <w:t>n/a</w:t>
            </w:r>
          </w:p>
        </w:tc>
        <w:tc>
          <w:tcPr>
            <w:tcW w:w="1138" w:type="dxa"/>
            <w:tcBorders>
              <w:top w:val="nil"/>
              <w:left w:val="nil"/>
              <w:bottom w:val="single" w:sz="7" w:space="0" w:color="000000"/>
              <w:right w:val="nil"/>
            </w:tcBorders>
            <w:tcMar>
              <w:top w:w="100" w:type="dxa"/>
              <w:left w:w="100" w:type="dxa"/>
              <w:bottom w:w="100" w:type="dxa"/>
              <w:right w:w="100" w:type="dxa"/>
            </w:tcMar>
            <w:vAlign w:val="bottom"/>
          </w:tcPr>
          <w:p w14:paraId="6E1B7555" w14:textId="77777777" w:rsidR="00DE3EE8" w:rsidRPr="002B7E6B" w:rsidRDefault="00DE3EE8" w:rsidP="005A5ABD">
            <w:pPr>
              <w:rPr>
                <w:sz w:val="22"/>
                <w:szCs w:val="22"/>
              </w:rPr>
            </w:pPr>
            <w:r w:rsidRPr="002B7E6B">
              <w:rPr>
                <w:sz w:val="22"/>
                <w:szCs w:val="22"/>
              </w:rPr>
              <w:t>n/a</w:t>
            </w:r>
          </w:p>
        </w:tc>
      </w:tr>
      <w:tr w:rsidR="00DE3EE8" w:rsidRPr="002B7E6B" w14:paraId="03CD813D" w14:textId="77777777" w:rsidTr="005A5ABD">
        <w:trPr>
          <w:trHeight w:val="500"/>
        </w:trPr>
        <w:tc>
          <w:tcPr>
            <w:tcW w:w="2597" w:type="dxa"/>
            <w:tcBorders>
              <w:top w:val="nil"/>
              <w:left w:val="nil"/>
              <w:bottom w:val="nil"/>
              <w:right w:val="nil"/>
            </w:tcBorders>
            <w:tcMar>
              <w:top w:w="100" w:type="dxa"/>
              <w:left w:w="100" w:type="dxa"/>
              <w:bottom w:w="100" w:type="dxa"/>
              <w:right w:w="100" w:type="dxa"/>
            </w:tcMar>
            <w:vAlign w:val="bottom"/>
          </w:tcPr>
          <w:p w14:paraId="48AF85A7" w14:textId="77777777" w:rsidR="00DE3EE8" w:rsidRPr="002B7E6B" w:rsidRDefault="00DE3EE8" w:rsidP="005A5ABD">
            <w:pPr>
              <w:rPr>
                <w:sz w:val="22"/>
                <w:szCs w:val="22"/>
              </w:rPr>
            </w:pPr>
            <w:r w:rsidRPr="002B7E6B">
              <w:rPr>
                <w:sz w:val="22"/>
                <w:szCs w:val="22"/>
              </w:rPr>
              <w:t>Eastern Aleutian Islands</w:t>
            </w:r>
          </w:p>
        </w:tc>
        <w:tc>
          <w:tcPr>
            <w:tcW w:w="1240" w:type="dxa"/>
            <w:tcBorders>
              <w:top w:val="nil"/>
              <w:left w:val="nil"/>
              <w:bottom w:val="nil"/>
              <w:right w:val="nil"/>
            </w:tcBorders>
            <w:tcMar>
              <w:top w:w="100" w:type="dxa"/>
              <w:left w:w="100" w:type="dxa"/>
              <w:bottom w:w="100" w:type="dxa"/>
              <w:right w:w="100" w:type="dxa"/>
            </w:tcMar>
            <w:vAlign w:val="bottom"/>
          </w:tcPr>
          <w:p w14:paraId="10A7333C" w14:textId="77777777" w:rsidR="00DE3EE8" w:rsidRPr="002B7E6B" w:rsidRDefault="00DE3EE8" w:rsidP="005A5ABD">
            <w:pPr>
              <w:rPr>
                <w:sz w:val="22"/>
                <w:szCs w:val="22"/>
              </w:rPr>
            </w:pPr>
            <w:r w:rsidRPr="002B7E6B">
              <w:rPr>
                <w:sz w:val="22"/>
                <w:szCs w:val="22"/>
              </w:rPr>
              <w:t>2021</w:t>
            </w:r>
          </w:p>
        </w:tc>
        <w:tc>
          <w:tcPr>
            <w:tcW w:w="1240" w:type="dxa"/>
            <w:tcBorders>
              <w:top w:val="nil"/>
              <w:left w:val="nil"/>
              <w:bottom w:val="nil"/>
              <w:right w:val="nil"/>
            </w:tcBorders>
            <w:tcMar>
              <w:top w:w="100" w:type="dxa"/>
              <w:left w:w="100" w:type="dxa"/>
              <w:bottom w:w="100" w:type="dxa"/>
              <w:right w:w="100" w:type="dxa"/>
            </w:tcMar>
            <w:vAlign w:val="bottom"/>
          </w:tcPr>
          <w:p w14:paraId="796536EC" w14:textId="77777777" w:rsidR="00DE3EE8" w:rsidRPr="002B7E6B" w:rsidRDefault="00DE3EE8" w:rsidP="005A5ABD">
            <w:pPr>
              <w:rPr>
                <w:sz w:val="22"/>
                <w:szCs w:val="22"/>
              </w:rPr>
            </w:pPr>
          </w:p>
        </w:tc>
        <w:tc>
          <w:tcPr>
            <w:tcW w:w="1138" w:type="dxa"/>
            <w:tcBorders>
              <w:top w:val="nil"/>
              <w:left w:val="nil"/>
              <w:bottom w:val="nil"/>
              <w:right w:val="nil"/>
            </w:tcBorders>
            <w:tcMar>
              <w:top w:w="100" w:type="dxa"/>
              <w:left w:w="100" w:type="dxa"/>
              <w:bottom w:w="100" w:type="dxa"/>
              <w:right w:w="100" w:type="dxa"/>
            </w:tcMar>
            <w:vAlign w:val="bottom"/>
          </w:tcPr>
          <w:p w14:paraId="3AF8E96E" w14:textId="77777777" w:rsidR="00DE3EE8" w:rsidRPr="002B7E6B" w:rsidRDefault="00DE3EE8" w:rsidP="005A5ABD">
            <w:pPr>
              <w:pBdr>
                <w:top w:val="nil"/>
                <w:left w:val="nil"/>
                <w:bottom w:val="nil"/>
                <w:right w:val="nil"/>
                <w:between w:val="nil"/>
              </w:pBdr>
              <w:rPr>
                <w:sz w:val="22"/>
                <w:szCs w:val="22"/>
              </w:rPr>
            </w:pPr>
          </w:p>
        </w:tc>
        <w:tc>
          <w:tcPr>
            <w:tcW w:w="1138" w:type="dxa"/>
            <w:tcBorders>
              <w:top w:val="nil"/>
              <w:left w:val="nil"/>
              <w:bottom w:val="nil"/>
              <w:right w:val="nil"/>
            </w:tcBorders>
            <w:tcMar>
              <w:top w:w="100" w:type="dxa"/>
              <w:left w:w="100" w:type="dxa"/>
              <w:bottom w:w="100" w:type="dxa"/>
              <w:right w:w="100" w:type="dxa"/>
            </w:tcMar>
            <w:vAlign w:val="bottom"/>
          </w:tcPr>
          <w:p w14:paraId="7A1FF7CD" w14:textId="77777777" w:rsidR="00DE3EE8" w:rsidRPr="002B7E6B" w:rsidRDefault="00DE3EE8" w:rsidP="005A5ABD">
            <w:pPr>
              <w:rPr>
                <w:sz w:val="22"/>
                <w:szCs w:val="22"/>
              </w:rPr>
            </w:pPr>
            <w:r w:rsidRPr="002B7E6B">
              <w:rPr>
                <w:sz w:val="22"/>
                <w:szCs w:val="22"/>
              </w:rPr>
              <w:t>8,419</w:t>
            </w:r>
          </w:p>
        </w:tc>
        <w:tc>
          <w:tcPr>
            <w:tcW w:w="1138" w:type="dxa"/>
            <w:tcBorders>
              <w:top w:val="nil"/>
              <w:left w:val="nil"/>
              <w:bottom w:val="nil"/>
              <w:right w:val="nil"/>
            </w:tcBorders>
            <w:tcMar>
              <w:top w:w="100" w:type="dxa"/>
              <w:left w:w="100" w:type="dxa"/>
              <w:bottom w:w="100" w:type="dxa"/>
              <w:right w:w="100" w:type="dxa"/>
            </w:tcMar>
            <w:vAlign w:val="bottom"/>
          </w:tcPr>
          <w:p w14:paraId="37726152" w14:textId="77777777" w:rsidR="00DE3EE8" w:rsidRPr="002B7E6B" w:rsidRDefault="00DE3EE8" w:rsidP="005A5ABD">
            <w:pPr>
              <w:rPr>
                <w:sz w:val="22"/>
                <w:szCs w:val="22"/>
              </w:rPr>
            </w:pPr>
            <w:r w:rsidRPr="002B7E6B">
              <w:rPr>
                <w:sz w:val="22"/>
                <w:szCs w:val="22"/>
              </w:rPr>
              <w:t>8,419</w:t>
            </w:r>
          </w:p>
        </w:tc>
        <w:tc>
          <w:tcPr>
            <w:tcW w:w="1138" w:type="dxa"/>
            <w:tcBorders>
              <w:top w:val="nil"/>
              <w:left w:val="nil"/>
              <w:bottom w:val="nil"/>
              <w:right w:val="nil"/>
            </w:tcBorders>
            <w:tcMar>
              <w:top w:w="100" w:type="dxa"/>
              <w:left w:w="100" w:type="dxa"/>
              <w:bottom w:w="100" w:type="dxa"/>
              <w:right w:w="100" w:type="dxa"/>
            </w:tcMar>
            <w:vAlign w:val="bottom"/>
          </w:tcPr>
          <w:p w14:paraId="3A0C455B" w14:textId="77777777" w:rsidR="00DE3EE8" w:rsidRPr="002B7E6B" w:rsidRDefault="00DE3EE8" w:rsidP="005A5ABD">
            <w:pPr>
              <w:rPr>
                <w:sz w:val="22"/>
                <w:szCs w:val="22"/>
              </w:rPr>
            </w:pPr>
            <w:r w:rsidRPr="002B7E6B">
              <w:rPr>
                <w:sz w:val="22"/>
                <w:szCs w:val="22"/>
              </w:rPr>
              <w:t>8,288</w:t>
            </w:r>
          </w:p>
        </w:tc>
      </w:tr>
      <w:tr w:rsidR="00DE3EE8" w:rsidRPr="002B7E6B" w14:paraId="5BAD5E3D" w14:textId="77777777" w:rsidTr="005A5ABD">
        <w:trPr>
          <w:trHeight w:val="500"/>
        </w:trPr>
        <w:tc>
          <w:tcPr>
            <w:tcW w:w="2597" w:type="dxa"/>
            <w:tcBorders>
              <w:top w:val="nil"/>
              <w:left w:val="nil"/>
              <w:bottom w:val="nil"/>
              <w:right w:val="nil"/>
            </w:tcBorders>
            <w:tcMar>
              <w:top w:w="100" w:type="dxa"/>
              <w:left w:w="100" w:type="dxa"/>
              <w:bottom w:w="100" w:type="dxa"/>
              <w:right w:w="100" w:type="dxa"/>
            </w:tcMar>
            <w:vAlign w:val="bottom"/>
          </w:tcPr>
          <w:p w14:paraId="7DE3B814" w14:textId="77777777" w:rsidR="00DE3EE8" w:rsidRPr="002B7E6B" w:rsidRDefault="00DE3EE8" w:rsidP="005A5ABD">
            <w:pPr>
              <w:rPr>
                <w:sz w:val="22"/>
                <w:szCs w:val="22"/>
              </w:rPr>
            </w:pPr>
          </w:p>
        </w:tc>
        <w:tc>
          <w:tcPr>
            <w:tcW w:w="1240" w:type="dxa"/>
            <w:tcBorders>
              <w:top w:val="nil"/>
              <w:left w:val="nil"/>
              <w:bottom w:val="nil"/>
              <w:right w:val="nil"/>
            </w:tcBorders>
            <w:tcMar>
              <w:top w:w="100" w:type="dxa"/>
              <w:left w:w="100" w:type="dxa"/>
              <w:bottom w:w="100" w:type="dxa"/>
              <w:right w:w="100" w:type="dxa"/>
            </w:tcMar>
            <w:vAlign w:val="bottom"/>
          </w:tcPr>
          <w:p w14:paraId="2419DCF1" w14:textId="77777777" w:rsidR="00DE3EE8" w:rsidRPr="002B7E6B" w:rsidRDefault="00DE3EE8" w:rsidP="005A5ABD">
            <w:pPr>
              <w:rPr>
                <w:sz w:val="22"/>
                <w:szCs w:val="22"/>
              </w:rPr>
            </w:pPr>
            <w:r w:rsidRPr="002B7E6B">
              <w:rPr>
                <w:sz w:val="22"/>
                <w:szCs w:val="22"/>
              </w:rPr>
              <w:t>2022</w:t>
            </w:r>
          </w:p>
        </w:tc>
        <w:tc>
          <w:tcPr>
            <w:tcW w:w="1240" w:type="dxa"/>
            <w:tcBorders>
              <w:top w:val="nil"/>
              <w:left w:val="nil"/>
              <w:bottom w:val="nil"/>
              <w:right w:val="nil"/>
            </w:tcBorders>
            <w:tcMar>
              <w:top w:w="100" w:type="dxa"/>
              <w:left w:w="100" w:type="dxa"/>
              <w:bottom w:w="100" w:type="dxa"/>
              <w:right w:w="100" w:type="dxa"/>
            </w:tcMar>
            <w:vAlign w:val="bottom"/>
          </w:tcPr>
          <w:p w14:paraId="0F3DBED4" w14:textId="77777777" w:rsidR="00DE3EE8" w:rsidRPr="002B7E6B" w:rsidRDefault="00DE3EE8" w:rsidP="005A5ABD">
            <w:pPr>
              <w:rPr>
                <w:sz w:val="22"/>
                <w:szCs w:val="22"/>
              </w:rPr>
            </w:pPr>
          </w:p>
        </w:tc>
        <w:tc>
          <w:tcPr>
            <w:tcW w:w="1138" w:type="dxa"/>
            <w:tcBorders>
              <w:top w:val="nil"/>
              <w:left w:val="nil"/>
              <w:bottom w:val="nil"/>
              <w:right w:val="nil"/>
            </w:tcBorders>
            <w:tcMar>
              <w:top w:w="100" w:type="dxa"/>
              <w:left w:w="100" w:type="dxa"/>
              <w:bottom w:w="100" w:type="dxa"/>
              <w:right w:w="100" w:type="dxa"/>
            </w:tcMar>
            <w:vAlign w:val="bottom"/>
          </w:tcPr>
          <w:p w14:paraId="4ECE841C" w14:textId="77777777" w:rsidR="00DE3EE8" w:rsidRPr="002B7E6B" w:rsidRDefault="00DE3EE8" w:rsidP="005A5ABD">
            <w:pPr>
              <w:pBdr>
                <w:top w:val="nil"/>
                <w:left w:val="nil"/>
                <w:bottom w:val="nil"/>
                <w:right w:val="nil"/>
                <w:between w:val="nil"/>
              </w:pBdr>
              <w:rPr>
                <w:sz w:val="22"/>
                <w:szCs w:val="22"/>
              </w:rPr>
            </w:pPr>
          </w:p>
        </w:tc>
        <w:tc>
          <w:tcPr>
            <w:tcW w:w="1138" w:type="dxa"/>
            <w:tcBorders>
              <w:top w:val="nil"/>
              <w:left w:val="nil"/>
              <w:bottom w:val="nil"/>
              <w:right w:val="nil"/>
            </w:tcBorders>
            <w:tcMar>
              <w:top w:w="100" w:type="dxa"/>
              <w:left w:w="100" w:type="dxa"/>
              <w:bottom w:w="100" w:type="dxa"/>
              <w:right w:w="100" w:type="dxa"/>
            </w:tcMar>
            <w:vAlign w:val="bottom"/>
          </w:tcPr>
          <w:p w14:paraId="63AF0FBE" w14:textId="77777777" w:rsidR="00DE3EE8" w:rsidRPr="002B7E6B" w:rsidRDefault="00DE3EE8" w:rsidP="005A5ABD">
            <w:pPr>
              <w:rPr>
                <w:sz w:val="22"/>
                <w:szCs w:val="22"/>
              </w:rPr>
            </w:pPr>
            <w:r w:rsidRPr="002B7E6B">
              <w:rPr>
                <w:sz w:val="22"/>
                <w:szCs w:val="22"/>
              </w:rPr>
              <w:t>8,083</w:t>
            </w:r>
          </w:p>
        </w:tc>
        <w:tc>
          <w:tcPr>
            <w:tcW w:w="1138" w:type="dxa"/>
            <w:tcBorders>
              <w:top w:val="nil"/>
              <w:left w:val="nil"/>
              <w:bottom w:val="nil"/>
              <w:right w:val="nil"/>
            </w:tcBorders>
            <w:tcMar>
              <w:top w:w="100" w:type="dxa"/>
              <w:left w:w="100" w:type="dxa"/>
              <w:bottom w:w="100" w:type="dxa"/>
              <w:right w:w="100" w:type="dxa"/>
            </w:tcMar>
            <w:vAlign w:val="bottom"/>
          </w:tcPr>
          <w:p w14:paraId="4DFBE99A" w14:textId="77777777" w:rsidR="00DE3EE8" w:rsidRPr="002B7E6B" w:rsidRDefault="00DE3EE8" w:rsidP="005A5ABD">
            <w:pPr>
              <w:rPr>
                <w:sz w:val="22"/>
                <w:szCs w:val="22"/>
              </w:rPr>
            </w:pPr>
            <w:r w:rsidRPr="002B7E6B">
              <w:rPr>
                <w:sz w:val="22"/>
                <w:szCs w:val="22"/>
              </w:rPr>
              <w:t>8,083</w:t>
            </w:r>
          </w:p>
        </w:tc>
        <w:tc>
          <w:tcPr>
            <w:tcW w:w="1138" w:type="dxa"/>
            <w:tcBorders>
              <w:top w:val="nil"/>
              <w:left w:val="nil"/>
              <w:bottom w:val="nil"/>
              <w:right w:val="nil"/>
            </w:tcBorders>
            <w:tcMar>
              <w:top w:w="100" w:type="dxa"/>
              <w:left w:w="100" w:type="dxa"/>
              <w:bottom w:w="100" w:type="dxa"/>
              <w:right w:w="100" w:type="dxa"/>
            </w:tcMar>
            <w:vAlign w:val="bottom"/>
          </w:tcPr>
          <w:p w14:paraId="543DA345" w14:textId="77777777" w:rsidR="00DE3EE8" w:rsidRPr="002B7E6B" w:rsidRDefault="00DE3EE8" w:rsidP="005A5ABD">
            <w:pPr>
              <w:rPr>
                <w:sz w:val="22"/>
                <w:szCs w:val="22"/>
              </w:rPr>
            </w:pPr>
            <w:r w:rsidRPr="002B7E6B">
              <w:rPr>
                <w:sz w:val="22"/>
                <w:szCs w:val="22"/>
              </w:rPr>
              <w:t>5,924</w:t>
            </w:r>
          </w:p>
        </w:tc>
      </w:tr>
      <w:tr w:rsidR="00DE3EE8" w:rsidRPr="002B7E6B" w14:paraId="5D35B1D1" w14:textId="77777777" w:rsidTr="005A5ABD">
        <w:trPr>
          <w:trHeight w:val="500"/>
        </w:trPr>
        <w:tc>
          <w:tcPr>
            <w:tcW w:w="2597" w:type="dxa"/>
            <w:tcBorders>
              <w:top w:val="nil"/>
              <w:left w:val="nil"/>
              <w:bottom w:val="nil"/>
              <w:right w:val="nil"/>
            </w:tcBorders>
            <w:tcMar>
              <w:top w:w="100" w:type="dxa"/>
              <w:left w:w="100" w:type="dxa"/>
              <w:bottom w:w="100" w:type="dxa"/>
              <w:right w:w="100" w:type="dxa"/>
            </w:tcMar>
            <w:vAlign w:val="bottom"/>
          </w:tcPr>
          <w:p w14:paraId="250531A3" w14:textId="77777777" w:rsidR="00DE3EE8" w:rsidRPr="002B7E6B" w:rsidRDefault="00DE3EE8" w:rsidP="005A5ABD">
            <w:pPr>
              <w:rPr>
                <w:sz w:val="22"/>
                <w:szCs w:val="22"/>
              </w:rPr>
            </w:pPr>
          </w:p>
        </w:tc>
        <w:tc>
          <w:tcPr>
            <w:tcW w:w="1240" w:type="dxa"/>
            <w:tcBorders>
              <w:top w:val="nil"/>
              <w:left w:val="nil"/>
              <w:bottom w:val="nil"/>
              <w:right w:val="nil"/>
            </w:tcBorders>
            <w:tcMar>
              <w:top w:w="100" w:type="dxa"/>
              <w:left w:w="100" w:type="dxa"/>
              <w:bottom w:w="100" w:type="dxa"/>
              <w:right w:w="100" w:type="dxa"/>
            </w:tcMar>
            <w:vAlign w:val="bottom"/>
          </w:tcPr>
          <w:p w14:paraId="534E0E22" w14:textId="77777777" w:rsidR="00DE3EE8" w:rsidRPr="002B7E6B" w:rsidRDefault="00DE3EE8" w:rsidP="005A5ABD">
            <w:pPr>
              <w:rPr>
                <w:sz w:val="22"/>
                <w:szCs w:val="22"/>
              </w:rPr>
            </w:pPr>
            <w:r w:rsidRPr="002B7E6B">
              <w:rPr>
                <w:sz w:val="22"/>
                <w:szCs w:val="22"/>
              </w:rPr>
              <w:t>2023</w:t>
            </w:r>
          </w:p>
        </w:tc>
        <w:tc>
          <w:tcPr>
            <w:tcW w:w="1240" w:type="dxa"/>
            <w:tcBorders>
              <w:top w:val="nil"/>
              <w:left w:val="nil"/>
              <w:bottom w:val="nil"/>
              <w:right w:val="nil"/>
            </w:tcBorders>
            <w:tcMar>
              <w:top w:w="100" w:type="dxa"/>
              <w:left w:w="100" w:type="dxa"/>
              <w:bottom w:w="100" w:type="dxa"/>
              <w:right w:w="100" w:type="dxa"/>
            </w:tcMar>
            <w:vAlign w:val="bottom"/>
          </w:tcPr>
          <w:p w14:paraId="748118F9" w14:textId="77777777" w:rsidR="00DE3EE8" w:rsidRPr="002B7E6B" w:rsidRDefault="00DE3EE8" w:rsidP="005A5ABD">
            <w:pPr>
              <w:rPr>
                <w:sz w:val="22"/>
                <w:szCs w:val="22"/>
              </w:rPr>
            </w:pPr>
          </w:p>
        </w:tc>
        <w:tc>
          <w:tcPr>
            <w:tcW w:w="1138" w:type="dxa"/>
            <w:tcBorders>
              <w:top w:val="nil"/>
              <w:left w:val="nil"/>
              <w:bottom w:val="nil"/>
              <w:right w:val="nil"/>
            </w:tcBorders>
            <w:tcMar>
              <w:top w:w="100" w:type="dxa"/>
              <w:left w:w="100" w:type="dxa"/>
              <w:bottom w:w="100" w:type="dxa"/>
              <w:right w:w="100" w:type="dxa"/>
            </w:tcMar>
            <w:vAlign w:val="bottom"/>
          </w:tcPr>
          <w:p w14:paraId="17A7F482" w14:textId="77777777" w:rsidR="00DE3EE8" w:rsidRPr="002B7E6B" w:rsidRDefault="00DE3EE8" w:rsidP="005A5ABD">
            <w:pPr>
              <w:pBdr>
                <w:top w:val="nil"/>
                <w:left w:val="nil"/>
                <w:bottom w:val="nil"/>
                <w:right w:val="nil"/>
                <w:between w:val="nil"/>
              </w:pBdr>
              <w:rPr>
                <w:sz w:val="22"/>
                <w:szCs w:val="22"/>
              </w:rPr>
            </w:pPr>
          </w:p>
        </w:tc>
        <w:tc>
          <w:tcPr>
            <w:tcW w:w="1138" w:type="dxa"/>
            <w:tcBorders>
              <w:top w:val="nil"/>
              <w:left w:val="nil"/>
              <w:bottom w:val="nil"/>
              <w:right w:val="nil"/>
            </w:tcBorders>
            <w:tcMar>
              <w:top w:w="100" w:type="dxa"/>
              <w:left w:w="100" w:type="dxa"/>
              <w:bottom w:w="100" w:type="dxa"/>
              <w:right w:w="100" w:type="dxa"/>
            </w:tcMar>
            <w:vAlign w:val="bottom"/>
          </w:tcPr>
          <w:p w14:paraId="215BD002" w14:textId="77777777" w:rsidR="00DE3EE8" w:rsidRPr="002B7E6B" w:rsidRDefault="00DE3EE8" w:rsidP="005A5ABD">
            <w:pPr>
              <w:rPr>
                <w:sz w:val="22"/>
                <w:szCs w:val="22"/>
              </w:rPr>
            </w:pPr>
            <w:r w:rsidRPr="002B7E6B">
              <w:rPr>
                <w:sz w:val="22"/>
                <w:szCs w:val="22"/>
              </w:rPr>
              <w:t>8,152</w:t>
            </w:r>
          </w:p>
        </w:tc>
        <w:tc>
          <w:tcPr>
            <w:tcW w:w="1138" w:type="dxa"/>
            <w:tcBorders>
              <w:top w:val="nil"/>
              <w:left w:val="nil"/>
              <w:bottom w:val="nil"/>
              <w:right w:val="nil"/>
            </w:tcBorders>
            <w:tcMar>
              <w:top w:w="100" w:type="dxa"/>
              <w:left w:w="100" w:type="dxa"/>
              <w:bottom w:w="100" w:type="dxa"/>
              <w:right w:w="100" w:type="dxa"/>
            </w:tcMar>
            <w:vAlign w:val="bottom"/>
          </w:tcPr>
          <w:p w14:paraId="5A4799B8" w14:textId="77777777" w:rsidR="00DE3EE8" w:rsidRPr="002B7E6B" w:rsidRDefault="00DE3EE8" w:rsidP="005A5ABD">
            <w:pPr>
              <w:rPr>
                <w:sz w:val="22"/>
                <w:szCs w:val="22"/>
              </w:rPr>
            </w:pPr>
            <w:r w:rsidRPr="002B7E6B">
              <w:rPr>
                <w:sz w:val="22"/>
                <w:szCs w:val="22"/>
              </w:rPr>
              <w:t>n/a</w:t>
            </w:r>
          </w:p>
        </w:tc>
        <w:tc>
          <w:tcPr>
            <w:tcW w:w="1138" w:type="dxa"/>
            <w:tcBorders>
              <w:top w:val="nil"/>
              <w:left w:val="nil"/>
              <w:bottom w:val="nil"/>
              <w:right w:val="nil"/>
            </w:tcBorders>
            <w:tcMar>
              <w:top w:w="100" w:type="dxa"/>
              <w:left w:w="100" w:type="dxa"/>
              <w:bottom w:w="100" w:type="dxa"/>
              <w:right w:w="100" w:type="dxa"/>
            </w:tcMar>
            <w:vAlign w:val="bottom"/>
          </w:tcPr>
          <w:p w14:paraId="07E0FC24" w14:textId="77777777" w:rsidR="00DE3EE8" w:rsidRPr="002B7E6B" w:rsidRDefault="00DE3EE8" w:rsidP="005A5ABD">
            <w:pPr>
              <w:rPr>
                <w:sz w:val="22"/>
                <w:szCs w:val="22"/>
              </w:rPr>
            </w:pPr>
            <w:r w:rsidRPr="002B7E6B">
              <w:rPr>
                <w:sz w:val="22"/>
                <w:szCs w:val="22"/>
              </w:rPr>
              <w:t>n/a</w:t>
            </w:r>
          </w:p>
        </w:tc>
      </w:tr>
      <w:tr w:rsidR="00DE3EE8" w:rsidRPr="002B7E6B" w14:paraId="200479C3" w14:textId="77777777" w:rsidTr="005A5ABD">
        <w:trPr>
          <w:trHeight w:val="500"/>
        </w:trPr>
        <w:tc>
          <w:tcPr>
            <w:tcW w:w="2597" w:type="dxa"/>
            <w:tcBorders>
              <w:top w:val="nil"/>
              <w:left w:val="nil"/>
              <w:bottom w:val="single" w:sz="7" w:space="0" w:color="000000"/>
              <w:right w:val="nil"/>
            </w:tcBorders>
            <w:tcMar>
              <w:top w:w="100" w:type="dxa"/>
              <w:left w:w="100" w:type="dxa"/>
              <w:bottom w:w="100" w:type="dxa"/>
              <w:right w:w="100" w:type="dxa"/>
            </w:tcMar>
            <w:vAlign w:val="bottom"/>
          </w:tcPr>
          <w:p w14:paraId="6FF3765D" w14:textId="77777777" w:rsidR="00DE3EE8" w:rsidRPr="002B7E6B" w:rsidRDefault="00DE3EE8" w:rsidP="005A5ABD">
            <w:pPr>
              <w:rPr>
                <w:sz w:val="22"/>
                <w:szCs w:val="22"/>
              </w:rPr>
            </w:pPr>
            <w:r w:rsidRPr="002B7E6B">
              <w:rPr>
                <w:sz w:val="22"/>
                <w:szCs w:val="22"/>
              </w:rPr>
              <w:t xml:space="preserve"> </w:t>
            </w:r>
          </w:p>
        </w:tc>
        <w:tc>
          <w:tcPr>
            <w:tcW w:w="1240" w:type="dxa"/>
            <w:tcBorders>
              <w:top w:val="nil"/>
              <w:left w:val="nil"/>
              <w:bottom w:val="single" w:sz="7" w:space="0" w:color="000000"/>
              <w:right w:val="nil"/>
            </w:tcBorders>
            <w:tcMar>
              <w:top w:w="100" w:type="dxa"/>
              <w:left w:w="100" w:type="dxa"/>
              <w:bottom w:w="100" w:type="dxa"/>
              <w:right w:w="100" w:type="dxa"/>
            </w:tcMar>
            <w:vAlign w:val="bottom"/>
          </w:tcPr>
          <w:p w14:paraId="6A10CD03" w14:textId="77777777" w:rsidR="00DE3EE8" w:rsidRPr="002B7E6B" w:rsidRDefault="00DE3EE8" w:rsidP="005A5ABD">
            <w:pPr>
              <w:rPr>
                <w:sz w:val="22"/>
                <w:szCs w:val="22"/>
              </w:rPr>
            </w:pPr>
            <w:r w:rsidRPr="002B7E6B">
              <w:rPr>
                <w:sz w:val="22"/>
                <w:szCs w:val="22"/>
              </w:rPr>
              <w:t>2024</w:t>
            </w:r>
          </w:p>
        </w:tc>
        <w:tc>
          <w:tcPr>
            <w:tcW w:w="1240" w:type="dxa"/>
            <w:tcBorders>
              <w:top w:val="nil"/>
              <w:left w:val="nil"/>
              <w:bottom w:val="single" w:sz="7" w:space="0" w:color="000000"/>
              <w:right w:val="nil"/>
            </w:tcBorders>
            <w:tcMar>
              <w:top w:w="100" w:type="dxa"/>
              <w:left w:w="100" w:type="dxa"/>
              <w:bottom w:w="100" w:type="dxa"/>
              <w:right w:w="100" w:type="dxa"/>
            </w:tcMar>
            <w:vAlign w:val="bottom"/>
          </w:tcPr>
          <w:p w14:paraId="2195D66A" w14:textId="77777777" w:rsidR="00DE3EE8" w:rsidRPr="002B7E6B" w:rsidRDefault="00DE3EE8" w:rsidP="005A5ABD">
            <w:pPr>
              <w:rPr>
                <w:sz w:val="22"/>
                <w:szCs w:val="22"/>
              </w:rPr>
            </w:pPr>
            <w:r w:rsidRPr="002B7E6B">
              <w:rPr>
                <w:sz w:val="22"/>
                <w:szCs w:val="22"/>
              </w:rPr>
              <w:t xml:space="preserve"> </w:t>
            </w:r>
          </w:p>
        </w:tc>
        <w:tc>
          <w:tcPr>
            <w:tcW w:w="1138" w:type="dxa"/>
            <w:tcBorders>
              <w:top w:val="nil"/>
              <w:left w:val="nil"/>
              <w:bottom w:val="single" w:sz="7" w:space="0" w:color="000000"/>
              <w:right w:val="nil"/>
            </w:tcBorders>
            <w:tcMar>
              <w:top w:w="100" w:type="dxa"/>
              <w:left w:w="100" w:type="dxa"/>
              <w:bottom w:w="100" w:type="dxa"/>
              <w:right w:w="100" w:type="dxa"/>
            </w:tcMar>
            <w:vAlign w:val="bottom"/>
          </w:tcPr>
          <w:p w14:paraId="0C4F70AF" w14:textId="77777777" w:rsidR="00DE3EE8" w:rsidRPr="002B7E6B" w:rsidRDefault="00DE3EE8" w:rsidP="005A5ABD">
            <w:pPr>
              <w:rPr>
                <w:sz w:val="22"/>
                <w:szCs w:val="22"/>
              </w:rPr>
            </w:pPr>
            <w:r w:rsidRPr="002B7E6B">
              <w:rPr>
                <w:sz w:val="22"/>
                <w:szCs w:val="22"/>
              </w:rPr>
              <w:t xml:space="preserve"> </w:t>
            </w:r>
          </w:p>
        </w:tc>
        <w:tc>
          <w:tcPr>
            <w:tcW w:w="1138" w:type="dxa"/>
            <w:tcBorders>
              <w:top w:val="nil"/>
              <w:left w:val="nil"/>
              <w:bottom w:val="single" w:sz="7" w:space="0" w:color="000000"/>
              <w:right w:val="nil"/>
            </w:tcBorders>
            <w:tcMar>
              <w:top w:w="100" w:type="dxa"/>
              <w:left w:w="100" w:type="dxa"/>
              <w:bottom w:w="100" w:type="dxa"/>
              <w:right w:w="100" w:type="dxa"/>
            </w:tcMar>
            <w:vAlign w:val="bottom"/>
          </w:tcPr>
          <w:p w14:paraId="5EA2AAAF" w14:textId="77777777" w:rsidR="00DE3EE8" w:rsidRPr="002B7E6B" w:rsidRDefault="00DE3EE8" w:rsidP="005A5ABD">
            <w:pPr>
              <w:rPr>
                <w:sz w:val="22"/>
                <w:szCs w:val="22"/>
              </w:rPr>
            </w:pPr>
            <w:r w:rsidRPr="002B7E6B">
              <w:rPr>
                <w:sz w:val="22"/>
                <w:szCs w:val="22"/>
              </w:rPr>
              <w:t>8,013</w:t>
            </w:r>
          </w:p>
        </w:tc>
        <w:tc>
          <w:tcPr>
            <w:tcW w:w="1138" w:type="dxa"/>
            <w:tcBorders>
              <w:top w:val="nil"/>
              <w:left w:val="nil"/>
              <w:bottom w:val="single" w:sz="7" w:space="0" w:color="000000"/>
              <w:right w:val="nil"/>
            </w:tcBorders>
            <w:tcMar>
              <w:top w:w="100" w:type="dxa"/>
              <w:left w:w="100" w:type="dxa"/>
              <w:bottom w:w="100" w:type="dxa"/>
              <w:right w:w="100" w:type="dxa"/>
            </w:tcMar>
            <w:vAlign w:val="bottom"/>
          </w:tcPr>
          <w:p w14:paraId="217AF5DC" w14:textId="77777777" w:rsidR="00DE3EE8" w:rsidRPr="002B7E6B" w:rsidRDefault="00DE3EE8" w:rsidP="005A5ABD">
            <w:pPr>
              <w:rPr>
                <w:sz w:val="22"/>
                <w:szCs w:val="22"/>
              </w:rPr>
            </w:pPr>
            <w:r w:rsidRPr="002B7E6B">
              <w:rPr>
                <w:sz w:val="22"/>
                <w:szCs w:val="22"/>
              </w:rPr>
              <w:t>n/a</w:t>
            </w:r>
          </w:p>
        </w:tc>
        <w:tc>
          <w:tcPr>
            <w:tcW w:w="1138" w:type="dxa"/>
            <w:tcBorders>
              <w:top w:val="nil"/>
              <w:left w:val="nil"/>
              <w:bottom w:val="single" w:sz="7" w:space="0" w:color="000000"/>
              <w:right w:val="nil"/>
            </w:tcBorders>
            <w:tcMar>
              <w:top w:w="100" w:type="dxa"/>
              <w:left w:w="100" w:type="dxa"/>
              <w:bottom w:w="100" w:type="dxa"/>
              <w:right w:w="100" w:type="dxa"/>
            </w:tcMar>
            <w:vAlign w:val="bottom"/>
          </w:tcPr>
          <w:p w14:paraId="0536BD2F" w14:textId="77777777" w:rsidR="00DE3EE8" w:rsidRPr="002B7E6B" w:rsidRDefault="00DE3EE8" w:rsidP="005A5ABD">
            <w:pPr>
              <w:rPr>
                <w:sz w:val="22"/>
                <w:szCs w:val="22"/>
              </w:rPr>
            </w:pPr>
            <w:r w:rsidRPr="002B7E6B">
              <w:rPr>
                <w:sz w:val="22"/>
                <w:szCs w:val="22"/>
              </w:rPr>
              <w:t>n/a</w:t>
            </w:r>
          </w:p>
        </w:tc>
      </w:tr>
      <w:tr w:rsidR="00DE3EE8" w:rsidRPr="002B7E6B" w14:paraId="01FA9D62" w14:textId="77777777" w:rsidTr="005A5ABD">
        <w:trPr>
          <w:trHeight w:val="500"/>
        </w:trPr>
        <w:tc>
          <w:tcPr>
            <w:tcW w:w="2597" w:type="dxa"/>
            <w:tcBorders>
              <w:top w:val="nil"/>
              <w:left w:val="nil"/>
              <w:bottom w:val="nil"/>
              <w:right w:val="nil"/>
            </w:tcBorders>
            <w:tcMar>
              <w:top w:w="100" w:type="dxa"/>
              <w:left w:w="100" w:type="dxa"/>
              <w:bottom w:w="100" w:type="dxa"/>
              <w:right w:w="100" w:type="dxa"/>
            </w:tcMar>
            <w:vAlign w:val="bottom"/>
          </w:tcPr>
          <w:p w14:paraId="66BFDE77" w14:textId="77777777" w:rsidR="00DE3EE8" w:rsidRPr="002B7E6B" w:rsidRDefault="00DE3EE8" w:rsidP="005A5ABD">
            <w:pPr>
              <w:rPr>
                <w:sz w:val="22"/>
                <w:szCs w:val="22"/>
              </w:rPr>
            </w:pPr>
            <w:r w:rsidRPr="002B7E6B">
              <w:rPr>
                <w:sz w:val="22"/>
                <w:szCs w:val="22"/>
              </w:rPr>
              <w:t>Central Aleutian Islands</w:t>
            </w:r>
          </w:p>
        </w:tc>
        <w:tc>
          <w:tcPr>
            <w:tcW w:w="1240" w:type="dxa"/>
            <w:tcBorders>
              <w:top w:val="nil"/>
              <w:left w:val="nil"/>
              <w:bottom w:val="nil"/>
              <w:right w:val="nil"/>
            </w:tcBorders>
            <w:tcMar>
              <w:top w:w="100" w:type="dxa"/>
              <w:left w:w="100" w:type="dxa"/>
              <w:bottom w:w="100" w:type="dxa"/>
              <w:right w:w="100" w:type="dxa"/>
            </w:tcMar>
            <w:vAlign w:val="bottom"/>
          </w:tcPr>
          <w:p w14:paraId="69C67703" w14:textId="77777777" w:rsidR="00DE3EE8" w:rsidRPr="002B7E6B" w:rsidRDefault="00DE3EE8" w:rsidP="005A5ABD">
            <w:pPr>
              <w:rPr>
                <w:sz w:val="22"/>
                <w:szCs w:val="22"/>
              </w:rPr>
            </w:pPr>
            <w:r w:rsidRPr="002B7E6B">
              <w:rPr>
                <w:sz w:val="22"/>
                <w:szCs w:val="22"/>
              </w:rPr>
              <w:t>2021</w:t>
            </w:r>
          </w:p>
        </w:tc>
        <w:tc>
          <w:tcPr>
            <w:tcW w:w="1240" w:type="dxa"/>
            <w:tcBorders>
              <w:top w:val="nil"/>
              <w:left w:val="nil"/>
              <w:bottom w:val="nil"/>
              <w:right w:val="nil"/>
            </w:tcBorders>
            <w:tcMar>
              <w:top w:w="100" w:type="dxa"/>
              <w:left w:w="100" w:type="dxa"/>
              <w:bottom w:w="100" w:type="dxa"/>
              <w:right w:w="100" w:type="dxa"/>
            </w:tcMar>
            <w:vAlign w:val="bottom"/>
          </w:tcPr>
          <w:p w14:paraId="7DD08A9F" w14:textId="77777777" w:rsidR="00DE3EE8" w:rsidRPr="002B7E6B" w:rsidRDefault="00DE3EE8" w:rsidP="005A5ABD">
            <w:pPr>
              <w:rPr>
                <w:sz w:val="22"/>
                <w:szCs w:val="22"/>
              </w:rPr>
            </w:pPr>
          </w:p>
        </w:tc>
        <w:tc>
          <w:tcPr>
            <w:tcW w:w="1138" w:type="dxa"/>
            <w:tcBorders>
              <w:top w:val="nil"/>
              <w:left w:val="nil"/>
              <w:bottom w:val="nil"/>
              <w:right w:val="nil"/>
            </w:tcBorders>
            <w:tcMar>
              <w:top w:w="100" w:type="dxa"/>
              <w:left w:w="100" w:type="dxa"/>
              <w:bottom w:w="100" w:type="dxa"/>
              <w:right w:w="100" w:type="dxa"/>
            </w:tcMar>
            <w:vAlign w:val="bottom"/>
          </w:tcPr>
          <w:p w14:paraId="4463027A" w14:textId="77777777" w:rsidR="00DE3EE8" w:rsidRPr="002B7E6B" w:rsidRDefault="00DE3EE8" w:rsidP="005A5ABD">
            <w:pPr>
              <w:pBdr>
                <w:top w:val="nil"/>
                <w:left w:val="nil"/>
                <w:bottom w:val="nil"/>
                <w:right w:val="nil"/>
                <w:between w:val="nil"/>
              </w:pBdr>
              <w:rPr>
                <w:sz w:val="22"/>
                <w:szCs w:val="22"/>
              </w:rPr>
            </w:pPr>
          </w:p>
        </w:tc>
        <w:tc>
          <w:tcPr>
            <w:tcW w:w="1138" w:type="dxa"/>
            <w:tcBorders>
              <w:top w:val="nil"/>
              <w:left w:val="nil"/>
              <w:bottom w:val="nil"/>
              <w:right w:val="nil"/>
            </w:tcBorders>
            <w:tcMar>
              <w:top w:w="100" w:type="dxa"/>
              <w:left w:w="100" w:type="dxa"/>
              <w:bottom w:w="100" w:type="dxa"/>
              <w:right w:w="100" w:type="dxa"/>
            </w:tcMar>
            <w:vAlign w:val="bottom"/>
          </w:tcPr>
          <w:p w14:paraId="2562E0F5" w14:textId="77777777" w:rsidR="00DE3EE8" w:rsidRPr="002B7E6B" w:rsidRDefault="00DE3EE8" w:rsidP="005A5ABD">
            <w:pPr>
              <w:rPr>
                <w:sz w:val="22"/>
                <w:szCs w:val="22"/>
              </w:rPr>
            </w:pPr>
            <w:r w:rsidRPr="002B7E6B">
              <w:rPr>
                <w:sz w:val="22"/>
                <w:szCs w:val="22"/>
              </w:rPr>
              <w:t>6,198</w:t>
            </w:r>
          </w:p>
        </w:tc>
        <w:tc>
          <w:tcPr>
            <w:tcW w:w="1138" w:type="dxa"/>
            <w:tcBorders>
              <w:top w:val="nil"/>
              <w:left w:val="nil"/>
              <w:bottom w:val="nil"/>
              <w:right w:val="nil"/>
            </w:tcBorders>
            <w:tcMar>
              <w:top w:w="100" w:type="dxa"/>
              <w:left w:w="100" w:type="dxa"/>
              <w:bottom w:w="100" w:type="dxa"/>
              <w:right w:w="100" w:type="dxa"/>
            </w:tcMar>
            <w:vAlign w:val="bottom"/>
          </w:tcPr>
          <w:p w14:paraId="5D5CDA4A" w14:textId="77777777" w:rsidR="00DE3EE8" w:rsidRPr="002B7E6B" w:rsidRDefault="00DE3EE8" w:rsidP="005A5ABD">
            <w:pPr>
              <w:rPr>
                <w:sz w:val="22"/>
                <w:szCs w:val="22"/>
              </w:rPr>
            </w:pPr>
            <w:r w:rsidRPr="002B7E6B">
              <w:rPr>
                <w:sz w:val="22"/>
                <w:szCs w:val="22"/>
              </w:rPr>
              <w:t>6,198</w:t>
            </w:r>
          </w:p>
        </w:tc>
        <w:tc>
          <w:tcPr>
            <w:tcW w:w="1138" w:type="dxa"/>
            <w:tcBorders>
              <w:top w:val="nil"/>
              <w:left w:val="nil"/>
              <w:bottom w:val="nil"/>
              <w:right w:val="nil"/>
            </w:tcBorders>
            <w:tcMar>
              <w:top w:w="100" w:type="dxa"/>
              <w:left w:w="100" w:type="dxa"/>
              <w:bottom w:w="100" w:type="dxa"/>
              <w:right w:w="100" w:type="dxa"/>
            </w:tcMar>
            <w:vAlign w:val="bottom"/>
          </w:tcPr>
          <w:p w14:paraId="4E2F2711" w14:textId="77777777" w:rsidR="00DE3EE8" w:rsidRPr="002B7E6B" w:rsidRDefault="00DE3EE8" w:rsidP="005A5ABD">
            <w:pPr>
              <w:rPr>
                <w:sz w:val="22"/>
                <w:szCs w:val="22"/>
              </w:rPr>
            </w:pPr>
            <w:r w:rsidRPr="002B7E6B">
              <w:rPr>
                <w:sz w:val="22"/>
                <w:szCs w:val="22"/>
              </w:rPr>
              <w:t>5,993</w:t>
            </w:r>
          </w:p>
        </w:tc>
      </w:tr>
      <w:tr w:rsidR="00DE3EE8" w:rsidRPr="002B7E6B" w14:paraId="3BA4E7F0" w14:textId="77777777" w:rsidTr="005A5ABD">
        <w:trPr>
          <w:trHeight w:val="500"/>
        </w:trPr>
        <w:tc>
          <w:tcPr>
            <w:tcW w:w="2597" w:type="dxa"/>
            <w:tcBorders>
              <w:top w:val="nil"/>
              <w:left w:val="nil"/>
              <w:bottom w:val="nil"/>
              <w:right w:val="nil"/>
            </w:tcBorders>
            <w:tcMar>
              <w:top w:w="100" w:type="dxa"/>
              <w:left w:w="100" w:type="dxa"/>
              <w:bottom w:w="100" w:type="dxa"/>
              <w:right w:w="100" w:type="dxa"/>
            </w:tcMar>
            <w:vAlign w:val="bottom"/>
          </w:tcPr>
          <w:p w14:paraId="067462CA" w14:textId="77777777" w:rsidR="00DE3EE8" w:rsidRPr="002B7E6B" w:rsidRDefault="00DE3EE8" w:rsidP="005A5ABD">
            <w:pPr>
              <w:rPr>
                <w:sz w:val="22"/>
                <w:szCs w:val="22"/>
              </w:rPr>
            </w:pPr>
          </w:p>
        </w:tc>
        <w:tc>
          <w:tcPr>
            <w:tcW w:w="1240" w:type="dxa"/>
            <w:tcBorders>
              <w:top w:val="nil"/>
              <w:left w:val="nil"/>
              <w:bottom w:val="nil"/>
              <w:right w:val="nil"/>
            </w:tcBorders>
            <w:tcMar>
              <w:top w:w="100" w:type="dxa"/>
              <w:left w:w="100" w:type="dxa"/>
              <w:bottom w:w="100" w:type="dxa"/>
              <w:right w:w="100" w:type="dxa"/>
            </w:tcMar>
            <w:vAlign w:val="bottom"/>
          </w:tcPr>
          <w:p w14:paraId="39FE9CFA" w14:textId="77777777" w:rsidR="00DE3EE8" w:rsidRPr="002B7E6B" w:rsidRDefault="00DE3EE8" w:rsidP="005A5ABD">
            <w:pPr>
              <w:rPr>
                <w:sz w:val="22"/>
                <w:szCs w:val="22"/>
              </w:rPr>
            </w:pPr>
            <w:r w:rsidRPr="002B7E6B">
              <w:rPr>
                <w:sz w:val="22"/>
                <w:szCs w:val="22"/>
              </w:rPr>
              <w:t>2022</w:t>
            </w:r>
          </w:p>
        </w:tc>
        <w:tc>
          <w:tcPr>
            <w:tcW w:w="1240" w:type="dxa"/>
            <w:tcBorders>
              <w:top w:val="nil"/>
              <w:left w:val="nil"/>
              <w:bottom w:val="nil"/>
              <w:right w:val="nil"/>
            </w:tcBorders>
            <w:tcMar>
              <w:top w:w="100" w:type="dxa"/>
              <w:left w:w="100" w:type="dxa"/>
              <w:bottom w:w="100" w:type="dxa"/>
              <w:right w:w="100" w:type="dxa"/>
            </w:tcMar>
            <w:vAlign w:val="bottom"/>
          </w:tcPr>
          <w:p w14:paraId="77D8F920" w14:textId="77777777" w:rsidR="00DE3EE8" w:rsidRPr="002B7E6B" w:rsidRDefault="00DE3EE8" w:rsidP="005A5ABD">
            <w:pPr>
              <w:rPr>
                <w:sz w:val="22"/>
                <w:szCs w:val="22"/>
              </w:rPr>
            </w:pPr>
          </w:p>
        </w:tc>
        <w:tc>
          <w:tcPr>
            <w:tcW w:w="1138" w:type="dxa"/>
            <w:tcBorders>
              <w:top w:val="nil"/>
              <w:left w:val="nil"/>
              <w:bottom w:val="nil"/>
              <w:right w:val="nil"/>
            </w:tcBorders>
            <w:tcMar>
              <w:top w:w="100" w:type="dxa"/>
              <w:left w:w="100" w:type="dxa"/>
              <w:bottom w:w="100" w:type="dxa"/>
              <w:right w:w="100" w:type="dxa"/>
            </w:tcMar>
            <w:vAlign w:val="bottom"/>
          </w:tcPr>
          <w:p w14:paraId="59DA3B22" w14:textId="77777777" w:rsidR="00DE3EE8" w:rsidRPr="002B7E6B" w:rsidRDefault="00DE3EE8" w:rsidP="005A5ABD">
            <w:pPr>
              <w:pBdr>
                <w:top w:val="nil"/>
                <w:left w:val="nil"/>
                <w:bottom w:val="nil"/>
                <w:right w:val="nil"/>
                <w:between w:val="nil"/>
              </w:pBdr>
              <w:rPr>
                <w:sz w:val="22"/>
                <w:szCs w:val="22"/>
              </w:rPr>
            </w:pPr>
          </w:p>
        </w:tc>
        <w:tc>
          <w:tcPr>
            <w:tcW w:w="1138" w:type="dxa"/>
            <w:tcBorders>
              <w:top w:val="nil"/>
              <w:left w:val="nil"/>
              <w:bottom w:val="nil"/>
              <w:right w:val="nil"/>
            </w:tcBorders>
            <w:tcMar>
              <w:top w:w="100" w:type="dxa"/>
              <w:left w:w="100" w:type="dxa"/>
              <w:bottom w:w="100" w:type="dxa"/>
              <w:right w:w="100" w:type="dxa"/>
            </w:tcMar>
            <w:vAlign w:val="bottom"/>
          </w:tcPr>
          <w:p w14:paraId="241B6098" w14:textId="77777777" w:rsidR="00DE3EE8" w:rsidRPr="002B7E6B" w:rsidRDefault="00DE3EE8" w:rsidP="005A5ABD">
            <w:pPr>
              <w:rPr>
                <w:sz w:val="22"/>
                <w:szCs w:val="22"/>
              </w:rPr>
            </w:pPr>
            <w:r w:rsidRPr="002B7E6B">
              <w:rPr>
                <w:sz w:val="22"/>
                <w:szCs w:val="22"/>
              </w:rPr>
              <w:t>5,950</w:t>
            </w:r>
          </w:p>
        </w:tc>
        <w:tc>
          <w:tcPr>
            <w:tcW w:w="1138" w:type="dxa"/>
            <w:tcBorders>
              <w:top w:val="nil"/>
              <w:left w:val="nil"/>
              <w:bottom w:val="nil"/>
              <w:right w:val="nil"/>
            </w:tcBorders>
            <w:tcMar>
              <w:top w:w="100" w:type="dxa"/>
              <w:left w:w="100" w:type="dxa"/>
              <w:bottom w:w="100" w:type="dxa"/>
              <w:right w:w="100" w:type="dxa"/>
            </w:tcMar>
            <w:vAlign w:val="bottom"/>
          </w:tcPr>
          <w:p w14:paraId="49556782" w14:textId="77777777" w:rsidR="00DE3EE8" w:rsidRPr="002B7E6B" w:rsidRDefault="00DE3EE8" w:rsidP="005A5ABD">
            <w:pPr>
              <w:rPr>
                <w:sz w:val="22"/>
                <w:szCs w:val="22"/>
              </w:rPr>
            </w:pPr>
            <w:r w:rsidRPr="002B7E6B">
              <w:rPr>
                <w:sz w:val="22"/>
                <w:szCs w:val="22"/>
              </w:rPr>
              <w:t>5,950</w:t>
            </w:r>
          </w:p>
        </w:tc>
        <w:tc>
          <w:tcPr>
            <w:tcW w:w="1138" w:type="dxa"/>
            <w:tcBorders>
              <w:top w:val="nil"/>
              <w:left w:val="nil"/>
              <w:bottom w:val="nil"/>
              <w:right w:val="nil"/>
            </w:tcBorders>
            <w:tcMar>
              <w:top w:w="100" w:type="dxa"/>
              <w:left w:w="100" w:type="dxa"/>
              <w:bottom w:w="100" w:type="dxa"/>
              <w:right w:w="100" w:type="dxa"/>
            </w:tcMar>
            <w:vAlign w:val="bottom"/>
          </w:tcPr>
          <w:p w14:paraId="6C70BA38" w14:textId="77777777" w:rsidR="00DE3EE8" w:rsidRPr="002B7E6B" w:rsidRDefault="00DE3EE8" w:rsidP="005A5ABD">
            <w:pPr>
              <w:rPr>
                <w:sz w:val="22"/>
                <w:szCs w:val="22"/>
              </w:rPr>
            </w:pPr>
            <w:r w:rsidRPr="002B7E6B">
              <w:rPr>
                <w:sz w:val="22"/>
                <w:szCs w:val="22"/>
              </w:rPr>
              <w:t>5,823</w:t>
            </w:r>
          </w:p>
        </w:tc>
      </w:tr>
      <w:tr w:rsidR="00DE3EE8" w:rsidRPr="002B7E6B" w14:paraId="3CB8E7F8" w14:textId="77777777" w:rsidTr="005A5ABD">
        <w:trPr>
          <w:trHeight w:val="500"/>
        </w:trPr>
        <w:tc>
          <w:tcPr>
            <w:tcW w:w="2597" w:type="dxa"/>
            <w:tcBorders>
              <w:top w:val="nil"/>
              <w:left w:val="nil"/>
              <w:bottom w:val="nil"/>
              <w:right w:val="nil"/>
            </w:tcBorders>
            <w:tcMar>
              <w:top w:w="100" w:type="dxa"/>
              <w:left w:w="100" w:type="dxa"/>
              <w:bottom w:w="100" w:type="dxa"/>
              <w:right w:w="100" w:type="dxa"/>
            </w:tcMar>
            <w:vAlign w:val="bottom"/>
          </w:tcPr>
          <w:p w14:paraId="4062A3C0" w14:textId="77777777" w:rsidR="00DE3EE8" w:rsidRPr="002B7E6B" w:rsidRDefault="00DE3EE8" w:rsidP="005A5ABD">
            <w:pPr>
              <w:rPr>
                <w:sz w:val="22"/>
                <w:szCs w:val="22"/>
              </w:rPr>
            </w:pPr>
          </w:p>
        </w:tc>
        <w:tc>
          <w:tcPr>
            <w:tcW w:w="1240" w:type="dxa"/>
            <w:tcBorders>
              <w:top w:val="nil"/>
              <w:left w:val="nil"/>
              <w:bottom w:val="nil"/>
              <w:right w:val="nil"/>
            </w:tcBorders>
            <w:tcMar>
              <w:top w:w="100" w:type="dxa"/>
              <w:left w:w="100" w:type="dxa"/>
              <w:bottom w:w="100" w:type="dxa"/>
              <w:right w:w="100" w:type="dxa"/>
            </w:tcMar>
            <w:vAlign w:val="bottom"/>
          </w:tcPr>
          <w:p w14:paraId="2330D41E" w14:textId="77777777" w:rsidR="00DE3EE8" w:rsidRPr="002B7E6B" w:rsidRDefault="00DE3EE8" w:rsidP="005A5ABD">
            <w:pPr>
              <w:rPr>
                <w:sz w:val="22"/>
                <w:szCs w:val="22"/>
              </w:rPr>
            </w:pPr>
            <w:r w:rsidRPr="002B7E6B">
              <w:rPr>
                <w:sz w:val="22"/>
                <w:szCs w:val="22"/>
              </w:rPr>
              <w:t>2023</w:t>
            </w:r>
          </w:p>
        </w:tc>
        <w:tc>
          <w:tcPr>
            <w:tcW w:w="1240" w:type="dxa"/>
            <w:tcBorders>
              <w:top w:val="nil"/>
              <w:left w:val="nil"/>
              <w:bottom w:val="nil"/>
              <w:right w:val="nil"/>
            </w:tcBorders>
            <w:tcMar>
              <w:top w:w="100" w:type="dxa"/>
              <w:left w:w="100" w:type="dxa"/>
              <w:bottom w:w="100" w:type="dxa"/>
              <w:right w:w="100" w:type="dxa"/>
            </w:tcMar>
            <w:vAlign w:val="bottom"/>
          </w:tcPr>
          <w:p w14:paraId="234654CC" w14:textId="77777777" w:rsidR="00DE3EE8" w:rsidRPr="002B7E6B" w:rsidRDefault="00DE3EE8" w:rsidP="005A5ABD">
            <w:pPr>
              <w:rPr>
                <w:sz w:val="22"/>
                <w:szCs w:val="22"/>
              </w:rPr>
            </w:pPr>
          </w:p>
        </w:tc>
        <w:tc>
          <w:tcPr>
            <w:tcW w:w="1138" w:type="dxa"/>
            <w:tcBorders>
              <w:top w:val="nil"/>
              <w:left w:val="nil"/>
              <w:bottom w:val="nil"/>
              <w:right w:val="nil"/>
            </w:tcBorders>
            <w:tcMar>
              <w:top w:w="100" w:type="dxa"/>
              <w:left w:w="100" w:type="dxa"/>
              <w:bottom w:w="100" w:type="dxa"/>
              <w:right w:w="100" w:type="dxa"/>
            </w:tcMar>
            <w:vAlign w:val="bottom"/>
          </w:tcPr>
          <w:p w14:paraId="5C2FDE0A" w14:textId="77777777" w:rsidR="00DE3EE8" w:rsidRPr="002B7E6B" w:rsidRDefault="00DE3EE8" w:rsidP="005A5ABD">
            <w:pPr>
              <w:pBdr>
                <w:top w:val="nil"/>
                <w:left w:val="nil"/>
                <w:bottom w:val="nil"/>
                <w:right w:val="nil"/>
                <w:between w:val="nil"/>
              </w:pBdr>
              <w:rPr>
                <w:sz w:val="22"/>
                <w:szCs w:val="22"/>
              </w:rPr>
            </w:pPr>
          </w:p>
        </w:tc>
        <w:tc>
          <w:tcPr>
            <w:tcW w:w="1138" w:type="dxa"/>
            <w:tcBorders>
              <w:top w:val="nil"/>
              <w:left w:val="nil"/>
              <w:bottom w:val="nil"/>
              <w:right w:val="nil"/>
            </w:tcBorders>
            <w:tcMar>
              <w:top w:w="100" w:type="dxa"/>
              <w:left w:w="100" w:type="dxa"/>
              <w:bottom w:w="100" w:type="dxa"/>
              <w:right w:w="100" w:type="dxa"/>
            </w:tcMar>
            <w:vAlign w:val="bottom"/>
          </w:tcPr>
          <w:p w14:paraId="33660DDC" w14:textId="77777777" w:rsidR="00DE3EE8" w:rsidRPr="002B7E6B" w:rsidRDefault="00DE3EE8" w:rsidP="005A5ABD">
            <w:pPr>
              <w:rPr>
                <w:sz w:val="22"/>
                <w:szCs w:val="22"/>
              </w:rPr>
            </w:pPr>
            <w:r w:rsidRPr="002B7E6B">
              <w:rPr>
                <w:sz w:val="22"/>
                <w:szCs w:val="22"/>
              </w:rPr>
              <w:t>5,648</w:t>
            </w:r>
          </w:p>
        </w:tc>
        <w:tc>
          <w:tcPr>
            <w:tcW w:w="1138" w:type="dxa"/>
            <w:tcBorders>
              <w:top w:val="nil"/>
              <w:left w:val="nil"/>
              <w:bottom w:val="nil"/>
              <w:right w:val="nil"/>
            </w:tcBorders>
            <w:tcMar>
              <w:top w:w="100" w:type="dxa"/>
              <w:left w:w="100" w:type="dxa"/>
              <w:bottom w:w="100" w:type="dxa"/>
              <w:right w:w="100" w:type="dxa"/>
            </w:tcMar>
            <w:vAlign w:val="bottom"/>
          </w:tcPr>
          <w:p w14:paraId="6D2E7DCC" w14:textId="77777777" w:rsidR="00DE3EE8" w:rsidRPr="002B7E6B" w:rsidRDefault="00DE3EE8" w:rsidP="005A5ABD">
            <w:pPr>
              <w:rPr>
                <w:sz w:val="22"/>
                <w:szCs w:val="22"/>
              </w:rPr>
            </w:pPr>
            <w:r w:rsidRPr="002B7E6B">
              <w:rPr>
                <w:sz w:val="22"/>
                <w:szCs w:val="22"/>
              </w:rPr>
              <w:t>n/a</w:t>
            </w:r>
          </w:p>
        </w:tc>
        <w:tc>
          <w:tcPr>
            <w:tcW w:w="1138" w:type="dxa"/>
            <w:tcBorders>
              <w:top w:val="nil"/>
              <w:left w:val="nil"/>
              <w:bottom w:val="nil"/>
              <w:right w:val="nil"/>
            </w:tcBorders>
            <w:tcMar>
              <w:top w:w="100" w:type="dxa"/>
              <w:left w:w="100" w:type="dxa"/>
              <w:bottom w:w="100" w:type="dxa"/>
              <w:right w:w="100" w:type="dxa"/>
            </w:tcMar>
            <w:vAlign w:val="bottom"/>
          </w:tcPr>
          <w:p w14:paraId="2B9CE2E3" w14:textId="77777777" w:rsidR="00DE3EE8" w:rsidRPr="002B7E6B" w:rsidRDefault="00DE3EE8" w:rsidP="005A5ABD">
            <w:pPr>
              <w:rPr>
                <w:sz w:val="22"/>
                <w:szCs w:val="22"/>
              </w:rPr>
            </w:pPr>
            <w:r w:rsidRPr="002B7E6B">
              <w:rPr>
                <w:sz w:val="22"/>
                <w:szCs w:val="22"/>
              </w:rPr>
              <w:t>n/a</w:t>
            </w:r>
          </w:p>
        </w:tc>
      </w:tr>
      <w:tr w:rsidR="00DE3EE8" w:rsidRPr="002B7E6B" w14:paraId="1FB19013" w14:textId="77777777" w:rsidTr="005A5ABD">
        <w:trPr>
          <w:trHeight w:val="500"/>
        </w:trPr>
        <w:tc>
          <w:tcPr>
            <w:tcW w:w="2597" w:type="dxa"/>
            <w:tcBorders>
              <w:top w:val="nil"/>
              <w:left w:val="nil"/>
              <w:bottom w:val="single" w:sz="7" w:space="0" w:color="000000"/>
              <w:right w:val="nil"/>
            </w:tcBorders>
            <w:tcMar>
              <w:top w:w="100" w:type="dxa"/>
              <w:left w:w="100" w:type="dxa"/>
              <w:bottom w:w="100" w:type="dxa"/>
              <w:right w:w="100" w:type="dxa"/>
            </w:tcMar>
            <w:vAlign w:val="bottom"/>
          </w:tcPr>
          <w:p w14:paraId="1CA7F634" w14:textId="77777777" w:rsidR="00DE3EE8" w:rsidRPr="002B7E6B" w:rsidRDefault="00DE3EE8" w:rsidP="005A5ABD">
            <w:pPr>
              <w:rPr>
                <w:sz w:val="22"/>
                <w:szCs w:val="22"/>
              </w:rPr>
            </w:pPr>
            <w:r w:rsidRPr="002B7E6B">
              <w:rPr>
                <w:sz w:val="22"/>
                <w:szCs w:val="22"/>
              </w:rPr>
              <w:t xml:space="preserve"> </w:t>
            </w:r>
          </w:p>
        </w:tc>
        <w:tc>
          <w:tcPr>
            <w:tcW w:w="1240" w:type="dxa"/>
            <w:tcBorders>
              <w:top w:val="nil"/>
              <w:left w:val="nil"/>
              <w:bottom w:val="single" w:sz="7" w:space="0" w:color="000000"/>
              <w:right w:val="nil"/>
            </w:tcBorders>
            <w:tcMar>
              <w:top w:w="100" w:type="dxa"/>
              <w:left w:w="100" w:type="dxa"/>
              <w:bottom w:w="100" w:type="dxa"/>
              <w:right w:w="100" w:type="dxa"/>
            </w:tcMar>
            <w:vAlign w:val="bottom"/>
          </w:tcPr>
          <w:p w14:paraId="729CEBF3" w14:textId="77777777" w:rsidR="00DE3EE8" w:rsidRPr="002B7E6B" w:rsidRDefault="00DE3EE8" w:rsidP="005A5ABD">
            <w:pPr>
              <w:rPr>
                <w:sz w:val="22"/>
                <w:szCs w:val="22"/>
              </w:rPr>
            </w:pPr>
            <w:r w:rsidRPr="002B7E6B">
              <w:rPr>
                <w:sz w:val="22"/>
                <w:szCs w:val="22"/>
              </w:rPr>
              <w:t>2024</w:t>
            </w:r>
          </w:p>
        </w:tc>
        <w:tc>
          <w:tcPr>
            <w:tcW w:w="1240" w:type="dxa"/>
            <w:tcBorders>
              <w:top w:val="nil"/>
              <w:left w:val="nil"/>
              <w:bottom w:val="single" w:sz="7" w:space="0" w:color="000000"/>
              <w:right w:val="nil"/>
            </w:tcBorders>
            <w:tcMar>
              <w:top w:w="100" w:type="dxa"/>
              <w:left w:w="100" w:type="dxa"/>
              <w:bottom w:w="100" w:type="dxa"/>
              <w:right w:w="100" w:type="dxa"/>
            </w:tcMar>
            <w:vAlign w:val="bottom"/>
          </w:tcPr>
          <w:p w14:paraId="0914B8ED" w14:textId="77777777" w:rsidR="00DE3EE8" w:rsidRPr="002B7E6B" w:rsidRDefault="00DE3EE8" w:rsidP="005A5ABD">
            <w:pPr>
              <w:rPr>
                <w:sz w:val="22"/>
                <w:szCs w:val="22"/>
              </w:rPr>
            </w:pPr>
            <w:r w:rsidRPr="002B7E6B">
              <w:rPr>
                <w:sz w:val="22"/>
                <w:szCs w:val="22"/>
              </w:rPr>
              <w:t xml:space="preserve"> </w:t>
            </w:r>
          </w:p>
        </w:tc>
        <w:tc>
          <w:tcPr>
            <w:tcW w:w="1138" w:type="dxa"/>
            <w:tcBorders>
              <w:top w:val="nil"/>
              <w:left w:val="nil"/>
              <w:bottom w:val="single" w:sz="7" w:space="0" w:color="000000"/>
              <w:right w:val="nil"/>
            </w:tcBorders>
            <w:tcMar>
              <w:top w:w="100" w:type="dxa"/>
              <w:left w:w="100" w:type="dxa"/>
              <w:bottom w:w="100" w:type="dxa"/>
              <w:right w:w="100" w:type="dxa"/>
            </w:tcMar>
            <w:vAlign w:val="bottom"/>
          </w:tcPr>
          <w:p w14:paraId="7B070215" w14:textId="77777777" w:rsidR="00DE3EE8" w:rsidRPr="002B7E6B" w:rsidRDefault="00DE3EE8" w:rsidP="005A5ABD">
            <w:pPr>
              <w:rPr>
                <w:sz w:val="22"/>
                <w:szCs w:val="22"/>
              </w:rPr>
            </w:pPr>
            <w:r w:rsidRPr="002B7E6B">
              <w:rPr>
                <w:sz w:val="22"/>
                <w:szCs w:val="22"/>
              </w:rPr>
              <w:t xml:space="preserve"> </w:t>
            </w:r>
          </w:p>
        </w:tc>
        <w:tc>
          <w:tcPr>
            <w:tcW w:w="1138" w:type="dxa"/>
            <w:tcBorders>
              <w:top w:val="nil"/>
              <w:left w:val="nil"/>
              <w:bottom w:val="single" w:sz="7" w:space="0" w:color="000000"/>
              <w:right w:val="nil"/>
            </w:tcBorders>
            <w:tcMar>
              <w:top w:w="100" w:type="dxa"/>
              <w:left w:w="100" w:type="dxa"/>
              <w:bottom w:w="100" w:type="dxa"/>
              <w:right w:w="100" w:type="dxa"/>
            </w:tcMar>
            <w:vAlign w:val="bottom"/>
          </w:tcPr>
          <w:p w14:paraId="56E7E35A" w14:textId="77777777" w:rsidR="00DE3EE8" w:rsidRPr="002B7E6B" w:rsidRDefault="00DE3EE8" w:rsidP="005A5ABD">
            <w:pPr>
              <w:rPr>
                <w:sz w:val="22"/>
                <w:szCs w:val="22"/>
              </w:rPr>
            </w:pPr>
            <w:r w:rsidRPr="002B7E6B">
              <w:rPr>
                <w:sz w:val="22"/>
                <w:szCs w:val="22"/>
              </w:rPr>
              <w:t>5,551</w:t>
            </w:r>
          </w:p>
        </w:tc>
        <w:tc>
          <w:tcPr>
            <w:tcW w:w="1138" w:type="dxa"/>
            <w:tcBorders>
              <w:top w:val="nil"/>
              <w:left w:val="nil"/>
              <w:bottom w:val="single" w:sz="7" w:space="0" w:color="000000"/>
              <w:right w:val="nil"/>
            </w:tcBorders>
            <w:tcMar>
              <w:top w:w="100" w:type="dxa"/>
              <w:left w:w="100" w:type="dxa"/>
              <w:bottom w:w="100" w:type="dxa"/>
              <w:right w:w="100" w:type="dxa"/>
            </w:tcMar>
            <w:vAlign w:val="bottom"/>
          </w:tcPr>
          <w:p w14:paraId="1909DA20" w14:textId="77777777" w:rsidR="00DE3EE8" w:rsidRPr="002B7E6B" w:rsidRDefault="00DE3EE8" w:rsidP="005A5ABD">
            <w:pPr>
              <w:rPr>
                <w:sz w:val="22"/>
                <w:szCs w:val="22"/>
              </w:rPr>
            </w:pPr>
            <w:r w:rsidRPr="002B7E6B">
              <w:rPr>
                <w:sz w:val="22"/>
                <w:szCs w:val="22"/>
              </w:rPr>
              <w:t>n/a</w:t>
            </w:r>
          </w:p>
        </w:tc>
        <w:tc>
          <w:tcPr>
            <w:tcW w:w="1138" w:type="dxa"/>
            <w:tcBorders>
              <w:top w:val="nil"/>
              <w:left w:val="nil"/>
              <w:bottom w:val="single" w:sz="7" w:space="0" w:color="000000"/>
              <w:right w:val="nil"/>
            </w:tcBorders>
            <w:tcMar>
              <w:top w:w="100" w:type="dxa"/>
              <w:left w:w="100" w:type="dxa"/>
              <w:bottom w:w="100" w:type="dxa"/>
              <w:right w:w="100" w:type="dxa"/>
            </w:tcMar>
            <w:vAlign w:val="bottom"/>
          </w:tcPr>
          <w:p w14:paraId="2A01BCB7" w14:textId="77777777" w:rsidR="00DE3EE8" w:rsidRPr="002B7E6B" w:rsidRDefault="00DE3EE8" w:rsidP="005A5ABD">
            <w:pPr>
              <w:rPr>
                <w:sz w:val="22"/>
                <w:szCs w:val="22"/>
              </w:rPr>
            </w:pPr>
            <w:r w:rsidRPr="002B7E6B">
              <w:rPr>
                <w:sz w:val="22"/>
                <w:szCs w:val="22"/>
              </w:rPr>
              <w:t>n/a</w:t>
            </w:r>
          </w:p>
        </w:tc>
      </w:tr>
      <w:tr w:rsidR="00DE3EE8" w:rsidRPr="002B7E6B" w14:paraId="6A324F0A" w14:textId="77777777" w:rsidTr="005A5ABD">
        <w:trPr>
          <w:trHeight w:val="500"/>
        </w:trPr>
        <w:tc>
          <w:tcPr>
            <w:tcW w:w="2597" w:type="dxa"/>
            <w:tcBorders>
              <w:top w:val="nil"/>
              <w:left w:val="nil"/>
              <w:bottom w:val="nil"/>
              <w:right w:val="nil"/>
            </w:tcBorders>
            <w:tcMar>
              <w:top w:w="100" w:type="dxa"/>
              <w:left w:w="100" w:type="dxa"/>
              <w:bottom w:w="100" w:type="dxa"/>
              <w:right w:w="100" w:type="dxa"/>
            </w:tcMar>
            <w:vAlign w:val="bottom"/>
          </w:tcPr>
          <w:p w14:paraId="79F0E956" w14:textId="77777777" w:rsidR="00DE3EE8" w:rsidRPr="002B7E6B" w:rsidRDefault="00DE3EE8" w:rsidP="005A5ABD">
            <w:pPr>
              <w:rPr>
                <w:sz w:val="22"/>
                <w:szCs w:val="22"/>
              </w:rPr>
            </w:pPr>
            <w:r w:rsidRPr="002B7E6B">
              <w:rPr>
                <w:sz w:val="22"/>
                <w:szCs w:val="22"/>
              </w:rPr>
              <w:t>Western Aleutian Islands</w:t>
            </w:r>
          </w:p>
        </w:tc>
        <w:tc>
          <w:tcPr>
            <w:tcW w:w="1240" w:type="dxa"/>
            <w:tcBorders>
              <w:top w:val="nil"/>
              <w:left w:val="nil"/>
              <w:bottom w:val="nil"/>
              <w:right w:val="nil"/>
            </w:tcBorders>
            <w:tcMar>
              <w:top w:w="100" w:type="dxa"/>
              <w:left w:w="100" w:type="dxa"/>
              <w:bottom w:w="100" w:type="dxa"/>
              <w:right w:w="100" w:type="dxa"/>
            </w:tcMar>
            <w:vAlign w:val="bottom"/>
          </w:tcPr>
          <w:p w14:paraId="2A34908A" w14:textId="77777777" w:rsidR="00DE3EE8" w:rsidRPr="002B7E6B" w:rsidRDefault="00DE3EE8" w:rsidP="005A5ABD">
            <w:pPr>
              <w:rPr>
                <w:sz w:val="22"/>
                <w:szCs w:val="22"/>
              </w:rPr>
            </w:pPr>
            <w:r w:rsidRPr="002B7E6B">
              <w:rPr>
                <w:sz w:val="22"/>
                <w:szCs w:val="22"/>
              </w:rPr>
              <w:t>2021</w:t>
            </w:r>
          </w:p>
        </w:tc>
        <w:tc>
          <w:tcPr>
            <w:tcW w:w="1240" w:type="dxa"/>
            <w:tcBorders>
              <w:top w:val="nil"/>
              <w:left w:val="nil"/>
              <w:bottom w:val="nil"/>
              <w:right w:val="nil"/>
            </w:tcBorders>
            <w:tcMar>
              <w:top w:w="100" w:type="dxa"/>
              <w:left w:w="100" w:type="dxa"/>
              <w:bottom w:w="100" w:type="dxa"/>
              <w:right w:w="100" w:type="dxa"/>
            </w:tcMar>
            <w:vAlign w:val="bottom"/>
          </w:tcPr>
          <w:p w14:paraId="3D99C132" w14:textId="77777777" w:rsidR="00DE3EE8" w:rsidRPr="002B7E6B" w:rsidRDefault="00DE3EE8" w:rsidP="005A5ABD">
            <w:pPr>
              <w:rPr>
                <w:sz w:val="22"/>
                <w:szCs w:val="22"/>
              </w:rPr>
            </w:pPr>
          </w:p>
        </w:tc>
        <w:tc>
          <w:tcPr>
            <w:tcW w:w="1138" w:type="dxa"/>
            <w:tcBorders>
              <w:top w:val="nil"/>
              <w:left w:val="nil"/>
              <w:bottom w:val="nil"/>
              <w:right w:val="nil"/>
            </w:tcBorders>
            <w:tcMar>
              <w:top w:w="100" w:type="dxa"/>
              <w:left w:w="100" w:type="dxa"/>
              <w:bottom w:w="100" w:type="dxa"/>
              <w:right w:w="100" w:type="dxa"/>
            </w:tcMar>
            <w:vAlign w:val="bottom"/>
          </w:tcPr>
          <w:p w14:paraId="4E956472" w14:textId="77777777" w:rsidR="00DE3EE8" w:rsidRPr="002B7E6B" w:rsidRDefault="00DE3EE8" w:rsidP="005A5ABD">
            <w:pPr>
              <w:pBdr>
                <w:top w:val="nil"/>
                <w:left w:val="nil"/>
                <w:bottom w:val="nil"/>
                <w:right w:val="nil"/>
                <w:between w:val="nil"/>
              </w:pBdr>
              <w:rPr>
                <w:sz w:val="22"/>
                <w:szCs w:val="22"/>
              </w:rPr>
            </w:pPr>
          </w:p>
        </w:tc>
        <w:tc>
          <w:tcPr>
            <w:tcW w:w="1138" w:type="dxa"/>
            <w:tcBorders>
              <w:top w:val="nil"/>
              <w:left w:val="nil"/>
              <w:bottom w:val="nil"/>
              <w:right w:val="nil"/>
            </w:tcBorders>
            <w:tcMar>
              <w:top w:w="100" w:type="dxa"/>
              <w:left w:w="100" w:type="dxa"/>
              <w:bottom w:w="100" w:type="dxa"/>
              <w:right w:w="100" w:type="dxa"/>
            </w:tcMar>
            <w:vAlign w:val="bottom"/>
          </w:tcPr>
          <w:p w14:paraId="543B359D" w14:textId="77777777" w:rsidR="00DE3EE8" w:rsidRPr="002B7E6B" w:rsidRDefault="00DE3EE8" w:rsidP="005A5ABD">
            <w:pPr>
              <w:rPr>
                <w:sz w:val="22"/>
                <w:szCs w:val="22"/>
              </w:rPr>
            </w:pPr>
            <w:r w:rsidRPr="002B7E6B">
              <w:rPr>
                <w:sz w:val="22"/>
                <w:szCs w:val="22"/>
              </w:rPr>
              <w:t>11,774</w:t>
            </w:r>
          </w:p>
        </w:tc>
        <w:tc>
          <w:tcPr>
            <w:tcW w:w="1138" w:type="dxa"/>
            <w:tcBorders>
              <w:top w:val="nil"/>
              <w:left w:val="nil"/>
              <w:bottom w:val="nil"/>
              <w:right w:val="nil"/>
            </w:tcBorders>
            <w:tcMar>
              <w:top w:w="100" w:type="dxa"/>
              <w:left w:w="100" w:type="dxa"/>
              <w:bottom w:w="100" w:type="dxa"/>
              <w:right w:w="100" w:type="dxa"/>
            </w:tcMar>
            <w:vAlign w:val="bottom"/>
          </w:tcPr>
          <w:p w14:paraId="7E84BDD2" w14:textId="77777777" w:rsidR="00DE3EE8" w:rsidRPr="002B7E6B" w:rsidRDefault="00DE3EE8" w:rsidP="005A5ABD">
            <w:pPr>
              <w:rPr>
                <w:sz w:val="22"/>
                <w:szCs w:val="22"/>
              </w:rPr>
            </w:pPr>
            <w:r w:rsidRPr="002B7E6B">
              <w:rPr>
                <w:sz w:val="22"/>
                <w:szCs w:val="22"/>
              </w:rPr>
              <w:t>10,500</w:t>
            </w:r>
          </w:p>
        </w:tc>
        <w:tc>
          <w:tcPr>
            <w:tcW w:w="1138" w:type="dxa"/>
            <w:tcBorders>
              <w:top w:val="nil"/>
              <w:left w:val="nil"/>
              <w:bottom w:val="nil"/>
              <w:right w:val="nil"/>
            </w:tcBorders>
            <w:tcMar>
              <w:top w:w="100" w:type="dxa"/>
              <w:left w:w="100" w:type="dxa"/>
              <w:bottom w:w="100" w:type="dxa"/>
              <w:right w:w="100" w:type="dxa"/>
            </w:tcMar>
            <w:vAlign w:val="bottom"/>
          </w:tcPr>
          <w:p w14:paraId="45730FCF" w14:textId="77777777" w:rsidR="00DE3EE8" w:rsidRPr="002B7E6B" w:rsidRDefault="00DE3EE8" w:rsidP="005A5ABD">
            <w:pPr>
              <w:rPr>
                <w:sz w:val="22"/>
                <w:szCs w:val="22"/>
              </w:rPr>
            </w:pPr>
            <w:r w:rsidRPr="002B7E6B">
              <w:rPr>
                <w:sz w:val="22"/>
                <w:szCs w:val="22"/>
              </w:rPr>
              <w:t>10,505</w:t>
            </w:r>
          </w:p>
        </w:tc>
      </w:tr>
      <w:tr w:rsidR="00DE3EE8" w:rsidRPr="002B7E6B" w14:paraId="19DEE4CE" w14:textId="77777777" w:rsidTr="005A5ABD">
        <w:trPr>
          <w:trHeight w:val="500"/>
        </w:trPr>
        <w:tc>
          <w:tcPr>
            <w:tcW w:w="2597" w:type="dxa"/>
            <w:tcBorders>
              <w:top w:val="nil"/>
              <w:left w:val="nil"/>
              <w:bottom w:val="nil"/>
              <w:right w:val="nil"/>
            </w:tcBorders>
            <w:tcMar>
              <w:top w:w="100" w:type="dxa"/>
              <w:left w:w="100" w:type="dxa"/>
              <w:bottom w:w="100" w:type="dxa"/>
              <w:right w:w="100" w:type="dxa"/>
            </w:tcMar>
            <w:vAlign w:val="bottom"/>
          </w:tcPr>
          <w:p w14:paraId="270F207B" w14:textId="77777777" w:rsidR="00DE3EE8" w:rsidRPr="002B7E6B" w:rsidRDefault="00DE3EE8" w:rsidP="005A5ABD">
            <w:pPr>
              <w:rPr>
                <w:sz w:val="22"/>
                <w:szCs w:val="22"/>
              </w:rPr>
            </w:pPr>
          </w:p>
        </w:tc>
        <w:tc>
          <w:tcPr>
            <w:tcW w:w="1240" w:type="dxa"/>
            <w:tcBorders>
              <w:top w:val="nil"/>
              <w:left w:val="nil"/>
              <w:bottom w:val="nil"/>
              <w:right w:val="nil"/>
            </w:tcBorders>
            <w:tcMar>
              <w:top w:w="100" w:type="dxa"/>
              <w:left w:w="100" w:type="dxa"/>
              <w:bottom w:w="100" w:type="dxa"/>
              <w:right w:w="100" w:type="dxa"/>
            </w:tcMar>
            <w:vAlign w:val="bottom"/>
          </w:tcPr>
          <w:p w14:paraId="0A5DCD1A" w14:textId="77777777" w:rsidR="00DE3EE8" w:rsidRPr="002B7E6B" w:rsidRDefault="00DE3EE8" w:rsidP="005A5ABD">
            <w:pPr>
              <w:rPr>
                <w:sz w:val="22"/>
                <w:szCs w:val="22"/>
              </w:rPr>
            </w:pPr>
            <w:r w:rsidRPr="002B7E6B">
              <w:rPr>
                <w:sz w:val="22"/>
                <w:szCs w:val="22"/>
              </w:rPr>
              <w:t>2022</w:t>
            </w:r>
          </w:p>
        </w:tc>
        <w:tc>
          <w:tcPr>
            <w:tcW w:w="1240" w:type="dxa"/>
            <w:tcBorders>
              <w:top w:val="nil"/>
              <w:left w:val="nil"/>
              <w:bottom w:val="nil"/>
              <w:right w:val="nil"/>
            </w:tcBorders>
            <w:tcMar>
              <w:top w:w="100" w:type="dxa"/>
              <w:left w:w="100" w:type="dxa"/>
              <w:bottom w:w="100" w:type="dxa"/>
              <w:right w:w="100" w:type="dxa"/>
            </w:tcMar>
            <w:vAlign w:val="bottom"/>
          </w:tcPr>
          <w:p w14:paraId="4B921DAF" w14:textId="77777777" w:rsidR="00DE3EE8" w:rsidRPr="002B7E6B" w:rsidRDefault="00DE3EE8" w:rsidP="005A5ABD">
            <w:pPr>
              <w:rPr>
                <w:sz w:val="22"/>
                <w:szCs w:val="22"/>
              </w:rPr>
            </w:pPr>
          </w:p>
        </w:tc>
        <w:tc>
          <w:tcPr>
            <w:tcW w:w="1138" w:type="dxa"/>
            <w:tcBorders>
              <w:top w:val="nil"/>
              <w:left w:val="nil"/>
              <w:bottom w:val="nil"/>
              <w:right w:val="nil"/>
            </w:tcBorders>
            <w:tcMar>
              <w:top w:w="100" w:type="dxa"/>
              <w:left w:w="100" w:type="dxa"/>
              <w:bottom w:w="100" w:type="dxa"/>
              <w:right w:w="100" w:type="dxa"/>
            </w:tcMar>
            <w:vAlign w:val="bottom"/>
          </w:tcPr>
          <w:p w14:paraId="3F89A81A" w14:textId="77777777" w:rsidR="00DE3EE8" w:rsidRPr="002B7E6B" w:rsidRDefault="00DE3EE8" w:rsidP="005A5ABD">
            <w:pPr>
              <w:pBdr>
                <w:top w:val="nil"/>
                <w:left w:val="nil"/>
                <w:bottom w:val="nil"/>
                <w:right w:val="nil"/>
                <w:between w:val="nil"/>
              </w:pBdr>
              <w:rPr>
                <w:sz w:val="22"/>
                <w:szCs w:val="22"/>
              </w:rPr>
            </w:pPr>
          </w:p>
        </w:tc>
        <w:tc>
          <w:tcPr>
            <w:tcW w:w="1138" w:type="dxa"/>
            <w:tcBorders>
              <w:top w:val="nil"/>
              <w:left w:val="nil"/>
              <w:bottom w:val="nil"/>
              <w:right w:val="nil"/>
            </w:tcBorders>
            <w:tcMar>
              <w:top w:w="100" w:type="dxa"/>
              <w:left w:w="100" w:type="dxa"/>
              <w:bottom w:w="100" w:type="dxa"/>
              <w:right w:w="100" w:type="dxa"/>
            </w:tcMar>
            <w:vAlign w:val="bottom"/>
          </w:tcPr>
          <w:p w14:paraId="1F02CC02" w14:textId="77777777" w:rsidR="00DE3EE8" w:rsidRPr="002B7E6B" w:rsidRDefault="00DE3EE8" w:rsidP="005A5ABD">
            <w:pPr>
              <w:rPr>
                <w:sz w:val="22"/>
                <w:szCs w:val="22"/>
              </w:rPr>
            </w:pPr>
            <w:r w:rsidRPr="002B7E6B">
              <w:rPr>
                <w:sz w:val="22"/>
                <w:szCs w:val="22"/>
              </w:rPr>
              <w:t>11,303</w:t>
            </w:r>
          </w:p>
        </w:tc>
        <w:tc>
          <w:tcPr>
            <w:tcW w:w="1138" w:type="dxa"/>
            <w:tcBorders>
              <w:top w:val="nil"/>
              <w:left w:val="nil"/>
              <w:bottom w:val="nil"/>
              <w:right w:val="nil"/>
            </w:tcBorders>
            <w:tcMar>
              <w:top w:w="100" w:type="dxa"/>
              <w:left w:w="100" w:type="dxa"/>
              <w:bottom w:w="100" w:type="dxa"/>
              <w:right w:w="100" w:type="dxa"/>
            </w:tcMar>
            <w:vAlign w:val="bottom"/>
          </w:tcPr>
          <w:p w14:paraId="4959250B" w14:textId="77777777" w:rsidR="00DE3EE8" w:rsidRPr="002B7E6B" w:rsidRDefault="00DE3EE8" w:rsidP="005A5ABD">
            <w:pPr>
              <w:rPr>
                <w:sz w:val="22"/>
                <w:szCs w:val="22"/>
              </w:rPr>
            </w:pPr>
            <w:r w:rsidRPr="002B7E6B">
              <w:rPr>
                <w:sz w:val="22"/>
                <w:szCs w:val="22"/>
              </w:rPr>
              <w:t>11,000</w:t>
            </w:r>
          </w:p>
        </w:tc>
        <w:tc>
          <w:tcPr>
            <w:tcW w:w="1138" w:type="dxa"/>
            <w:tcBorders>
              <w:top w:val="nil"/>
              <w:left w:val="nil"/>
              <w:bottom w:val="nil"/>
              <w:right w:val="nil"/>
            </w:tcBorders>
            <w:tcMar>
              <w:top w:w="100" w:type="dxa"/>
              <w:left w:w="100" w:type="dxa"/>
              <w:bottom w:w="100" w:type="dxa"/>
              <w:right w:w="100" w:type="dxa"/>
            </w:tcMar>
            <w:vAlign w:val="bottom"/>
          </w:tcPr>
          <w:p w14:paraId="7BEEF94C" w14:textId="77777777" w:rsidR="00DE3EE8" w:rsidRPr="002B7E6B" w:rsidRDefault="00DE3EE8" w:rsidP="005A5ABD">
            <w:pPr>
              <w:rPr>
                <w:sz w:val="22"/>
                <w:szCs w:val="22"/>
              </w:rPr>
            </w:pPr>
            <w:r w:rsidRPr="002B7E6B">
              <w:rPr>
                <w:sz w:val="22"/>
                <w:szCs w:val="22"/>
              </w:rPr>
              <w:t>10,882</w:t>
            </w:r>
          </w:p>
        </w:tc>
      </w:tr>
      <w:tr w:rsidR="00DE3EE8" w:rsidRPr="002B7E6B" w14:paraId="5633A30D" w14:textId="77777777" w:rsidTr="005A5ABD">
        <w:trPr>
          <w:trHeight w:val="500"/>
        </w:trPr>
        <w:tc>
          <w:tcPr>
            <w:tcW w:w="2597" w:type="dxa"/>
            <w:tcBorders>
              <w:top w:val="nil"/>
              <w:left w:val="nil"/>
              <w:bottom w:val="nil"/>
              <w:right w:val="nil"/>
            </w:tcBorders>
            <w:tcMar>
              <w:top w:w="100" w:type="dxa"/>
              <w:left w:w="100" w:type="dxa"/>
              <w:bottom w:w="100" w:type="dxa"/>
              <w:right w:w="100" w:type="dxa"/>
            </w:tcMar>
            <w:vAlign w:val="bottom"/>
          </w:tcPr>
          <w:p w14:paraId="16FC609F" w14:textId="77777777" w:rsidR="00DE3EE8" w:rsidRPr="002B7E6B" w:rsidRDefault="00DE3EE8" w:rsidP="005A5ABD">
            <w:pPr>
              <w:rPr>
                <w:sz w:val="22"/>
                <w:szCs w:val="22"/>
              </w:rPr>
            </w:pPr>
          </w:p>
        </w:tc>
        <w:tc>
          <w:tcPr>
            <w:tcW w:w="1240" w:type="dxa"/>
            <w:tcBorders>
              <w:top w:val="nil"/>
              <w:left w:val="nil"/>
              <w:bottom w:val="nil"/>
              <w:right w:val="nil"/>
            </w:tcBorders>
            <w:tcMar>
              <w:top w:w="100" w:type="dxa"/>
              <w:left w:w="100" w:type="dxa"/>
              <w:bottom w:w="100" w:type="dxa"/>
              <w:right w:w="100" w:type="dxa"/>
            </w:tcMar>
            <w:vAlign w:val="bottom"/>
          </w:tcPr>
          <w:p w14:paraId="6B136690" w14:textId="77777777" w:rsidR="00DE3EE8" w:rsidRPr="002B7E6B" w:rsidRDefault="00DE3EE8" w:rsidP="005A5ABD">
            <w:pPr>
              <w:rPr>
                <w:sz w:val="22"/>
                <w:szCs w:val="22"/>
              </w:rPr>
            </w:pPr>
            <w:r w:rsidRPr="002B7E6B">
              <w:rPr>
                <w:sz w:val="22"/>
                <w:szCs w:val="22"/>
              </w:rPr>
              <w:t>2023</w:t>
            </w:r>
          </w:p>
        </w:tc>
        <w:tc>
          <w:tcPr>
            <w:tcW w:w="1240" w:type="dxa"/>
            <w:tcBorders>
              <w:top w:val="nil"/>
              <w:left w:val="nil"/>
              <w:bottom w:val="nil"/>
              <w:right w:val="nil"/>
            </w:tcBorders>
            <w:tcMar>
              <w:top w:w="100" w:type="dxa"/>
              <w:left w:w="100" w:type="dxa"/>
              <w:bottom w:w="100" w:type="dxa"/>
              <w:right w:w="100" w:type="dxa"/>
            </w:tcMar>
            <w:vAlign w:val="bottom"/>
          </w:tcPr>
          <w:p w14:paraId="625281FF" w14:textId="77777777" w:rsidR="00DE3EE8" w:rsidRPr="002B7E6B" w:rsidRDefault="00DE3EE8" w:rsidP="005A5ABD">
            <w:pPr>
              <w:rPr>
                <w:sz w:val="22"/>
                <w:szCs w:val="22"/>
              </w:rPr>
            </w:pPr>
          </w:p>
        </w:tc>
        <w:tc>
          <w:tcPr>
            <w:tcW w:w="1138" w:type="dxa"/>
            <w:tcBorders>
              <w:top w:val="nil"/>
              <w:left w:val="nil"/>
              <w:bottom w:val="nil"/>
              <w:right w:val="nil"/>
            </w:tcBorders>
            <w:tcMar>
              <w:top w:w="100" w:type="dxa"/>
              <w:left w:w="100" w:type="dxa"/>
              <w:bottom w:w="100" w:type="dxa"/>
              <w:right w:w="100" w:type="dxa"/>
            </w:tcMar>
            <w:vAlign w:val="bottom"/>
          </w:tcPr>
          <w:p w14:paraId="1251EBD5" w14:textId="77777777" w:rsidR="00DE3EE8" w:rsidRPr="002B7E6B" w:rsidRDefault="00DE3EE8" w:rsidP="005A5ABD">
            <w:pPr>
              <w:pBdr>
                <w:top w:val="nil"/>
                <w:left w:val="nil"/>
                <w:bottom w:val="nil"/>
                <w:right w:val="nil"/>
                <w:between w:val="nil"/>
              </w:pBdr>
              <w:rPr>
                <w:sz w:val="22"/>
                <w:szCs w:val="22"/>
              </w:rPr>
            </w:pPr>
          </w:p>
        </w:tc>
        <w:tc>
          <w:tcPr>
            <w:tcW w:w="1138" w:type="dxa"/>
            <w:tcBorders>
              <w:top w:val="nil"/>
              <w:left w:val="nil"/>
              <w:bottom w:val="nil"/>
              <w:right w:val="nil"/>
            </w:tcBorders>
            <w:tcMar>
              <w:top w:w="100" w:type="dxa"/>
              <w:left w:w="100" w:type="dxa"/>
              <w:bottom w:w="100" w:type="dxa"/>
              <w:right w:w="100" w:type="dxa"/>
            </w:tcMar>
            <w:vAlign w:val="bottom"/>
          </w:tcPr>
          <w:p w14:paraId="6BD0F5D6" w14:textId="77777777" w:rsidR="00DE3EE8" w:rsidRPr="002B7E6B" w:rsidRDefault="00DE3EE8" w:rsidP="005A5ABD">
            <w:pPr>
              <w:rPr>
                <w:sz w:val="22"/>
                <w:szCs w:val="22"/>
              </w:rPr>
            </w:pPr>
            <w:r w:rsidRPr="002B7E6B">
              <w:rPr>
                <w:sz w:val="22"/>
                <w:szCs w:val="22"/>
              </w:rPr>
              <w:t>16,335</w:t>
            </w:r>
          </w:p>
        </w:tc>
        <w:tc>
          <w:tcPr>
            <w:tcW w:w="1138" w:type="dxa"/>
            <w:tcBorders>
              <w:top w:val="nil"/>
              <w:left w:val="nil"/>
              <w:bottom w:val="nil"/>
              <w:right w:val="nil"/>
            </w:tcBorders>
            <w:tcMar>
              <w:top w:w="100" w:type="dxa"/>
              <w:left w:w="100" w:type="dxa"/>
              <w:bottom w:w="100" w:type="dxa"/>
              <w:right w:w="100" w:type="dxa"/>
            </w:tcMar>
            <w:vAlign w:val="bottom"/>
          </w:tcPr>
          <w:p w14:paraId="4A73FA11" w14:textId="77777777" w:rsidR="00DE3EE8" w:rsidRPr="002B7E6B" w:rsidRDefault="00DE3EE8" w:rsidP="005A5ABD">
            <w:pPr>
              <w:rPr>
                <w:sz w:val="22"/>
                <w:szCs w:val="22"/>
              </w:rPr>
            </w:pPr>
            <w:r w:rsidRPr="002B7E6B">
              <w:rPr>
                <w:sz w:val="22"/>
                <w:szCs w:val="22"/>
              </w:rPr>
              <w:t>n/a</w:t>
            </w:r>
          </w:p>
        </w:tc>
        <w:tc>
          <w:tcPr>
            <w:tcW w:w="1138" w:type="dxa"/>
            <w:tcBorders>
              <w:top w:val="nil"/>
              <w:left w:val="nil"/>
              <w:bottom w:val="nil"/>
              <w:right w:val="nil"/>
            </w:tcBorders>
            <w:tcMar>
              <w:top w:w="100" w:type="dxa"/>
              <w:left w:w="100" w:type="dxa"/>
              <w:bottom w:w="100" w:type="dxa"/>
              <w:right w:w="100" w:type="dxa"/>
            </w:tcMar>
            <w:vAlign w:val="bottom"/>
          </w:tcPr>
          <w:p w14:paraId="5E4D4A98" w14:textId="77777777" w:rsidR="00DE3EE8" w:rsidRPr="002B7E6B" w:rsidRDefault="00DE3EE8" w:rsidP="005A5ABD">
            <w:pPr>
              <w:rPr>
                <w:sz w:val="22"/>
                <w:szCs w:val="22"/>
              </w:rPr>
            </w:pPr>
            <w:r w:rsidRPr="002B7E6B">
              <w:rPr>
                <w:sz w:val="22"/>
                <w:szCs w:val="22"/>
              </w:rPr>
              <w:t>n/a</w:t>
            </w:r>
          </w:p>
        </w:tc>
      </w:tr>
      <w:tr w:rsidR="00DE3EE8" w:rsidRPr="002B7E6B" w14:paraId="25C7C4F0" w14:textId="77777777" w:rsidTr="005A5ABD">
        <w:trPr>
          <w:trHeight w:val="500"/>
        </w:trPr>
        <w:tc>
          <w:tcPr>
            <w:tcW w:w="2597" w:type="dxa"/>
            <w:tcBorders>
              <w:top w:val="nil"/>
              <w:left w:val="nil"/>
              <w:bottom w:val="single" w:sz="7" w:space="0" w:color="000000"/>
              <w:right w:val="nil"/>
            </w:tcBorders>
            <w:tcMar>
              <w:top w:w="100" w:type="dxa"/>
              <w:left w:w="100" w:type="dxa"/>
              <w:bottom w:w="100" w:type="dxa"/>
              <w:right w:w="100" w:type="dxa"/>
            </w:tcMar>
            <w:vAlign w:val="bottom"/>
          </w:tcPr>
          <w:p w14:paraId="160310E7" w14:textId="77777777" w:rsidR="00DE3EE8" w:rsidRPr="002B7E6B" w:rsidRDefault="00DE3EE8" w:rsidP="005A5ABD">
            <w:pPr>
              <w:rPr>
                <w:sz w:val="22"/>
                <w:szCs w:val="22"/>
              </w:rPr>
            </w:pPr>
            <w:r w:rsidRPr="002B7E6B">
              <w:rPr>
                <w:sz w:val="22"/>
                <w:szCs w:val="22"/>
              </w:rPr>
              <w:t xml:space="preserve"> </w:t>
            </w:r>
          </w:p>
        </w:tc>
        <w:tc>
          <w:tcPr>
            <w:tcW w:w="1240" w:type="dxa"/>
            <w:tcBorders>
              <w:top w:val="nil"/>
              <w:left w:val="nil"/>
              <w:bottom w:val="single" w:sz="7" w:space="0" w:color="000000"/>
              <w:right w:val="nil"/>
            </w:tcBorders>
            <w:tcMar>
              <w:top w:w="100" w:type="dxa"/>
              <w:left w:w="100" w:type="dxa"/>
              <w:bottom w:w="100" w:type="dxa"/>
              <w:right w:w="100" w:type="dxa"/>
            </w:tcMar>
            <w:vAlign w:val="bottom"/>
          </w:tcPr>
          <w:p w14:paraId="0EAC25F8" w14:textId="77777777" w:rsidR="00DE3EE8" w:rsidRPr="002B7E6B" w:rsidRDefault="00DE3EE8" w:rsidP="005A5ABD">
            <w:pPr>
              <w:rPr>
                <w:sz w:val="22"/>
                <w:szCs w:val="22"/>
              </w:rPr>
            </w:pPr>
            <w:r w:rsidRPr="002B7E6B">
              <w:rPr>
                <w:sz w:val="22"/>
                <w:szCs w:val="22"/>
              </w:rPr>
              <w:t>2024</w:t>
            </w:r>
          </w:p>
        </w:tc>
        <w:tc>
          <w:tcPr>
            <w:tcW w:w="1240" w:type="dxa"/>
            <w:tcBorders>
              <w:top w:val="nil"/>
              <w:left w:val="nil"/>
              <w:bottom w:val="single" w:sz="7" w:space="0" w:color="000000"/>
              <w:right w:val="nil"/>
            </w:tcBorders>
            <w:tcMar>
              <w:top w:w="100" w:type="dxa"/>
              <w:left w:w="100" w:type="dxa"/>
              <w:bottom w:w="100" w:type="dxa"/>
              <w:right w:w="100" w:type="dxa"/>
            </w:tcMar>
            <w:vAlign w:val="bottom"/>
          </w:tcPr>
          <w:p w14:paraId="7D394979" w14:textId="77777777" w:rsidR="00DE3EE8" w:rsidRPr="002B7E6B" w:rsidRDefault="00DE3EE8" w:rsidP="005A5ABD">
            <w:pPr>
              <w:rPr>
                <w:sz w:val="22"/>
                <w:szCs w:val="22"/>
              </w:rPr>
            </w:pPr>
            <w:r w:rsidRPr="002B7E6B">
              <w:rPr>
                <w:sz w:val="22"/>
                <w:szCs w:val="22"/>
              </w:rPr>
              <w:t xml:space="preserve"> </w:t>
            </w:r>
          </w:p>
        </w:tc>
        <w:tc>
          <w:tcPr>
            <w:tcW w:w="1138" w:type="dxa"/>
            <w:tcBorders>
              <w:top w:val="nil"/>
              <w:left w:val="nil"/>
              <w:bottom w:val="single" w:sz="7" w:space="0" w:color="000000"/>
              <w:right w:val="nil"/>
            </w:tcBorders>
            <w:tcMar>
              <w:top w:w="100" w:type="dxa"/>
              <w:left w:w="100" w:type="dxa"/>
              <w:bottom w:w="100" w:type="dxa"/>
              <w:right w:w="100" w:type="dxa"/>
            </w:tcMar>
            <w:vAlign w:val="bottom"/>
          </w:tcPr>
          <w:p w14:paraId="19C49182" w14:textId="77777777" w:rsidR="00DE3EE8" w:rsidRPr="002B7E6B" w:rsidRDefault="00DE3EE8" w:rsidP="005A5ABD">
            <w:pPr>
              <w:rPr>
                <w:sz w:val="22"/>
                <w:szCs w:val="22"/>
              </w:rPr>
            </w:pPr>
            <w:r w:rsidRPr="002B7E6B">
              <w:rPr>
                <w:sz w:val="22"/>
                <w:szCs w:val="22"/>
              </w:rPr>
              <w:t xml:space="preserve"> </w:t>
            </w:r>
          </w:p>
        </w:tc>
        <w:tc>
          <w:tcPr>
            <w:tcW w:w="1138" w:type="dxa"/>
            <w:tcBorders>
              <w:top w:val="nil"/>
              <w:left w:val="nil"/>
              <w:bottom w:val="single" w:sz="7" w:space="0" w:color="000000"/>
              <w:right w:val="nil"/>
            </w:tcBorders>
            <w:tcMar>
              <w:top w:w="100" w:type="dxa"/>
              <w:left w:w="100" w:type="dxa"/>
              <w:bottom w:w="100" w:type="dxa"/>
              <w:right w:w="100" w:type="dxa"/>
            </w:tcMar>
            <w:vAlign w:val="bottom"/>
          </w:tcPr>
          <w:p w14:paraId="250EE718" w14:textId="77777777" w:rsidR="00DE3EE8" w:rsidRPr="002B7E6B" w:rsidRDefault="00DE3EE8" w:rsidP="005A5ABD">
            <w:pPr>
              <w:rPr>
                <w:sz w:val="22"/>
                <w:szCs w:val="22"/>
              </w:rPr>
            </w:pPr>
            <w:r w:rsidRPr="002B7E6B">
              <w:rPr>
                <w:sz w:val="22"/>
                <w:szCs w:val="22"/>
              </w:rPr>
              <w:t>16,058</w:t>
            </w:r>
          </w:p>
        </w:tc>
        <w:tc>
          <w:tcPr>
            <w:tcW w:w="1138" w:type="dxa"/>
            <w:tcBorders>
              <w:top w:val="nil"/>
              <w:left w:val="nil"/>
              <w:bottom w:val="single" w:sz="7" w:space="0" w:color="000000"/>
              <w:right w:val="nil"/>
            </w:tcBorders>
            <w:tcMar>
              <w:top w:w="100" w:type="dxa"/>
              <w:left w:w="100" w:type="dxa"/>
              <w:bottom w:w="100" w:type="dxa"/>
              <w:right w:w="100" w:type="dxa"/>
            </w:tcMar>
            <w:vAlign w:val="bottom"/>
          </w:tcPr>
          <w:p w14:paraId="47C44668" w14:textId="77777777" w:rsidR="00DE3EE8" w:rsidRPr="002B7E6B" w:rsidRDefault="00DE3EE8" w:rsidP="005A5ABD">
            <w:pPr>
              <w:rPr>
                <w:sz w:val="22"/>
                <w:szCs w:val="22"/>
              </w:rPr>
            </w:pPr>
            <w:r w:rsidRPr="002B7E6B">
              <w:rPr>
                <w:sz w:val="22"/>
                <w:szCs w:val="22"/>
              </w:rPr>
              <w:t>n/a</w:t>
            </w:r>
          </w:p>
        </w:tc>
        <w:tc>
          <w:tcPr>
            <w:tcW w:w="1138" w:type="dxa"/>
            <w:tcBorders>
              <w:top w:val="nil"/>
              <w:left w:val="nil"/>
              <w:bottom w:val="single" w:sz="7" w:space="0" w:color="000000"/>
              <w:right w:val="nil"/>
            </w:tcBorders>
            <w:tcMar>
              <w:top w:w="100" w:type="dxa"/>
              <w:left w:w="100" w:type="dxa"/>
              <w:bottom w:w="100" w:type="dxa"/>
              <w:right w:w="100" w:type="dxa"/>
            </w:tcMar>
            <w:vAlign w:val="bottom"/>
          </w:tcPr>
          <w:p w14:paraId="4FCDD095" w14:textId="77777777" w:rsidR="00DE3EE8" w:rsidRPr="002B7E6B" w:rsidRDefault="00DE3EE8" w:rsidP="005A5ABD">
            <w:pPr>
              <w:rPr>
                <w:sz w:val="22"/>
                <w:szCs w:val="22"/>
              </w:rPr>
            </w:pPr>
            <w:r w:rsidRPr="002B7E6B">
              <w:rPr>
                <w:sz w:val="22"/>
                <w:szCs w:val="22"/>
              </w:rPr>
              <w:t>n/a</w:t>
            </w:r>
          </w:p>
        </w:tc>
      </w:tr>
    </w:tbl>
    <w:p w14:paraId="7BDAF8BC" w14:textId="77777777" w:rsidR="00DE3EE8" w:rsidRPr="002B7E6B" w:rsidRDefault="00DE3EE8" w:rsidP="00DE3EE8">
      <w:pPr>
        <w:rPr>
          <w:sz w:val="22"/>
          <w:szCs w:val="22"/>
        </w:rPr>
      </w:pPr>
    </w:p>
    <w:p w14:paraId="1A85446D" w14:textId="77777777" w:rsidR="00DE3EE8" w:rsidRPr="002B7E6B" w:rsidRDefault="00DE3EE8" w:rsidP="00DE3EE8">
      <w:pPr>
        <w:rPr>
          <w:sz w:val="22"/>
          <w:szCs w:val="22"/>
        </w:rPr>
      </w:pPr>
      <w:r w:rsidRPr="002B7E6B">
        <w:rPr>
          <w:sz w:val="22"/>
          <w:szCs w:val="22"/>
        </w:rPr>
        <w:t xml:space="preserve">For more </w:t>
      </w:r>
      <w:proofErr w:type="gramStart"/>
      <w:r w:rsidRPr="002B7E6B">
        <w:rPr>
          <w:sz w:val="22"/>
          <w:szCs w:val="22"/>
        </w:rPr>
        <w:t>information</w:t>
      </w:r>
      <w:proofErr w:type="gramEnd"/>
      <w:r w:rsidRPr="002B7E6B">
        <w:rPr>
          <w:sz w:val="22"/>
          <w:szCs w:val="22"/>
        </w:rPr>
        <w:t xml:space="preserve"> contact Paul Spencer (</w:t>
      </w:r>
      <w:hyperlink r:id="rId65">
        <w:r w:rsidRPr="002B7E6B">
          <w:rPr>
            <w:color w:val="1155CC"/>
            <w:sz w:val="22"/>
            <w:szCs w:val="22"/>
            <w:u w:val="single"/>
          </w:rPr>
          <w:t>paul.spencer@noaa.gov</w:t>
        </w:r>
      </w:hyperlink>
      <w:r w:rsidRPr="002B7E6B">
        <w:rPr>
          <w:sz w:val="22"/>
          <w:szCs w:val="22"/>
        </w:rPr>
        <w:t>)</w:t>
      </w:r>
    </w:p>
    <w:p w14:paraId="059ED474" w14:textId="77777777" w:rsidR="00DE3EE8" w:rsidRPr="002B7E6B" w:rsidRDefault="00DE3EE8" w:rsidP="00DE3EE8">
      <w:pPr>
        <w:rPr>
          <w:sz w:val="22"/>
          <w:szCs w:val="22"/>
        </w:rPr>
      </w:pPr>
      <w:r w:rsidRPr="002B7E6B">
        <w:rPr>
          <w:sz w:val="22"/>
          <w:szCs w:val="22"/>
        </w:rPr>
        <w:t>.</w:t>
      </w:r>
    </w:p>
    <w:p w14:paraId="39492B3A" w14:textId="182D9CA3" w:rsidR="00DE3EE8" w:rsidRPr="008F75DB" w:rsidRDefault="00DE3EE8" w:rsidP="008F75DB">
      <w:pPr>
        <w:pStyle w:val="Heading5"/>
      </w:pPr>
      <w:bookmarkStart w:id="104" w:name="_Toc131503850"/>
      <w:r w:rsidRPr="008F75DB">
        <w:t xml:space="preserve">Pacific </w:t>
      </w:r>
      <w:proofErr w:type="gramStart"/>
      <w:r w:rsidR="00836085">
        <w:t>o</w:t>
      </w:r>
      <w:r w:rsidRPr="008F75DB">
        <w:t>cean</w:t>
      </w:r>
      <w:proofErr w:type="gramEnd"/>
      <w:r w:rsidRPr="008F75DB">
        <w:t xml:space="preserve"> </w:t>
      </w:r>
      <w:r w:rsidR="00836085">
        <w:t>p</w:t>
      </w:r>
      <w:r w:rsidRPr="008F75DB">
        <w:t>erch</w:t>
      </w:r>
      <w:r w:rsidR="0024271A">
        <w:t xml:space="preserve"> – </w:t>
      </w:r>
      <w:r w:rsidRPr="008F75DB">
        <w:t>Gulf of Alaska</w:t>
      </w:r>
      <w:r w:rsidR="0024271A">
        <w:t xml:space="preserve"> – </w:t>
      </w:r>
      <w:r w:rsidRPr="008F75DB">
        <w:t>ABL</w:t>
      </w:r>
      <w:bookmarkEnd w:id="104"/>
    </w:p>
    <w:p w14:paraId="470C15AE" w14:textId="77777777" w:rsidR="00DE3EE8" w:rsidRPr="002B7E6B" w:rsidRDefault="00DE3EE8" w:rsidP="00DE3EE8">
      <w:pPr>
        <w:rPr>
          <w:sz w:val="22"/>
          <w:szCs w:val="22"/>
        </w:rPr>
      </w:pPr>
    </w:p>
    <w:p w14:paraId="35A8843C" w14:textId="77777777" w:rsidR="00DE3EE8" w:rsidRPr="002B7E6B" w:rsidRDefault="00DE3EE8" w:rsidP="00DE3EE8">
      <w:pPr>
        <w:widowControl/>
        <w:rPr>
          <w:sz w:val="22"/>
          <w:szCs w:val="22"/>
        </w:rPr>
      </w:pPr>
      <w:r w:rsidRPr="002B7E6B">
        <w:rPr>
          <w:sz w:val="22"/>
          <w:szCs w:val="22"/>
        </w:rPr>
        <w:t xml:space="preserve">In 2022, a partial assessment </w:t>
      </w:r>
      <w:proofErr w:type="gramStart"/>
      <w:r w:rsidRPr="002B7E6B">
        <w:rPr>
          <w:sz w:val="22"/>
          <w:szCs w:val="22"/>
        </w:rPr>
        <w:t>was conducted</w:t>
      </w:r>
      <w:proofErr w:type="gramEnd"/>
      <w:r w:rsidRPr="002B7E6B">
        <w:rPr>
          <w:sz w:val="22"/>
          <w:szCs w:val="22"/>
        </w:rPr>
        <w:t xml:space="preserve"> for Gulf of Alaska Pacific ocean perch. New data added to the projection model included updated catch data from 2021 and new estimated catches for 2022-2024.</w:t>
      </w:r>
    </w:p>
    <w:p w14:paraId="1CE5CB57" w14:textId="77777777" w:rsidR="00DE3EE8" w:rsidRPr="002B7E6B" w:rsidRDefault="00DE3EE8" w:rsidP="00DE3EE8">
      <w:pPr>
        <w:widowControl/>
        <w:rPr>
          <w:sz w:val="22"/>
          <w:szCs w:val="22"/>
        </w:rPr>
      </w:pPr>
      <w:r w:rsidRPr="002B7E6B">
        <w:rPr>
          <w:sz w:val="22"/>
          <w:szCs w:val="22"/>
        </w:rPr>
        <w:t> </w:t>
      </w:r>
    </w:p>
    <w:p w14:paraId="36B67E68" w14:textId="77777777" w:rsidR="00DE3EE8" w:rsidRPr="002B7E6B" w:rsidRDefault="00DE3EE8" w:rsidP="00DE3EE8">
      <w:pPr>
        <w:widowControl/>
        <w:rPr>
          <w:sz w:val="22"/>
          <w:szCs w:val="22"/>
        </w:rPr>
      </w:pPr>
      <w:r w:rsidRPr="002B7E6B">
        <w:rPr>
          <w:sz w:val="22"/>
          <w:szCs w:val="22"/>
        </w:rPr>
        <w:t xml:space="preserve">Spawning biomass was above the </w:t>
      </w:r>
      <w:proofErr w:type="gramStart"/>
      <w:r w:rsidRPr="002B7E6B">
        <w:rPr>
          <w:i/>
          <w:sz w:val="22"/>
          <w:szCs w:val="22"/>
        </w:rPr>
        <w:t>B</w:t>
      </w:r>
      <w:r w:rsidRPr="002B7E6B">
        <w:rPr>
          <w:i/>
          <w:sz w:val="22"/>
          <w:szCs w:val="22"/>
          <w:vertAlign w:val="subscript"/>
        </w:rPr>
        <w:t>40%</w:t>
      </w:r>
      <w:proofErr w:type="gramEnd"/>
      <w:r w:rsidRPr="002B7E6B">
        <w:rPr>
          <w:i/>
          <w:sz w:val="22"/>
          <w:szCs w:val="22"/>
        </w:rPr>
        <w:t xml:space="preserve"> </w:t>
      </w:r>
      <w:r w:rsidRPr="002B7E6B">
        <w:rPr>
          <w:sz w:val="22"/>
          <w:szCs w:val="22"/>
        </w:rPr>
        <w:t xml:space="preserve">reference point and projected to be 210,795 t in 2023 and to decrease to 205,713 t in 2024. The SSC has determined that reliable estimates of </w:t>
      </w:r>
      <w:proofErr w:type="gramStart"/>
      <w:r w:rsidRPr="002B7E6B">
        <w:rPr>
          <w:i/>
          <w:sz w:val="22"/>
          <w:szCs w:val="22"/>
        </w:rPr>
        <w:t>B</w:t>
      </w:r>
      <w:r w:rsidRPr="002B7E6B">
        <w:rPr>
          <w:i/>
          <w:sz w:val="22"/>
          <w:szCs w:val="22"/>
          <w:vertAlign w:val="subscript"/>
        </w:rPr>
        <w:t>40%</w:t>
      </w:r>
      <w:proofErr w:type="gramEnd"/>
      <w:r w:rsidRPr="002B7E6B">
        <w:rPr>
          <w:i/>
          <w:sz w:val="22"/>
          <w:szCs w:val="22"/>
        </w:rPr>
        <w:t>, F</w:t>
      </w:r>
      <w:r w:rsidRPr="002B7E6B">
        <w:rPr>
          <w:i/>
          <w:sz w:val="22"/>
          <w:szCs w:val="22"/>
          <w:vertAlign w:val="subscript"/>
        </w:rPr>
        <w:t>40%</w:t>
      </w:r>
      <w:r w:rsidRPr="002B7E6B">
        <w:rPr>
          <w:i/>
          <w:sz w:val="22"/>
          <w:szCs w:val="22"/>
        </w:rPr>
        <w:t xml:space="preserve">, </w:t>
      </w:r>
      <w:r w:rsidRPr="002B7E6B">
        <w:rPr>
          <w:sz w:val="22"/>
          <w:szCs w:val="22"/>
        </w:rPr>
        <w:t xml:space="preserve">and </w:t>
      </w:r>
      <w:r w:rsidRPr="002B7E6B">
        <w:rPr>
          <w:i/>
          <w:sz w:val="22"/>
          <w:szCs w:val="22"/>
        </w:rPr>
        <w:t>F</w:t>
      </w:r>
      <w:r w:rsidRPr="002B7E6B">
        <w:rPr>
          <w:i/>
          <w:sz w:val="22"/>
          <w:szCs w:val="22"/>
          <w:vertAlign w:val="subscript"/>
        </w:rPr>
        <w:t>35%</w:t>
      </w:r>
      <w:r w:rsidRPr="002B7E6B">
        <w:rPr>
          <w:i/>
          <w:sz w:val="22"/>
          <w:szCs w:val="22"/>
        </w:rPr>
        <w:t xml:space="preserve"> </w:t>
      </w:r>
      <w:r w:rsidRPr="002B7E6B">
        <w:rPr>
          <w:sz w:val="22"/>
          <w:szCs w:val="22"/>
        </w:rPr>
        <w:t xml:space="preserve">exist for this stock, thereby qualifying Pacific ocean perch for management under Tier 3. The current estimates of </w:t>
      </w:r>
      <w:proofErr w:type="gramStart"/>
      <w:r w:rsidRPr="002B7E6B">
        <w:rPr>
          <w:i/>
          <w:sz w:val="22"/>
          <w:szCs w:val="22"/>
        </w:rPr>
        <w:t>B</w:t>
      </w:r>
      <w:r w:rsidRPr="002B7E6B">
        <w:rPr>
          <w:i/>
          <w:sz w:val="22"/>
          <w:szCs w:val="22"/>
          <w:vertAlign w:val="subscript"/>
        </w:rPr>
        <w:t>40%</w:t>
      </w:r>
      <w:proofErr w:type="gramEnd"/>
      <w:r w:rsidRPr="002B7E6B">
        <w:rPr>
          <w:i/>
          <w:sz w:val="22"/>
          <w:szCs w:val="22"/>
        </w:rPr>
        <w:t>, F</w:t>
      </w:r>
      <w:r w:rsidRPr="002B7E6B">
        <w:rPr>
          <w:i/>
          <w:sz w:val="22"/>
          <w:szCs w:val="22"/>
          <w:vertAlign w:val="subscript"/>
        </w:rPr>
        <w:t>40%</w:t>
      </w:r>
      <w:r w:rsidRPr="002B7E6B">
        <w:rPr>
          <w:i/>
          <w:sz w:val="22"/>
          <w:szCs w:val="22"/>
        </w:rPr>
        <w:t xml:space="preserve">, </w:t>
      </w:r>
      <w:r w:rsidRPr="002B7E6B">
        <w:rPr>
          <w:sz w:val="22"/>
          <w:szCs w:val="22"/>
        </w:rPr>
        <w:t xml:space="preserve">and </w:t>
      </w:r>
      <w:r w:rsidRPr="002B7E6B">
        <w:rPr>
          <w:i/>
          <w:sz w:val="22"/>
          <w:szCs w:val="22"/>
        </w:rPr>
        <w:t>F</w:t>
      </w:r>
      <w:r w:rsidRPr="002B7E6B">
        <w:rPr>
          <w:i/>
          <w:sz w:val="22"/>
          <w:szCs w:val="22"/>
          <w:vertAlign w:val="subscript"/>
        </w:rPr>
        <w:t>35%</w:t>
      </w:r>
      <w:r w:rsidRPr="002B7E6B">
        <w:rPr>
          <w:i/>
          <w:sz w:val="22"/>
          <w:szCs w:val="22"/>
        </w:rPr>
        <w:t xml:space="preserve"> </w:t>
      </w:r>
      <w:r w:rsidRPr="002B7E6B">
        <w:rPr>
          <w:sz w:val="22"/>
          <w:szCs w:val="22"/>
        </w:rPr>
        <w:t xml:space="preserve">are 132,767 t, 0.10, and 0.12, respectively. Spawning biomass for 2023 is projected to exceed </w:t>
      </w:r>
      <w:proofErr w:type="gramStart"/>
      <w:r w:rsidRPr="002B7E6B">
        <w:rPr>
          <w:i/>
          <w:sz w:val="22"/>
          <w:szCs w:val="22"/>
        </w:rPr>
        <w:t>B</w:t>
      </w:r>
      <w:r w:rsidRPr="002B7E6B">
        <w:rPr>
          <w:i/>
          <w:sz w:val="22"/>
          <w:szCs w:val="22"/>
          <w:vertAlign w:val="subscript"/>
        </w:rPr>
        <w:t>40%</w:t>
      </w:r>
      <w:proofErr w:type="gramEnd"/>
      <w:r w:rsidRPr="002B7E6B">
        <w:rPr>
          <w:sz w:val="22"/>
          <w:szCs w:val="22"/>
        </w:rPr>
        <w:t xml:space="preserve">, thereby placing Pacific ocean perch in sub-tier “a” of Tier 3. The 2023 and 2024 catches associated with the </w:t>
      </w:r>
      <w:proofErr w:type="gramStart"/>
      <w:r w:rsidRPr="002B7E6B">
        <w:rPr>
          <w:i/>
          <w:sz w:val="22"/>
          <w:szCs w:val="22"/>
        </w:rPr>
        <w:t>F</w:t>
      </w:r>
      <w:r w:rsidRPr="002B7E6B">
        <w:rPr>
          <w:i/>
          <w:sz w:val="22"/>
          <w:szCs w:val="22"/>
          <w:vertAlign w:val="subscript"/>
        </w:rPr>
        <w:t>40%</w:t>
      </w:r>
      <w:proofErr w:type="gramEnd"/>
      <w:r w:rsidRPr="002B7E6B">
        <w:rPr>
          <w:i/>
          <w:sz w:val="22"/>
          <w:szCs w:val="22"/>
        </w:rPr>
        <w:t xml:space="preserve"> </w:t>
      </w:r>
      <w:r w:rsidRPr="002B7E6B">
        <w:rPr>
          <w:sz w:val="22"/>
          <w:szCs w:val="22"/>
        </w:rPr>
        <w:t>level of 0.10 are 37,193 t and 36,196 t, respectively, and were the authors’ and Plan Team’s recommended ABCs. The 2023 and 2024 OFLs are 44,302 t and 43,117 t.</w:t>
      </w:r>
    </w:p>
    <w:p w14:paraId="121C1F4B" w14:textId="77777777" w:rsidR="00DE3EE8" w:rsidRPr="002B7E6B" w:rsidRDefault="00DE3EE8" w:rsidP="00DE3EE8">
      <w:pPr>
        <w:widowControl/>
        <w:rPr>
          <w:sz w:val="22"/>
          <w:szCs w:val="22"/>
        </w:rPr>
      </w:pPr>
      <w:r w:rsidRPr="002B7E6B">
        <w:rPr>
          <w:sz w:val="22"/>
          <w:szCs w:val="22"/>
        </w:rPr>
        <w:lastRenderedPageBreak/>
        <w:t> </w:t>
      </w:r>
    </w:p>
    <w:p w14:paraId="5BE94CF9" w14:textId="77777777" w:rsidR="00DE3EE8" w:rsidRPr="002B7E6B" w:rsidRDefault="00DE3EE8" w:rsidP="00DE3EE8">
      <w:pPr>
        <w:widowControl/>
        <w:rPr>
          <w:sz w:val="22"/>
          <w:szCs w:val="22"/>
        </w:rPr>
      </w:pPr>
      <w:r w:rsidRPr="002B7E6B">
        <w:rPr>
          <w:sz w:val="22"/>
          <w:szCs w:val="22"/>
        </w:rPr>
        <w:t xml:space="preserve">A random effects model was used to set regional ABCs based on the proportions of model-based estimates for 2023: Western GOA = 2,529 t, Central GOA = 29,940 </w:t>
      </w:r>
      <w:proofErr w:type="gramStart"/>
      <w:r w:rsidRPr="002B7E6B">
        <w:rPr>
          <w:sz w:val="22"/>
          <w:szCs w:val="22"/>
        </w:rPr>
        <w:t>t,</w:t>
      </w:r>
      <w:proofErr w:type="gramEnd"/>
      <w:r w:rsidRPr="002B7E6B">
        <w:rPr>
          <w:sz w:val="22"/>
          <w:szCs w:val="22"/>
        </w:rPr>
        <w:t xml:space="preserve"> and Eastern GOA = 4,724 t. The Eastern GOA is further subdivided into west (called the West Yakutat subarea) and east (called the East Yakutat/Southeast subarea, where trawling is prohibited) of 140° W longitude using a weighting method of the upper 95% confidence of the ratio in biomass between these two areas. For W. Yakutat the ABC in 2023 is 1,370 t and for E. Yakutat/Southeast the ABC in 2023 is 3,354 t. The recommended OFL for 2023 </w:t>
      </w:r>
      <w:proofErr w:type="gramStart"/>
      <w:r w:rsidRPr="002B7E6B">
        <w:rPr>
          <w:sz w:val="22"/>
          <w:szCs w:val="22"/>
        </w:rPr>
        <w:t>is apportioned</w:t>
      </w:r>
      <w:proofErr w:type="gramEnd"/>
      <w:r w:rsidRPr="002B7E6B">
        <w:rPr>
          <w:sz w:val="22"/>
          <w:szCs w:val="22"/>
        </w:rPr>
        <w:t xml:space="preserve"> between the Western/Central/W. Yakutat area (40,308 t) and the E. Yakutat/Southeast area (3,994 t). Pacific </w:t>
      </w:r>
      <w:proofErr w:type="gramStart"/>
      <w:r w:rsidRPr="002B7E6B">
        <w:rPr>
          <w:sz w:val="22"/>
          <w:szCs w:val="22"/>
        </w:rPr>
        <w:t>ocean</w:t>
      </w:r>
      <w:proofErr w:type="gramEnd"/>
      <w:r w:rsidRPr="002B7E6B">
        <w:rPr>
          <w:sz w:val="22"/>
          <w:szCs w:val="22"/>
        </w:rPr>
        <w:t xml:space="preserve"> perch is not being subjected to overfishing, is not overfished, and is not approaching an overfished condition.</w:t>
      </w:r>
    </w:p>
    <w:p w14:paraId="203AC64C" w14:textId="77777777" w:rsidR="00DE3EE8" w:rsidRPr="002B7E6B" w:rsidRDefault="00DE3EE8" w:rsidP="00DE3EE8">
      <w:pPr>
        <w:widowControl/>
        <w:rPr>
          <w:sz w:val="22"/>
          <w:szCs w:val="22"/>
        </w:rPr>
      </w:pPr>
    </w:p>
    <w:p w14:paraId="09D62349" w14:textId="77777777" w:rsidR="00DE3EE8" w:rsidRPr="002B7E6B" w:rsidRDefault="00DE3EE8" w:rsidP="00DE3EE8">
      <w:pPr>
        <w:widowControl/>
        <w:rPr>
          <w:sz w:val="22"/>
          <w:szCs w:val="22"/>
        </w:rPr>
      </w:pPr>
      <w:r w:rsidRPr="002B7E6B">
        <w:rPr>
          <w:sz w:val="22"/>
          <w:szCs w:val="22"/>
        </w:rPr>
        <w:t xml:space="preserve">For more </w:t>
      </w:r>
      <w:proofErr w:type="gramStart"/>
      <w:r w:rsidRPr="002B7E6B">
        <w:rPr>
          <w:sz w:val="22"/>
          <w:szCs w:val="22"/>
        </w:rPr>
        <w:t>information</w:t>
      </w:r>
      <w:proofErr w:type="gramEnd"/>
      <w:r w:rsidRPr="002B7E6B">
        <w:rPr>
          <w:sz w:val="22"/>
          <w:szCs w:val="22"/>
        </w:rPr>
        <w:t xml:space="preserve"> contact Pete Hulson, ABL, at (907) 789-6060 or pete.hulson@noaa.gov.</w:t>
      </w:r>
    </w:p>
    <w:p w14:paraId="77145A8B" w14:textId="77777777" w:rsidR="00DE3EE8" w:rsidRPr="002B7E6B" w:rsidRDefault="00DE3EE8" w:rsidP="00DE3EE8">
      <w:pPr>
        <w:spacing w:before="240"/>
        <w:rPr>
          <w:sz w:val="22"/>
          <w:szCs w:val="22"/>
        </w:rPr>
      </w:pPr>
    </w:p>
    <w:p w14:paraId="2598C6BF" w14:textId="1ABD76A4" w:rsidR="00DE3EE8" w:rsidRPr="008F75DB" w:rsidRDefault="00DE3EE8" w:rsidP="008F75DB">
      <w:pPr>
        <w:pStyle w:val="Heading5"/>
      </w:pPr>
      <w:bookmarkStart w:id="105" w:name="_Toc131503851"/>
      <w:r w:rsidRPr="008F75DB">
        <w:t xml:space="preserve">Dusky Rockfish-- Gulf of Alaska </w:t>
      </w:r>
      <w:r w:rsidR="008F75DB" w:rsidRPr="008F75DB">
        <w:t>–</w:t>
      </w:r>
      <w:r w:rsidRPr="008F75DB">
        <w:t xml:space="preserve"> ABL</w:t>
      </w:r>
      <w:bookmarkEnd w:id="105"/>
    </w:p>
    <w:p w14:paraId="1D4EDFDA" w14:textId="77777777" w:rsidR="008F75DB" w:rsidRPr="008F75DB" w:rsidRDefault="008F75DB" w:rsidP="008F75DB"/>
    <w:p w14:paraId="710D595D" w14:textId="7846260E" w:rsidR="00DE3EE8" w:rsidRPr="002B7E6B" w:rsidRDefault="00DE3EE8" w:rsidP="00DE3EE8">
      <w:pPr>
        <w:widowControl/>
        <w:spacing w:after="120"/>
        <w:rPr>
          <w:sz w:val="22"/>
          <w:szCs w:val="22"/>
        </w:rPr>
      </w:pPr>
      <w:r w:rsidRPr="002B7E6B">
        <w:rPr>
          <w:sz w:val="22"/>
          <w:szCs w:val="22"/>
        </w:rPr>
        <w:t>In 2022</w:t>
      </w:r>
      <w:r w:rsidR="008F75DB">
        <w:rPr>
          <w:sz w:val="22"/>
          <w:szCs w:val="22"/>
        </w:rPr>
        <w:t>,</w:t>
      </w:r>
      <w:r w:rsidRPr="002B7E6B">
        <w:rPr>
          <w:sz w:val="22"/>
          <w:szCs w:val="22"/>
        </w:rPr>
        <w:t xml:space="preserve"> a full assessment </w:t>
      </w:r>
      <w:proofErr w:type="gramStart"/>
      <w:r w:rsidRPr="002B7E6B">
        <w:rPr>
          <w:sz w:val="22"/>
          <w:szCs w:val="22"/>
        </w:rPr>
        <w:t>was conducted</w:t>
      </w:r>
      <w:proofErr w:type="gramEnd"/>
      <w:r w:rsidRPr="002B7E6B">
        <w:rPr>
          <w:sz w:val="22"/>
          <w:szCs w:val="22"/>
        </w:rPr>
        <w:t xml:space="preserve"> for Gulf of Alaska dusky rockfish. The input data were updated to include final catch for 2020 and 2021, preliminary catch for 2022, </w:t>
      </w:r>
      <w:proofErr w:type="gramStart"/>
      <w:r w:rsidRPr="002B7E6B">
        <w:rPr>
          <w:sz w:val="22"/>
          <w:szCs w:val="22"/>
        </w:rPr>
        <w:t>fishery</w:t>
      </w:r>
      <w:proofErr w:type="gramEnd"/>
      <w:r w:rsidRPr="002B7E6B">
        <w:rPr>
          <w:sz w:val="22"/>
          <w:szCs w:val="22"/>
        </w:rPr>
        <w:t xml:space="preserve"> size composition for 2021, fishery age composition for 2020, trawl survey age composition for 2021, and trawl survey biomass for 2021. The survey biomass estimate </w:t>
      </w:r>
      <w:proofErr w:type="gramStart"/>
      <w:r w:rsidRPr="002B7E6B">
        <w:rPr>
          <w:sz w:val="22"/>
          <w:szCs w:val="22"/>
        </w:rPr>
        <w:t>is based</w:t>
      </w:r>
      <w:proofErr w:type="gramEnd"/>
      <w:r w:rsidRPr="002B7E6B">
        <w:rPr>
          <w:sz w:val="22"/>
          <w:szCs w:val="22"/>
        </w:rPr>
        <w:t xml:space="preserve"> upon the Groundfish Assessment Program’s Vector Autoregressive Spatio-temporal (VAST) model with a lognormal error distribution for the GOA. The length plus group was extended from 47 cm to 52cm and the age </w:t>
      </w:r>
      <w:proofErr w:type="gramStart"/>
      <w:r w:rsidRPr="002B7E6B">
        <w:rPr>
          <w:sz w:val="22"/>
          <w:szCs w:val="22"/>
        </w:rPr>
        <w:t>plus</w:t>
      </w:r>
      <w:proofErr w:type="gramEnd"/>
      <w:r w:rsidRPr="002B7E6B">
        <w:rPr>
          <w:sz w:val="22"/>
          <w:szCs w:val="22"/>
        </w:rPr>
        <w:t xml:space="preserve"> group was extended from 25 to 30 years.</w:t>
      </w:r>
    </w:p>
    <w:p w14:paraId="282A25AB" w14:textId="77777777" w:rsidR="00DE3EE8" w:rsidRPr="002B7E6B" w:rsidRDefault="00DE3EE8" w:rsidP="00DE3EE8">
      <w:pPr>
        <w:widowControl/>
        <w:rPr>
          <w:sz w:val="22"/>
          <w:szCs w:val="22"/>
        </w:rPr>
      </w:pPr>
      <w:r w:rsidRPr="002B7E6B">
        <w:rPr>
          <w:sz w:val="22"/>
          <w:szCs w:val="22"/>
        </w:rPr>
        <w:t xml:space="preserve">Spawning biomass was above the </w:t>
      </w:r>
      <w:proofErr w:type="gramStart"/>
      <w:r w:rsidRPr="002B7E6B">
        <w:rPr>
          <w:i/>
          <w:sz w:val="22"/>
          <w:szCs w:val="22"/>
        </w:rPr>
        <w:t>B</w:t>
      </w:r>
      <w:r w:rsidRPr="002B7E6B">
        <w:rPr>
          <w:i/>
          <w:sz w:val="22"/>
          <w:szCs w:val="22"/>
          <w:vertAlign w:val="subscript"/>
        </w:rPr>
        <w:t>40%</w:t>
      </w:r>
      <w:proofErr w:type="gramEnd"/>
      <w:r w:rsidRPr="002B7E6B">
        <w:rPr>
          <w:sz w:val="22"/>
          <w:szCs w:val="22"/>
        </w:rPr>
        <w:t xml:space="preserve"> reference point and projected to be 44,651 t in 2023. The SSC has determined that reliable estimates of </w:t>
      </w:r>
      <w:proofErr w:type="gramStart"/>
      <w:r w:rsidRPr="002B7E6B">
        <w:rPr>
          <w:i/>
          <w:sz w:val="22"/>
          <w:szCs w:val="22"/>
        </w:rPr>
        <w:t>B</w:t>
      </w:r>
      <w:r w:rsidRPr="002B7E6B">
        <w:rPr>
          <w:i/>
          <w:sz w:val="22"/>
          <w:szCs w:val="22"/>
          <w:vertAlign w:val="subscript"/>
        </w:rPr>
        <w:t>40</w:t>
      </w:r>
      <w:r w:rsidRPr="002B7E6B">
        <w:rPr>
          <w:sz w:val="22"/>
          <w:szCs w:val="22"/>
          <w:vertAlign w:val="subscript"/>
        </w:rPr>
        <w:t>%</w:t>
      </w:r>
      <w:proofErr w:type="gramEnd"/>
      <w:r w:rsidRPr="002B7E6B">
        <w:rPr>
          <w:sz w:val="22"/>
          <w:szCs w:val="22"/>
        </w:rPr>
        <w:t xml:space="preserve">, </w:t>
      </w:r>
      <w:r w:rsidRPr="002B7E6B">
        <w:rPr>
          <w:i/>
          <w:sz w:val="22"/>
          <w:szCs w:val="22"/>
        </w:rPr>
        <w:t>F</w:t>
      </w:r>
      <w:r w:rsidRPr="002B7E6B">
        <w:rPr>
          <w:i/>
          <w:sz w:val="22"/>
          <w:szCs w:val="22"/>
          <w:vertAlign w:val="subscript"/>
        </w:rPr>
        <w:t>40%</w:t>
      </w:r>
      <w:r w:rsidRPr="002B7E6B">
        <w:rPr>
          <w:sz w:val="22"/>
          <w:szCs w:val="22"/>
        </w:rPr>
        <w:t>, and F</w:t>
      </w:r>
      <w:r w:rsidRPr="002B7E6B">
        <w:rPr>
          <w:sz w:val="22"/>
          <w:szCs w:val="22"/>
          <w:vertAlign w:val="subscript"/>
        </w:rPr>
        <w:t>35%</w:t>
      </w:r>
      <w:r w:rsidRPr="002B7E6B">
        <w:rPr>
          <w:sz w:val="22"/>
          <w:szCs w:val="22"/>
        </w:rPr>
        <w:t xml:space="preserve"> exist for this stock, thereby qualifying dusky rockfish for management under Tier 3. With </w:t>
      </w:r>
      <w:proofErr w:type="gramStart"/>
      <w:r w:rsidRPr="002B7E6B">
        <w:rPr>
          <w:i/>
          <w:sz w:val="22"/>
          <w:szCs w:val="22"/>
        </w:rPr>
        <w:t>B</w:t>
      </w:r>
      <w:r w:rsidRPr="002B7E6B">
        <w:rPr>
          <w:i/>
          <w:sz w:val="22"/>
          <w:szCs w:val="22"/>
          <w:vertAlign w:val="subscript"/>
        </w:rPr>
        <w:t>40</w:t>
      </w:r>
      <w:r w:rsidRPr="002B7E6B">
        <w:rPr>
          <w:sz w:val="22"/>
          <w:szCs w:val="22"/>
          <w:vertAlign w:val="subscript"/>
        </w:rPr>
        <w:t>%</w:t>
      </w:r>
      <w:proofErr w:type="gramEnd"/>
      <w:r w:rsidRPr="002B7E6B">
        <w:rPr>
          <w:sz w:val="22"/>
          <w:szCs w:val="22"/>
        </w:rPr>
        <w:t xml:space="preserve">, </w:t>
      </w:r>
      <w:r w:rsidRPr="002B7E6B">
        <w:rPr>
          <w:i/>
          <w:sz w:val="22"/>
          <w:szCs w:val="22"/>
        </w:rPr>
        <w:t>F</w:t>
      </w:r>
      <w:r w:rsidRPr="002B7E6B">
        <w:rPr>
          <w:i/>
          <w:sz w:val="22"/>
          <w:szCs w:val="22"/>
          <w:vertAlign w:val="subscript"/>
        </w:rPr>
        <w:t>40%</w:t>
      </w:r>
      <w:r w:rsidRPr="002B7E6B">
        <w:rPr>
          <w:sz w:val="22"/>
          <w:szCs w:val="22"/>
        </w:rPr>
        <w:t>, and F</w:t>
      </w:r>
      <w:r w:rsidRPr="002B7E6B">
        <w:rPr>
          <w:sz w:val="22"/>
          <w:szCs w:val="22"/>
          <w:vertAlign w:val="subscript"/>
        </w:rPr>
        <w:t>35%</w:t>
      </w:r>
      <w:r w:rsidRPr="002B7E6B">
        <w:rPr>
          <w:sz w:val="22"/>
          <w:szCs w:val="22"/>
        </w:rPr>
        <w:t xml:space="preserve"> estimated at 26,226 t, 0.11, and 0.09, respectively. Spawning biomass in 2023 is projected to exceed </w:t>
      </w:r>
      <w:proofErr w:type="gramStart"/>
      <w:r w:rsidRPr="002B7E6B">
        <w:rPr>
          <w:i/>
          <w:sz w:val="22"/>
          <w:szCs w:val="22"/>
        </w:rPr>
        <w:t>B</w:t>
      </w:r>
      <w:r w:rsidRPr="002B7E6B">
        <w:rPr>
          <w:i/>
          <w:sz w:val="22"/>
          <w:szCs w:val="22"/>
          <w:vertAlign w:val="subscript"/>
        </w:rPr>
        <w:t>40%</w:t>
      </w:r>
      <w:proofErr w:type="gramEnd"/>
      <w:r w:rsidRPr="002B7E6B">
        <w:rPr>
          <w:sz w:val="22"/>
          <w:szCs w:val="22"/>
        </w:rPr>
        <w:t xml:space="preserve">, thereby placing northern rockfish in Tier 3a. The 2023 and 2024 catches associated with an </w:t>
      </w:r>
      <w:proofErr w:type="gramStart"/>
      <w:r w:rsidRPr="002B7E6B">
        <w:rPr>
          <w:i/>
          <w:sz w:val="22"/>
          <w:szCs w:val="22"/>
        </w:rPr>
        <w:t>F</w:t>
      </w:r>
      <w:r w:rsidRPr="002B7E6B">
        <w:rPr>
          <w:i/>
          <w:sz w:val="22"/>
          <w:szCs w:val="22"/>
          <w:vertAlign w:val="subscript"/>
        </w:rPr>
        <w:t>40%</w:t>
      </w:r>
      <w:proofErr w:type="gramEnd"/>
      <w:r w:rsidRPr="002B7E6B">
        <w:rPr>
          <w:sz w:val="22"/>
          <w:szCs w:val="22"/>
        </w:rPr>
        <w:t xml:space="preserve"> are 7,917 t and 7,520 t, respectively. These catches </w:t>
      </w:r>
      <w:proofErr w:type="gramStart"/>
      <w:r w:rsidRPr="002B7E6B">
        <w:rPr>
          <w:sz w:val="22"/>
          <w:szCs w:val="22"/>
        </w:rPr>
        <w:t>were put</w:t>
      </w:r>
      <w:proofErr w:type="gramEnd"/>
      <w:r w:rsidRPr="002B7E6B">
        <w:rPr>
          <w:sz w:val="22"/>
          <w:szCs w:val="22"/>
        </w:rPr>
        <w:t xml:space="preserve"> forward as the authors’ and Plan Team’s recommended ABCs. The 2023 OFL is 9638 t. </w:t>
      </w:r>
    </w:p>
    <w:p w14:paraId="73F3E5B6" w14:textId="77777777" w:rsidR="00DE3EE8" w:rsidRPr="002B7E6B" w:rsidRDefault="00DE3EE8" w:rsidP="00DE3EE8">
      <w:pPr>
        <w:widowControl/>
        <w:rPr>
          <w:sz w:val="22"/>
          <w:szCs w:val="22"/>
        </w:rPr>
      </w:pPr>
    </w:p>
    <w:p w14:paraId="6EC07A17" w14:textId="77777777" w:rsidR="00DE3EE8" w:rsidRPr="002B7E6B" w:rsidRDefault="00DE3EE8" w:rsidP="00DE3EE8">
      <w:pPr>
        <w:widowControl/>
        <w:rPr>
          <w:sz w:val="22"/>
          <w:szCs w:val="22"/>
        </w:rPr>
      </w:pPr>
      <w:r w:rsidRPr="002B7E6B">
        <w:rPr>
          <w:sz w:val="22"/>
          <w:szCs w:val="22"/>
        </w:rPr>
        <w:t xml:space="preserve">A random effects model </w:t>
      </w:r>
      <w:proofErr w:type="gramStart"/>
      <w:r w:rsidRPr="002B7E6B">
        <w:rPr>
          <w:sz w:val="22"/>
          <w:szCs w:val="22"/>
        </w:rPr>
        <w:t>was used</w:t>
      </w:r>
      <w:proofErr w:type="gramEnd"/>
      <w:r w:rsidRPr="002B7E6B">
        <w:rPr>
          <w:sz w:val="22"/>
          <w:szCs w:val="22"/>
        </w:rPr>
        <w:t xml:space="preserve"> to establish regional ABCs based on the proportions of model-based estimates for 2023 with 149t allocated to the Western GOA, 7,647 t to the Central GOA, and 121t to the Eastern GOA. The recommended OFLs for 2022 and 2023 </w:t>
      </w:r>
      <w:proofErr w:type="gramStart"/>
      <w:r w:rsidRPr="002B7E6B">
        <w:rPr>
          <w:sz w:val="22"/>
          <w:szCs w:val="22"/>
        </w:rPr>
        <w:t>are not regionally apportioned</w:t>
      </w:r>
      <w:proofErr w:type="gramEnd"/>
      <w:r w:rsidRPr="002B7E6B">
        <w:rPr>
          <w:sz w:val="22"/>
          <w:szCs w:val="22"/>
        </w:rPr>
        <w:t xml:space="preserve">. Dusky rockfish </w:t>
      </w:r>
      <w:proofErr w:type="gramStart"/>
      <w:r w:rsidRPr="002B7E6B">
        <w:rPr>
          <w:sz w:val="22"/>
          <w:szCs w:val="22"/>
        </w:rPr>
        <w:t>is not being subjected</w:t>
      </w:r>
      <w:proofErr w:type="gramEnd"/>
      <w:r w:rsidRPr="002B7E6B">
        <w:rPr>
          <w:sz w:val="22"/>
          <w:szCs w:val="22"/>
        </w:rPr>
        <w:t xml:space="preserve"> to overfishing, is not overfished, and is not approaching an overfished condition.</w:t>
      </w:r>
    </w:p>
    <w:p w14:paraId="6918B1AC" w14:textId="77777777" w:rsidR="00DE3EE8" w:rsidRPr="002B7E6B" w:rsidRDefault="00DE3EE8" w:rsidP="00DE3EE8">
      <w:pPr>
        <w:widowControl/>
        <w:rPr>
          <w:sz w:val="22"/>
          <w:szCs w:val="22"/>
        </w:rPr>
      </w:pPr>
    </w:p>
    <w:p w14:paraId="73651449" w14:textId="77777777" w:rsidR="00DE3EE8" w:rsidRPr="002B7E6B" w:rsidRDefault="00DE3EE8" w:rsidP="00DE3EE8">
      <w:pPr>
        <w:widowControl/>
        <w:rPr>
          <w:sz w:val="22"/>
          <w:szCs w:val="22"/>
        </w:rPr>
      </w:pPr>
      <w:r w:rsidRPr="002B7E6B">
        <w:rPr>
          <w:sz w:val="22"/>
          <w:szCs w:val="22"/>
        </w:rPr>
        <w:t xml:space="preserve">For more </w:t>
      </w:r>
      <w:proofErr w:type="gramStart"/>
      <w:r w:rsidRPr="002B7E6B">
        <w:rPr>
          <w:sz w:val="22"/>
          <w:szCs w:val="22"/>
        </w:rPr>
        <w:t>information</w:t>
      </w:r>
      <w:proofErr w:type="gramEnd"/>
      <w:r w:rsidRPr="002B7E6B">
        <w:rPr>
          <w:sz w:val="22"/>
          <w:szCs w:val="22"/>
        </w:rPr>
        <w:t xml:space="preserve"> contact Ben Williams, ABL, </w:t>
      </w:r>
      <w:hyperlink r:id="rId66">
        <w:r w:rsidRPr="002B7E6B">
          <w:rPr>
            <w:color w:val="1155CC"/>
            <w:sz w:val="22"/>
            <w:szCs w:val="22"/>
            <w:u w:val="single"/>
          </w:rPr>
          <w:t>ben.william@noaa.gov</w:t>
        </w:r>
      </w:hyperlink>
      <w:r w:rsidRPr="002B7E6B">
        <w:rPr>
          <w:sz w:val="22"/>
          <w:szCs w:val="22"/>
        </w:rPr>
        <w:t>.</w:t>
      </w:r>
    </w:p>
    <w:p w14:paraId="223D4157" w14:textId="77777777" w:rsidR="00DE3EE8" w:rsidRPr="002B7E6B" w:rsidRDefault="00DE3EE8" w:rsidP="00DE3EE8">
      <w:pPr>
        <w:rPr>
          <w:sz w:val="22"/>
          <w:szCs w:val="22"/>
        </w:rPr>
      </w:pPr>
    </w:p>
    <w:p w14:paraId="23005F67" w14:textId="4238043C" w:rsidR="00DE3EE8" w:rsidRPr="008F75DB" w:rsidRDefault="00DE3EE8" w:rsidP="008F75DB">
      <w:pPr>
        <w:pStyle w:val="Heading5"/>
      </w:pPr>
      <w:bookmarkStart w:id="106" w:name="_Toc131503852"/>
      <w:r w:rsidRPr="008F75DB">
        <w:t xml:space="preserve">Northern Rockfish – Bering Sea and Aleutian Islands </w:t>
      </w:r>
      <w:r w:rsidR="008F75DB" w:rsidRPr="008F75DB">
        <w:t>–</w:t>
      </w:r>
      <w:r w:rsidRPr="008F75DB">
        <w:t xml:space="preserve"> REFM</w:t>
      </w:r>
      <w:bookmarkEnd w:id="106"/>
    </w:p>
    <w:p w14:paraId="43192670" w14:textId="77777777" w:rsidR="008F75DB" w:rsidRPr="008F75DB" w:rsidRDefault="008F75DB" w:rsidP="008F75DB"/>
    <w:p w14:paraId="6058C01E" w14:textId="77777777" w:rsidR="00DE3EE8" w:rsidRPr="002B7E6B" w:rsidRDefault="00DE3EE8" w:rsidP="00DE3EE8">
      <w:pPr>
        <w:rPr>
          <w:sz w:val="22"/>
          <w:szCs w:val="22"/>
        </w:rPr>
      </w:pPr>
      <w:r w:rsidRPr="002B7E6B">
        <w:rPr>
          <w:sz w:val="22"/>
          <w:szCs w:val="22"/>
        </w:rPr>
        <w:t xml:space="preserve">A partial assessment was carried out in 2022 because it was a scheduled </w:t>
      </w:r>
      <w:proofErr w:type="gramStart"/>
      <w:r w:rsidRPr="002B7E6B">
        <w:rPr>
          <w:sz w:val="22"/>
          <w:szCs w:val="22"/>
        </w:rPr>
        <w:t>off-year</w:t>
      </w:r>
      <w:proofErr w:type="gramEnd"/>
      <w:r w:rsidRPr="002B7E6B">
        <w:rPr>
          <w:sz w:val="22"/>
          <w:szCs w:val="22"/>
        </w:rPr>
        <w:t xml:space="preserve">. THe AFSC projection model </w:t>
      </w:r>
      <w:proofErr w:type="gramStart"/>
      <w:r w:rsidRPr="002B7E6B">
        <w:rPr>
          <w:sz w:val="22"/>
          <w:szCs w:val="22"/>
        </w:rPr>
        <w:t>was run</w:t>
      </w:r>
      <w:proofErr w:type="gramEnd"/>
      <w:r w:rsidRPr="002B7E6B">
        <w:rPr>
          <w:sz w:val="22"/>
          <w:szCs w:val="22"/>
        </w:rPr>
        <w:t xml:space="preserve"> with updated catches. THe new data included updated 2021 catch and estimated 2022 catches. No changes </w:t>
      </w:r>
      <w:proofErr w:type="gramStart"/>
      <w:r w:rsidRPr="002B7E6B">
        <w:rPr>
          <w:sz w:val="22"/>
          <w:szCs w:val="22"/>
        </w:rPr>
        <w:t>were made</w:t>
      </w:r>
      <w:proofErr w:type="gramEnd"/>
      <w:r w:rsidRPr="002B7E6B">
        <w:rPr>
          <w:sz w:val="22"/>
          <w:szCs w:val="22"/>
        </w:rPr>
        <w:t xml:space="preserve"> to the assessment model. Exploitation rates (i.e., catch/biomass) well below the exploitation rate associated with fishing at </w:t>
      </w:r>
      <w:proofErr w:type="gramStart"/>
      <w:r w:rsidRPr="002B7E6B">
        <w:rPr>
          <w:sz w:val="22"/>
          <w:szCs w:val="22"/>
        </w:rPr>
        <w:t>F40%</w:t>
      </w:r>
      <w:proofErr w:type="gramEnd"/>
      <w:r w:rsidRPr="002B7E6B">
        <w:rPr>
          <w:sz w:val="22"/>
          <w:szCs w:val="22"/>
        </w:rPr>
        <w:t xml:space="preserve">. </w:t>
      </w:r>
    </w:p>
    <w:p w14:paraId="47CF2699" w14:textId="77777777" w:rsidR="00DE3EE8" w:rsidRPr="002B7E6B" w:rsidRDefault="00DE3EE8" w:rsidP="00DE3EE8">
      <w:pPr>
        <w:rPr>
          <w:sz w:val="22"/>
          <w:szCs w:val="22"/>
        </w:rPr>
      </w:pPr>
    </w:p>
    <w:p w14:paraId="7108A467" w14:textId="77777777" w:rsidR="00DE3EE8" w:rsidRPr="002B7E6B" w:rsidRDefault="00DE3EE8" w:rsidP="00DE3EE8">
      <w:pPr>
        <w:rPr>
          <w:sz w:val="22"/>
          <w:szCs w:val="22"/>
        </w:rPr>
      </w:pPr>
      <w:r w:rsidRPr="002B7E6B">
        <w:rPr>
          <w:sz w:val="22"/>
          <w:szCs w:val="22"/>
        </w:rPr>
        <w:t xml:space="preserve">Spawning biomass </w:t>
      </w:r>
      <w:proofErr w:type="gramStart"/>
      <w:r w:rsidRPr="002B7E6B">
        <w:rPr>
          <w:sz w:val="22"/>
          <w:szCs w:val="22"/>
        </w:rPr>
        <w:t>is projected</w:t>
      </w:r>
      <w:proofErr w:type="gramEnd"/>
      <w:r w:rsidRPr="002B7E6B">
        <w:rPr>
          <w:sz w:val="22"/>
          <w:szCs w:val="22"/>
        </w:rPr>
        <w:t xml:space="preserve"> to be 118,251 t in 2023 and to decline to 115,215 t in 2024. The exploitation rates from the BSAI subareas are below </w:t>
      </w:r>
      <w:proofErr w:type="gramStart"/>
      <w:r w:rsidRPr="002B7E6B">
        <w:rPr>
          <w:sz w:val="22"/>
          <w:szCs w:val="22"/>
        </w:rPr>
        <w:t>F40%</w:t>
      </w:r>
      <w:proofErr w:type="gramEnd"/>
      <w:r w:rsidRPr="002B7E6B">
        <w:rPr>
          <w:sz w:val="22"/>
          <w:szCs w:val="22"/>
        </w:rPr>
        <w:t>. The exploitation rate in the eastern Aleutian Islands peaked in 2015 and 2019, but was substantially lower in 2020 through 2022. The exploitation rates in the central Aleutian Islands have been increasing since 2014.</w:t>
      </w:r>
    </w:p>
    <w:p w14:paraId="7398080A" w14:textId="77777777" w:rsidR="00DE3EE8" w:rsidRPr="002B7E6B" w:rsidRDefault="00DE3EE8" w:rsidP="00DE3EE8">
      <w:pPr>
        <w:rPr>
          <w:sz w:val="22"/>
          <w:szCs w:val="22"/>
        </w:rPr>
      </w:pPr>
    </w:p>
    <w:p w14:paraId="2A7954F4" w14:textId="77777777" w:rsidR="00DE3EE8" w:rsidRPr="002B7E6B" w:rsidRDefault="00DE3EE8" w:rsidP="00DE3EE8">
      <w:pPr>
        <w:rPr>
          <w:sz w:val="22"/>
          <w:szCs w:val="22"/>
        </w:rPr>
      </w:pPr>
      <w:r w:rsidRPr="002B7E6B">
        <w:rPr>
          <w:sz w:val="22"/>
          <w:szCs w:val="22"/>
        </w:rPr>
        <w:t xml:space="preserve">The current estimates of </w:t>
      </w:r>
      <w:proofErr w:type="gramStart"/>
      <w:r w:rsidRPr="002B7E6B">
        <w:rPr>
          <w:sz w:val="22"/>
          <w:szCs w:val="22"/>
        </w:rPr>
        <w:t>B40%</w:t>
      </w:r>
      <w:proofErr w:type="gramEnd"/>
      <w:r w:rsidRPr="002B7E6B">
        <w:rPr>
          <w:sz w:val="22"/>
          <w:szCs w:val="22"/>
        </w:rPr>
        <w:t xml:space="preserve">, F40%, and F35% are 68,707 t, 0.069, and 0.085, respectively. The OFL </w:t>
      </w:r>
      <w:r w:rsidRPr="002B7E6B">
        <w:rPr>
          <w:sz w:val="22"/>
          <w:szCs w:val="22"/>
        </w:rPr>
        <w:lastRenderedPageBreak/>
        <w:t xml:space="preserve">fishing mortality rate is </w:t>
      </w:r>
      <w:proofErr w:type="gramStart"/>
      <w:r w:rsidRPr="002B7E6B">
        <w:rPr>
          <w:sz w:val="22"/>
          <w:szCs w:val="22"/>
        </w:rPr>
        <w:t>0.085 which</w:t>
      </w:r>
      <w:proofErr w:type="gramEnd"/>
      <w:r w:rsidRPr="002B7E6B">
        <w:rPr>
          <w:sz w:val="22"/>
          <w:szCs w:val="22"/>
        </w:rPr>
        <w:t xml:space="preserve"> results in a 2023 OFL of 22,776 t and 2024 OFL of 22,105 t. </w:t>
      </w:r>
    </w:p>
    <w:p w14:paraId="0BBCEF15" w14:textId="77777777" w:rsidR="00DE3EE8" w:rsidRPr="002B7E6B" w:rsidRDefault="00DE3EE8" w:rsidP="00DE3EE8">
      <w:pPr>
        <w:rPr>
          <w:sz w:val="22"/>
          <w:szCs w:val="22"/>
        </w:rPr>
      </w:pPr>
    </w:p>
    <w:tbl>
      <w:tblPr>
        <w:tblW w:w="9285" w:type="dxa"/>
        <w:tblBorders>
          <w:top w:val="nil"/>
          <w:left w:val="nil"/>
          <w:bottom w:val="nil"/>
          <w:right w:val="nil"/>
          <w:insideH w:val="nil"/>
          <w:insideV w:val="nil"/>
        </w:tblBorders>
        <w:tblLayout w:type="fixed"/>
        <w:tblLook w:val="0600" w:firstRow="0" w:lastRow="0" w:firstColumn="0" w:lastColumn="0" w:noHBand="1" w:noVBand="1"/>
      </w:tblPr>
      <w:tblGrid>
        <w:gridCol w:w="2055"/>
        <w:gridCol w:w="1275"/>
        <w:gridCol w:w="1275"/>
        <w:gridCol w:w="1170"/>
        <w:gridCol w:w="1170"/>
        <w:gridCol w:w="1170"/>
        <w:gridCol w:w="1170"/>
      </w:tblGrid>
      <w:tr w:rsidR="00DE3EE8" w:rsidRPr="002B7E6B" w14:paraId="49BEB62A" w14:textId="77777777" w:rsidTr="005A5ABD">
        <w:trPr>
          <w:trHeight w:val="800"/>
        </w:trPr>
        <w:tc>
          <w:tcPr>
            <w:tcW w:w="2055"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6A2CB552" w14:textId="77777777" w:rsidR="00DE3EE8" w:rsidRPr="002B7E6B" w:rsidRDefault="00DE3EE8" w:rsidP="005A5ABD">
            <w:pPr>
              <w:rPr>
                <w:b/>
                <w:sz w:val="22"/>
                <w:szCs w:val="22"/>
              </w:rPr>
            </w:pPr>
            <w:r w:rsidRPr="002B7E6B">
              <w:rPr>
                <w:b/>
                <w:sz w:val="22"/>
                <w:szCs w:val="22"/>
              </w:rPr>
              <w:t>Area</w:t>
            </w:r>
          </w:p>
        </w:tc>
        <w:tc>
          <w:tcPr>
            <w:tcW w:w="1275"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5034E993" w14:textId="77777777" w:rsidR="00DE3EE8" w:rsidRPr="002B7E6B" w:rsidRDefault="00DE3EE8" w:rsidP="005A5ABD">
            <w:pPr>
              <w:rPr>
                <w:b/>
                <w:sz w:val="22"/>
                <w:szCs w:val="22"/>
              </w:rPr>
            </w:pPr>
            <w:r w:rsidRPr="002B7E6B">
              <w:rPr>
                <w:b/>
                <w:sz w:val="22"/>
                <w:szCs w:val="22"/>
              </w:rPr>
              <w:t>Year</w:t>
            </w:r>
          </w:p>
        </w:tc>
        <w:tc>
          <w:tcPr>
            <w:tcW w:w="1275"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18F17DA1" w14:textId="77777777" w:rsidR="00DE3EE8" w:rsidRPr="002B7E6B" w:rsidRDefault="00DE3EE8" w:rsidP="005A5ABD">
            <w:pPr>
              <w:rPr>
                <w:b/>
                <w:sz w:val="22"/>
                <w:szCs w:val="22"/>
              </w:rPr>
            </w:pPr>
            <w:r w:rsidRPr="002B7E6B">
              <w:rPr>
                <w:b/>
                <w:sz w:val="22"/>
                <w:szCs w:val="22"/>
              </w:rPr>
              <w:t>Biomass (age 3+)</w:t>
            </w:r>
          </w:p>
        </w:tc>
        <w:tc>
          <w:tcPr>
            <w:tcW w:w="1170"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036D3912" w14:textId="77777777" w:rsidR="00DE3EE8" w:rsidRPr="002B7E6B" w:rsidRDefault="00DE3EE8" w:rsidP="005A5ABD">
            <w:pPr>
              <w:rPr>
                <w:b/>
                <w:sz w:val="22"/>
                <w:szCs w:val="22"/>
              </w:rPr>
            </w:pPr>
            <w:r w:rsidRPr="002B7E6B">
              <w:rPr>
                <w:b/>
                <w:sz w:val="22"/>
                <w:szCs w:val="22"/>
              </w:rPr>
              <w:t>OFL</w:t>
            </w:r>
          </w:p>
        </w:tc>
        <w:tc>
          <w:tcPr>
            <w:tcW w:w="1170"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10332821" w14:textId="77777777" w:rsidR="00DE3EE8" w:rsidRPr="002B7E6B" w:rsidRDefault="00DE3EE8" w:rsidP="005A5ABD">
            <w:pPr>
              <w:rPr>
                <w:b/>
                <w:sz w:val="22"/>
                <w:szCs w:val="22"/>
              </w:rPr>
            </w:pPr>
            <w:r w:rsidRPr="002B7E6B">
              <w:rPr>
                <w:b/>
                <w:sz w:val="22"/>
                <w:szCs w:val="22"/>
              </w:rPr>
              <w:t>ABC</w:t>
            </w:r>
          </w:p>
        </w:tc>
        <w:tc>
          <w:tcPr>
            <w:tcW w:w="1170"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1597437F" w14:textId="77777777" w:rsidR="00DE3EE8" w:rsidRPr="002B7E6B" w:rsidRDefault="00DE3EE8" w:rsidP="005A5ABD">
            <w:pPr>
              <w:rPr>
                <w:b/>
                <w:sz w:val="22"/>
                <w:szCs w:val="22"/>
              </w:rPr>
            </w:pPr>
            <w:r w:rsidRPr="002B7E6B">
              <w:rPr>
                <w:b/>
                <w:sz w:val="22"/>
                <w:szCs w:val="22"/>
              </w:rPr>
              <w:t>TAC</w:t>
            </w:r>
          </w:p>
        </w:tc>
        <w:tc>
          <w:tcPr>
            <w:tcW w:w="1170"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670519E1" w14:textId="77777777" w:rsidR="00DE3EE8" w:rsidRPr="002B7E6B" w:rsidRDefault="00DE3EE8" w:rsidP="005A5ABD">
            <w:pPr>
              <w:rPr>
                <w:b/>
                <w:sz w:val="22"/>
                <w:szCs w:val="22"/>
              </w:rPr>
            </w:pPr>
            <w:r w:rsidRPr="002B7E6B">
              <w:rPr>
                <w:b/>
                <w:sz w:val="22"/>
                <w:szCs w:val="22"/>
              </w:rPr>
              <w:t>Catch</w:t>
            </w:r>
          </w:p>
        </w:tc>
      </w:tr>
      <w:tr w:rsidR="00DE3EE8" w:rsidRPr="002B7E6B" w14:paraId="4C6D1D73" w14:textId="77777777" w:rsidTr="005A5ABD">
        <w:trPr>
          <w:trHeight w:val="500"/>
        </w:trPr>
        <w:tc>
          <w:tcPr>
            <w:tcW w:w="2055" w:type="dxa"/>
            <w:tcBorders>
              <w:top w:val="nil"/>
              <w:left w:val="nil"/>
              <w:bottom w:val="nil"/>
              <w:right w:val="nil"/>
            </w:tcBorders>
            <w:tcMar>
              <w:top w:w="100" w:type="dxa"/>
              <w:left w:w="100" w:type="dxa"/>
              <w:bottom w:w="100" w:type="dxa"/>
              <w:right w:w="100" w:type="dxa"/>
            </w:tcMar>
            <w:vAlign w:val="bottom"/>
          </w:tcPr>
          <w:p w14:paraId="345F328A" w14:textId="77777777" w:rsidR="00DE3EE8" w:rsidRPr="002B7E6B" w:rsidRDefault="00DE3EE8" w:rsidP="005A5ABD">
            <w:pPr>
              <w:rPr>
                <w:sz w:val="22"/>
                <w:szCs w:val="22"/>
              </w:rPr>
            </w:pPr>
            <w:r w:rsidRPr="002B7E6B">
              <w:rPr>
                <w:sz w:val="22"/>
                <w:szCs w:val="22"/>
              </w:rPr>
              <w:t>BSAI</w:t>
            </w:r>
          </w:p>
        </w:tc>
        <w:tc>
          <w:tcPr>
            <w:tcW w:w="1275" w:type="dxa"/>
            <w:tcBorders>
              <w:top w:val="nil"/>
              <w:left w:val="nil"/>
              <w:bottom w:val="nil"/>
              <w:right w:val="nil"/>
            </w:tcBorders>
            <w:tcMar>
              <w:top w:w="100" w:type="dxa"/>
              <w:left w:w="100" w:type="dxa"/>
              <w:bottom w:w="100" w:type="dxa"/>
              <w:right w:w="100" w:type="dxa"/>
            </w:tcMar>
            <w:vAlign w:val="bottom"/>
          </w:tcPr>
          <w:p w14:paraId="4322A456" w14:textId="77777777" w:rsidR="00DE3EE8" w:rsidRPr="002B7E6B" w:rsidRDefault="00DE3EE8" w:rsidP="005A5ABD">
            <w:pPr>
              <w:rPr>
                <w:sz w:val="22"/>
                <w:szCs w:val="22"/>
              </w:rPr>
            </w:pPr>
            <w:r w:rsidRPr="002B7E6B">
              <w:rPr>
                <w:sz w:val="22"/>
                <w:szCs w:val="22"/>
              </w:rPr>
              <w:t>2021</w:t>
            </w:r>
          </w:p>
        </w:tc>
        <w:tc>
          <w:tcPr>
            <w:tcW w:w="1275" w:type="dxa"/>
            <w:tcBorders>
              <w:top w:val="nil"/>
              <w:left w:val="nil"/>
              <w:bottom w:val="nil"/>
              <w:right w:val="nil"/>
            </w:tcBorders>
            <w:tcMar>
              <w:top w:w="100" w:type="dxa"/>
              <w:left w:w="100" w:type="dxa"/>
              <w:bottom w:w="100" w:type="dxa"/>
              <w:right w:w="100" w:type="dxa"/>
            </w:tcMar>
            <w:vAlign w:val="bottom"/>
          </w:tcPr>
          <w:p w14:paraId="230746AB" w14:textId="77777777" w:rsidR="00DE3EE8" w:rsidRPr="002B7E6B" w:rsidRDefault="00DE3EE8" w:rsidP="005A5ABD">
            <w:pPr>
              <w:rPr>
                <w:sz w:val="22"/>
                <w:szCs w:val="22"/>
              </w:rPr>
            </w:pPr>
            <w:r w:rsidRPr="002B7E6B">
              <w:rPr>
                <w:sz w:val="22"/>
                <w:szCs w:val="22"/>
              </w:rPr>
              <w:t>244,600</w:t>
            </w:r>
          </w:p>
        </w:tc>
        <w:tc>
          <w:tcPr>
            <w:tcW w:w="1170" w:type="dxa"/>
            <w:tcBorders>
              <w:top w:val="nil"/>
              <w:left w:val="nil"/>
              <w:bottom w:val="nil"/>
              <w:right w:val="nil"/>
            </w:tcBorders>
            <w:tcMar>
              <w:top w:w="100" w:type="dxa"/>
              <w:left w:w="100" w:type="dxa"/>
              <w:bottom w:w="100" w:type="dxa"/>
              <w:right w:w="100" w:type="dxa"/>
            </w:tcMar>
            <w:vAlign w:val="bottom"/>
          </w:tcPr>
          <w:p w14:paraId="692ED646" w14:textId="77777777" w:rsidR="00DE3EE8" w:rsidRPr="002B7E6B" w:rsidRDefault="00DE3EE8" w:rsidP="005A5ABD">
            <w:pPr>
              <w:rPr>
                <w:sz w:val="22"/>
                <w:szCs w:val="22"/>
              </w:rPr>
            </w:pPr>
            <w:r w:rsidRPr="002B7E6B">
              <w:rPr>
                <w:sz w:val="22"/>
                <w:szCs w:val="22"/>
              </w:rPr>
              <w:t>18,917</w:t>
            </w:r>
          </w:p>
        </w:tc>
        <w:tc>
          <w:tcPr>
            <w:tcW w:w="1170" w:type="dxa"/>
            <w:tcBorders>
              <w:top w:val="nil"/>
              <w:left w:val="nil"/>
              <w:bottom w:val="nil"/>
              <w:right w:val="nil"/>
            </w:tcBorders>
            <w:tcMar>
              <w:top w:w="100" w:type="dxa"/>
              <w:left w:w="100" w:type="dxa"/>
              <w:bottom w:w="100" w:type="dxa"/>
              <w:right w:w="100" w:type="dxa"/>
            </w:tcMar>
            <w:vAlign w:val="bottom"/>
          </w:tcPr>
          <w:p w14:paraId="44DF388F" w14:textId="77777777" w:rsidR="00DE3EE8" w:rsidRPr="002B7E6B" w:rsidRDefault="00DE3EE8" w:rsidP="005A5ABD">
            <w:pPr>
              <w:rPr>
                <w:sz w:val="22"/>
                <w:szCs w:val="22"/>
              </w:rPr>
            </w:pPr>
            <w:r w:rsidRPr="002B7E6B">
              <w:rPr>
                <w:sz w:val="22"/>
                <w:szCs w:val="22"/>
              </w:rPr>
              <w:t>15,557</w:t>
            </w:r>
          </w:p>
        </w:tc>
        <w:tc>
          <w:tcPr>
            <w:tcW w:w="1170" w:type="dxa"/>
            <w:tcBorders>
              <w:top w:val="nil"/>
              <w:left w:val="nil"/>
              <w:bottom w:val="nil"/>
              <w:right w:val="nil"/>
            </w:tcBorders>
            <w:tcMar>
              <w:top w:w="100" w:type="dxa"/>
              <w:left w:w="100" w:type="dxa"/>
              <w:bottom w:w="100" w:type="dxa"/>
              <w:right w:w="100" w:type="dxa"/>
            </w:tcMar>
            <w:vAlign w:val="bottom"/>
          </w:tcPr>
          <w:p w14:paraId="4289ACD3" w14:textId="77777777" w:rsidR="00DE3EE8" w:rsidRPr="002B7E6B" w:rsidRDefault="00DE3EE8" w:rsidP="005A5ABD">
            <w:pPr>
              <w:rPr>
                <w:sz w:val="22"/>
                <w:szCs w:val="22"/>
              </w:rPr>
            </w:pPr>
            <w:r w:rsidRPr="002B7E6B">
              <w:rPr>
                <w:sz w:val="22"/>
                <w:szCs w:val="22"/>
              </w:rPr>
              <w:t>13,000</w:t>
            </w:r>
          </w:p>
        </w:tc>
        <w:tc>
          <w:tcPr>
            <w:tcW w:w="1170" w:type="dxa"/>
            <w:tcBorders>
              <w:top w:val="nil"/>
              <w:left w:val="nil"/>
              <w:bottom w:val="nil"/>
              <w:right w:val="nil"/>
            </w:tcBorders>
            <w:tcMar>
              <w:top w:w="100" w:type="dxa"/>
              <w:left w:w="100" w:type="dxa"/>
              <w:bottom w:w="100" w:type="dxa"/>
              <w:right w:w="100" w:type="dxa"/>
            </w:tcMar>
            <w:vAlign w:val="bottom"/>
          </w:tcPr>
          <w:p w14:paraId="36B8038E" w14:textId="77777777" w:rsidR="00DE3EE8" w:rsidRPr="002B7E6B" w:rsidRDefault="00DE3EE8" w:rsidP="005A5ABD">
            <w:pPr>
              <w:rPr>
                <w:sz w:val="22"/>
                <w:szCs w:val="22"/>
              </w:rPr>
            </w:pPr>
            <w:r w:rsidRPr="002B7E6B">
              <w:rPr>
                <w:sz w:val="22"/>
                <w:szCs w:val="22"/>
              </w:rPr>
              <w:t>6,212</w:t>
            </w:r>
          </w:p>
        </w:tc>
      </w:tr>
      <w:tr w:rsidR="00DE3EE8" w:rsidRPr="002B7E6B" w14:paraId="349911C2" w14:textId="77777777" w:rsidTr="005A5ABD">
        <w:trPr>
          <w:trHeight w:val="500"/>
        </w:trPr>
        <w:tc>
          <w:tcPr>
            <w:tcW w:w="2055" w:type="dxa"/>
            <w:tcBorders>
              <w:top w:val="nil"/>
              <w:left w:val="nil"/>
              <w:bottom w:val="nil"/>
              <w:right w:val="nil"/>
            </w:tcBorders>
            <w:tcMar>
              <w:top w:w="100" w:type="dxa"/>
              <w:left w:w="100" w:type="dxa"/>
              <w:bottom w:w="100" w:type="dxa"/>
              <w:right w:w="100" w:type="dxa"/>
            </w:tcMar>
            <w:vAlign w:val="bottom"/>
          </w:tcPr>
          <w:p w14:paraId="110FADD4" w14:textId="77777777" w:rsidR="00DE3EE8" w:rsidRPr="002B7E6B" w:rsidRDefault="00DE3EE8" w:rsidP="005A5ABD">
            <w:pPr>
              <w:rPr>
                <w:sz w:val="22"/>
                <w:szCs w:val="22"/>
              </w:rPr>
            </w:pPr>
          </w:p>
        </w:tc>
        <w:tc>
          <w:tcPr>
            <w:tcW w:w="1275" w:type="dxa"/>
            <w:tcBorders>
              <w:top w:val="nil"/>
              <w:left w:val="nil"/>
              <w:bottom w:val="nil"/>
              <w:right w:val="nil"/>
            </w:tcBorders>
            <w:tcMar>
              <w:top w:w="100" w:type="dxa"/>
              <w:left w:w="100" w:type="dxa"/>
              <w:bottom w:w="100" w:type="dxa"/>
              <w:right w:w="100" w:type="dxa"/>
            </w:tcMar>
            <w:vAlign w:val="bottom"/>
          </w:tcPr>
          <w:p w14:paraId="218C6AD2" w14:textId="77777777" w:rsidR="00DE3EE8" w:rsidRPr="002B7E6B" w:rsidRDefault="00DE3EE8" w:rsidP="005A5ABD">
            <w:pPr>
              <w:rPr>
                <w:sz w:val="22"/>
                <w:szCs w:val="22"/>
              </w:rPr>
            </w:pPr>
            <w:r w:rsidRPr="002B7E6B">
              <w:rPr>
                <w:sz w:val="22"/>
                <w:szCs w:val="22"/>
              </w:rPr>
              <w:t>2022</w:t>
            </w:r>
          </w:p>
        </w:tc>
        <w:tc>
          <w:tcPr>
            <w:tcW w:w="1275" w:type="dxa"/>
            <w:tcBorders>
              <w:top w:val="nil"/>
              <w:left w:val="nil"/>
              <w:bottom w:val="nil"/>
              <w:right w:val="nil"/>
            </w:tcBorders>
            <w:tcMar>
              <w:top w:w="100" w:type="dxa"/>
              <w:left w:w="100" w:type="dxa"/>
              <w:bottom w:w="100" w:type="dxa"/>
              <w:right w:w="100" w:type="dxa"/>
            </w:tcMar>
            <w:vAlign w:val="bottom"/>
          </w:tcPr>
          <w:p w14:paraId="22EAB4BC" w14:textId="77777777" w:rsidR="00DE3EE8" w:rsidRPr="002B7E6B" w:rsidRDefault="00DE3EE8" w:rsidP="005A5ABD">
            <w:pPr>
              <w:rPr>
                <w:sz w:val="22"/>
                <w:szCs w:val="22"/>
              </w:rPr>
            </w:pPr>
            <w:r w:rsidRPr="002B7E6B">
              <w:rPr>
                <w:sz w:val="22"/>
                <w:szCs w:val="22"/>
              </w:rPr>
              <w:t>279,584</w:t>
            </w:r>
          </w:p>
        </w:tc>
        <w:tc>
          <w:tcPr>
            <w:tcW w:w="1170" w:type="dxa"/>
            <w:tcBorders>
              <w:top w:val="nil"/>
              <w:left w:val="nil"/>
              <w:bottom w:val="nil"/>
              <w:right w:val="nil"/>
            </w:tcBorders>
            <w:tcMar>
              <w:top w:w="100" w:type="dxa"/>
              <w:left w:w="100" w:type="dxa"/>
              <w:bottom w:w="100" w:type="dxa"/>
              <w:right w:w="100" w:type="dxa"/>
            </w:tcMar>
            <w:vAlign w:val="bottom"/>
          </w:tcPr>
          <w:p w14:paraId="21245DDA" w14:textId="77777777" w:rsidR="00DE3EE8" w:rsidRPr="002B7E6B" w:rsidRDefault="00DE3EE8" w:rsidP="005A5ABD">
            <w:pPr>
              <w:rPr>
                <w:sz w:val="22"/>
                <w:szCs w:val="22"/>
              </w:rPr>
            </w:pPr>
            <w:r w:rsidRPr="002B7E6B">
              <w:rPr>
                <w:sz w:val="22"/>
                <w:szCs w:val="22"/>
              </w:rPr>
              <w:t>23,420</w:t>
            </w:r>
          </w:p>
        </w:tc>
        <w:tc>
          <w:tcPr>
            <w:tcW w:w="1170" w:type="dxa"/>
            <w:tcBorders>
              <w:top w:val="nil"/>
              <w:left w:val="nil"/>
              <w:bottom w:val="nil"/>
              <w:right w:val="nil"/>
            </w:tcBorders>
            <w:tcMar>
              <w:top w:w="100" w:type="dxa"/>
              <w:left w:w="100" w:type="dxa"/>
              <w:bottom w:w="100" w:type="dxa"/>
              <w:right w:w="100" w:type="dxa"/>
            </w:tcMar>
            <w:vAlign w:val="bottom"/>
          </w:tcPr>
          <w:p w14:paraId="0B31279A" w14:textId="77777777" w:rsidR="00DE3EE8" w:rsidRPr="002B7E6B" w:rsidRDefault="00DE3EE8" w:rsidP="005A5ABD">
            <w:pPr>
              <w:rPr>
                <w:sz w:val="22"/>
                <w:szCs w:val="22"/>
              </w:rPr>
            </w:pPr>
            <w:r w:rsidRPr="002B7E6B">
              <w:rPr>
                <w:sz w:val="22"/>
                <w:szCs w:val="22"/>
              </w:rPr>
              <w:t>19,217</w:t>
            </w:r>
          </w:p>
        </w:tc>
        <w:tc>
          <w:tcPr>
            <w:tcW w:w="1170" w:type="dxa"/>
            <w:tcBorders>
              <w:top w:val="nil"/>
              <w:left w:val="nil"/>
              <w:bottom w:val="nil"/>
              <w:right w:val="nil"/>
            </w:tcBorders>
            <w:tcMar>
              <w:top w:w="100" w:type="dxa"/>
              <w:left w:w="100" w:type="dxa"/>
              <w:bottom w:w="100" w:type="dxa"/>
              <w:right w:w="100" w:type="dxa"/>
            </w:tcMar>
            <w:vAlign w:val="bottom"/>
          </w:tcPr>
          <w:p w14:paraId="77C8E348" w14:textId="77777777" w:rsidR="00DE3EE8" w:rsidRPr="002B7E6B" w:rsidRDefault="00DE3EE8" w:rsidP="005A5ABD">
            <w:pPr>
              <w:rPr>
                <w:sz w:val="22"/>
                <w:szCs w:val="22"/>
              </w:rPr>
            </w:pPr>
            <w:r w:rsidRPr="002B7E6B">
              <w:rPr>
                <w:sz w:val="22"/>
                <w:szCs w:val="22"/>
              </w:rPr>
              <w:t>17,000</w:t>
            </w:r>
          </w:p>
        </w:tc>
        <w:tc>
          <w:tcPr>
            <w:tcW w:w="1170" w:type="dxa"/>
            <w:tcBorders>
              <w:top w:val="nil"/>
              <w:left w:val="nil"/>
              <w:bottom w:val="nil"/>
              <w:right w:val="nil"/>
            </w:tcBorders>
            <w:tcMar>
              <w:top w:w="100" w:type="dxa"/>
              <w:left w:w="100" w:type="dxa"/>
              <w:bottom w:w="100" w:type="dxa"/>
              <w:right w:w="100" w:type="dxa"/>
            </w:tcMar>
            <w:vAlign w:val="bottom"/>
          </w:tcPr>
          <w:p w14:paraId="70C44507" w14:textId="77777777" w:rsidR="00DE3EE8" w:rsidRPr="002B7E6B" w:rsidRDefault="00DE3EE8" w:rsidP="005A5ABD">
            <w:pPr>
              <w:rPr>
                <w:sz w:val="22"/>
                <w:szCs w:val="22"/>
              </w:rPr>
            </w:pPr>
            <w:r w:rsidRPr="002B7E6B">
              <w:rPr>
                <w:sz w:val="22"/>
                <w:szCs w:val="22"/>
              </w:rPr>
              <w:t>7,801</w:t>
            </w:r>
          </w:p>
        </w:tc>
      </w:tr>
      <w:tr w:rsidR="00DE3EE8" w:rsidRPr="002B7E6B" w14:paraId="4DA334A1" w14:textId="77777777" w:rsidTr="005A5ABD">
        <w:trPr>
          <w:trHeight w:val="500"/>
        </w:trPr>
        <w:tc>
          <w:tcPr>
            <w:tcW w:w="2055" w:type="dxa"/>
            <w:tcBorders>
              <w:top w:val="nil"/>
              <w:left w:val="nil"/>
              <w:bottom w:val="nil"/>
              <w:right w:val="nil"/>
            </w:tcBorders>
            <w:tcMar>
              <w:top w:w="100" w:type="dxa"/>
              <w:left w:w="100" w:type="dxa"/>
              <w:bottom w:w="100" w:type="dxa"/>
              <w:right w:w="100" w:type="dxa"/>
            </w:tcMar>
            <w:vAlign w:val="bottom"/>
          </w:tcPr>
          <w:p w14:paraId="6F4B0ED3" w14:textId="77777777" w:rsidR="00DE3EE8" w:rsidRPr="002B7E6B" w:rsidRDefault="00DE3EE8" w:rsidP="005A5ABD">
            <w:pPr>
              <w:rPr>
                <w:sz w:val="22"/>
                <w:szCs w:val="22"/>
              </w:rPr>
            </w:pPr>
          </w:p>
        </w:tc>
        <w:tc>
          <w:tcPr>
            <w:tcW w:w="1275" w:type="dxa"/>
            <w:tcBorders>
              <w:top w:val="nil"/>
              <w:left w:val="nil"/>
              <w:bottom w:val="nil"/>
              <w:right w:val="nil"/>
            </w:tcBorders>
            <w:tcMar>
              <w:top w:w="100" w:type="dxa"/>
              <w:left w:w="100" w:type="dxa"/>
              <w:bottom w:w="100" w:type="dxa"/>
              <w:right w:w="100" w:type="dxa"/>
            </w:tcMar>
            <w:vAlign w:val="bottom"/>
          </w:tcPr>
          <w:p w14:paraId="2D849C34" w14:textId="77777777" w:rsidR="00DE3EE8" w:rsidRPr="002B7E6B" w:rsidRDefault="00DE3EE8" w:rsidP="005A5ABD">
            <w:pPr>
              <w:rPr>
                <w:sz w:val="22"/>
                <w:szCs w:val="22"/>
              </w:rPr>
            </w:pPr>
            <w:r w:rsidRPr="002B7E6B">
              <w:rPr>
                <w:sz w:val="22"/>
                <w:szCs w:val="22"/>
              </w:rPr>
              <w:t>2023</w:t>
            </w:r>
          </w:p>
        </w:tc>
        <w:tc>
          <w:tcPr>
            <w:tcW w:w="1275" w:type="dxa"/>
            <w:tcBorders>
              <w:top w:val="nil"/>
              <w:left w:val="nil"/>
              <w:bottom w:val="nil"/>
              <w:right w:val="nil"/>
            </w:tcBorders>
            <w:tcMar>
              <w:top w:w="100" w:type="dxa"/>
              <w:left w:w="100" w:type="dxa"/>
              <w:bottom w:w="100" w:type="dxa"/>
              <w:right w:w="100" w:type="dxa"/>
            </w:tcMar>
            <w:vAlign w:val="bottom"/>
          </w:tcPr>
          <w:p w14:paraId="536951ED" w14:textId="77777777" w:rsidR="00DE3EE8" w:rsidRPr="002B7E6B" w:rsidRDefault="00DE3EE8" w:rsidP="005A5ABD">
            <w:pPr>
              <w:rPr>
                <w:sz w:val="22"/>
                <w:szCs w:val="22"/>
              </w:rPr>
            </w:pPr>
            <w:r w:rsidRPr="002B7E6B">
              <w:rPr>
                <w:sz w:val="22"/>
                <w:szCs w:val="22"/>
              </w:rPr>
              <w:t>277,133</w:t>
            </w:r>
          </w:p>
        </w:tc>
        <w:tc>
          <w:tcPr>
            <w:tcW w:w="1170" w:type="dxa"/>
            <w:tcBorders>
              <w:top w:val="nil"/>
              <w:left w:val="nil"/>
              <w:bottom w:val="nil"/>
              <w:right w:val="nil"/>
            </w:tcBorders>
            <w:tcMar>
              <w:top w:w="100" w:type="dxa"/>
              <w:left w:w="100" w:type="dxa"/>
              <w:bottom w:w="100" w:type="dxa"/>
              <w:right w:w="100" w:type="dxa"/>
            </w:tcMar>
            <w:vAlign w:val="bottom"/>
          </w:tcPr>
          <w:p w14:paraId="0A78E58A" w14:textId="77777777" w:rsidR="00DE3EE8" w:rsidRPr="002B7E6B" w:rsidRDefault="00DE3EE8" w:rsidP="005A5ABD">
            <w:pPr>
              <w:rPr>
                <w:sz w:val="22"/>
                <w:szCs w:val="22"/>
              </w:rPr>
            </w:pPr>
            <w:r w:rsidRPr="002B7E6B">
              <w:rPr>
                <w:sz w:val="22"/>
                <w:szCs w:val="22"/>
              </w:rPr>
              <w:t>22,776</w:t>
            </w:r>
          </w:p>
        </w:tc>
        <w:tc>
          <w:tcPr>
            <w:tcW w:w="1170" w:type="dxa"/>
            <w:tcBorders>
              <w:top w:val="nil"/>
              <w:left w:val="nil"/>
              <w:bottom w:val="nil"/>
              <w:right w:val="nil"/>
            </w:tcBorders>
            <w:tcMar>
              <w:top w:w="100" w:type="dxa"/>
              <w:left w:w="100" w:type="dxa"/>
              <w:bottom w:w="100" w:type="dxa"/>
              <w:right w:w="100" w:type="dxa"/>
            </w:tcMar>
            <w:vAlign w:val="bottom"/>
          </w:tcPr>
          <w:p w14:paraId="5B0A9CF3" w14:textId="77777777" w:rsidR="00DE3EE8" w:rsidRPr="002B7E6B" w:rsidRDefault="00DE3EE8" w:rsidP="005A5ABD">
            <w:pPr>
              <w:rPr>
                <w:sz w:val="22"/>
                <w:szCs w:val="22"/>
              </w:rPr>
            </w:pPr>
            <w:r w:rsidRPr="002B7E6B">
              <w:rPr>
                <w:sz w:val="22"/>
                <w:szCs w:val="22"/>
              </w:rPr>
              <w:t>18,687</w:t>
            </w:r>
          </w:p>
        </w:tc>
        <w:tc>
          <w:tcPr>
            <w:tcW w:w="1170" w:type="dxa"/>
            <w:tcBorders>
              <w:top w:val="nil"/>
              <w:left w:val="nil"/>
              <w:bottom w:val="nil"/>
              <w:right w:val="nil"/>
            </w:tcBorders>
            <w:tcMar>
              <w:top w:w="100" w:type="dxa"/>
              <w:left w:w="100" w:type="dxa"/>
              <w:bottom w:w="100" w:type="dxa"/>
              <w:right w:w="100" w:type="dxa"/>
            </w:tcMar>
            <w:vAlign w:val="bottom"/>
          </w:tcPr>
          <w:p w14:paraId="4133EA7F" w14:textId="77777777" w:rsidR="00DE3EE8" w:rsidRPr="002B7E6B" w:rsidRDefault="00DE3EE8" w:rsidP="005A5ABD">
            <w:pPr>
              <w:rPr>
                <w:sz w:val="22"/>
                <w:szCs w:val="22"/>
              </w:rPr>
            </w:pPr>
            <w:r w:rsidRPr="002B7E6B">
              <w:rPr>
                <w:sz w:val="22"/>
                <w:szCs w:val="22"/>
              </w:rPr>
              <w:t>n/a</w:t>
            </w:r>
          </w:p>
        </w:tc>
        <w:tc>
          <w:tcPr>
            <w:tcW w:w="1170" w:type="dxa"/>
            <w:tcBorders>
              <w:top w:val="nil"/>
              <w:left w:val="nil"/>
              <w:bottom w:val="nil"/>
              <w:right w:val="nil"/>
            </w:tcBorders>
            <w:tcMar>
              <w:top w:w="100" w:type="dxa"/>
              <w:left w:w="100" w:type="dxa"/>
              <w:bottom w:w="100" w:type="dxa"/>
              <w:right w:w="100" w:type="dxa"/>
            </w:tcMar>
            <w:vAlign w:val="bottom"/>
          </w:tcPr>
          <w:p w14:paraId="7FB7EA44" w14:textId="77777777" w:rsidR="00DE3EE8" w:rsidRPr="002B7E6B" w:rsidRDefault="00DE3EE8" w:rsidP="005A5ABD">
            <w:pPr>
              <w:rPr>
                <w:sz w:val="22"/>
                <w:szCs w:val="22"/>
              </w:rPr>
            </w:pPr>
            <w:r w:rsidRPr="002B7E6B">
              <w:rPr>
                <w:sz w:val="22"/>
                <w:szCs w:val="22"/>
              </w:rPr>
              <w:t>n/a</w:t>
            </w:r>
          </w:p>
        </w:tc>
      </w:tr>
      <w:tr w:rsidR="00DE3EE8" w:rsidRPr="002B7E6B" w14:paraId="05C18788" w14:textId="77777777" w:rsidTr="005A5ABD">
        <w:trPr>
          <w:trHeight w:val="500"/>
        </w:trPr>
        <w:tc>
          <w:tcPr>
            <w:tcW w:w="2055" w:type="dxa"/>
            <w:tcBorders>
              <w:top w:val="nil"/>
              <w:left w:val="nil"/>
              <w:bottom w:val="single" w:sz="7" w:space="0" w:color="000000"/>
              <w:right w:val="nil"/>
            </w:tcBorders>
            <w:tcMar>
              <w:top w:w="100" w:type="dxa"/>
              <w:left w:w="100" w:type="dxa"/>
              <w:bottom w:w="100" w:type="dxa"/>
              <w:right w:w="100" w:type="dxa"/>
            </w:tcMar>
            <w:vAlign w:val="bottom"/>
          </w:tcPr>
          <w:p w14:paraId="0926DD22" w14:textId="77777777" w:rsidR="00DE3EE8" w:rsidRPr="002B7E6B" w:rsidRDefault="00DE3EE8" w:rsidP="005A5ABD">
            <w:pPr>
              <w:rPr>
                <w:sz w:val="22"/>
                <w:szCs w:val="22"/>
              </w:rPr>
            </w:pPr>
            <w:r w:rsidRPr="002B7E6B">
              <w:rPr>
                <w:sz w:val="22"/>
                <w:szCs w:val="22"/>
              </w:rPr>
              <w:t xml:space="preserve"> </w:t>
            </w:r>
          </w:p>
        </w:tc>
        <w:tc>
          <w:tcPr>
            <w:tcW w:w="1275" w:type="dxa"/>
            <w:tcBorders>
              <w:top w:val="nil"/>
              <w:left w:val="nil"/>
              <w:bottom w:val="single" w:sz="7" w:space="0" w:color="000000"/>
              <w:right w:val="nil"/>
            </w:tcBorders>
            <w:tcMar>
              <w:top w:w="100" w:type="dxa"/>
              <w:left w:w="100" w:type="dxa"/>
              <w:bottom w:w="100" w:type="dxa"/>
              <w:right w:w="100" w:type="dxa"/>
            </w:tcMar>
            <w:vAlign w:val="bottom"/>
          </w:tcPr>
          <w:p w14:paraId="32FE1042" w14:textId="77777777" w:rsidR="00DE3EE8" w:rsidRPr="002B7E6B" w:rsidRDefault="00DE3EE8" w:rsidP="005A5ABD">
            <w:pPr>
              <w:rPr>
                <w:sz w:val="22"/>
                <w:szCs w:val="22"/>
              </w:rPr>
            </w:pPr>
            <w:r w:rsidRPr="002B7E6B">
              <w:rPr>
                <w:sz w:val="22"/>
                <w:szCs w:val="22"/>
              </w:rPr>
              <w:t>2024</w:t>
            </w:r>
          </w:p>
        </w:tc>
        <w:tc>
          <w:tcPr>
            <w:tcW w:w="1275" w:type="dxa"/>
            <w:tcBorders>
              <w:top w:val="nil"/>
              <w:left w:val="nil"/>
              <w:bottom w:val="single" w:sz="7" w:space="0" w:color="000000"/>
              <w:right w:val="nil"/>
            </w:tcBorders>
            <w:tcMar>
              <w:top w:w="100" w:type="dxa"/>
              <w:left w:w="100" w:type="dxa"/>
              <w:bottom w:w="100" w:type="dxa"/>
              <w:right w:w="100" w:type="dxa"/>
            </w:tcMar>
            <w:vAlign w:val="bottom"/>
          </w:tcPr>
          <w:p w14:paraId="57C28293" w14:textId="77777777" w:rsidR="00DE3EE8" w:rsidRPr="002B7E6B" w:rsidRDefault="00DE3EE8" w:rsidP="005A5ABD">
            <w:pPr>
              <w:rPr>
                <w:sz w:val="22"/>
                <w:szCs w:val="22"/>
              </w:rPr>
            </w:pPr>
            <w:r w:rsidRPr="002B7E6B">
              <w:rPr>
                <w:sz w:val="22"/>
                <w:szCs w:val="22"/>
              </w:rPr>
              <w:t>273,414</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5C182FFF" w14:textId="77777777" w:rsidR="00DE3EE8" w:rsidRPr="002B7E6B" w:rsidRDefault="00DE3EE8" w:rsidP="005A5ABD">
            <w:pPr>
              <w:rPr>
                <w:sz w:val="22"/>
                <w:szCs w:val="22"/>
              </w:rPr>
            </w:pPr>
            <w:r w:rsidRPr="002B7E6B">
              <w:rPr>
                <w:sz w:val="22"/>
                <w:szCs w:val="22"/>
              </w:rPr>
              <w:t>22,105</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26F62760" w14:textId="77777777" w:rsidR="00DE3EE8" w:rsidRPr="002B7E6B" w:rsidRDefault="00DE3EE8" w:rsidP="005A5ABD">
            <w:pPr>
              <w:rPr>
                <w:sz w:val="22"/>
                <w:szCs w:val="22"/>
              </w:rPr>
            </w:pPr>
            <w:r w:rsidRPr="002B7E6B">
              <w:rPr>
                <w:sz w:val="22"/>
                <w:szCs w:val="22"/>
              </w:rPr>
              <w:t>18,135</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4C514A44" w14:textId="77777777" w:rsidR="00DE3EE8" w:rsidRPr="002B7E6B" w:rsidRDefault="00DE3EE8" w:rsidP="005A5ABD">
            <w:pPr>
              <w:rPr>
                <w:sz w:val="22"/>
                <w:szCs w:val="22"/>
              </w:rPr>
            </w:pPr>
            <w:r w:rsidRPr="002B7E6B">
              <w:rPr>
                <w:sz w:val="22"/>
                <w:szCs w:val="22"/>
              </w:rPr>
              <w:t>n/a</w:t>
            </w:r>
          </w:p>
        </w:tc>
        <w:tc>
          <w:tcPr>
            <w:tcW w:w="1170" w:type="dxa"/>
            <w:tcBorders>
              <w:top w:val="nil"/>
              <w:left w:val="nil"/>
              <w:bottom w:val="single" w:sz="7" w:space="0" w:color="000000"/>
              <w:right w:val="nil"/>
            </w:tcBorders>
            <w:tcMar>
              <w:top w:w="100" w:type="dxa"/>
              <w:left w:w="100" w:type="dxa"/>
              <w:bottom w:w="100" w:type="dxa"/>
              <w:right w:w="100" w:type="dxa"/>
            </w:tcMar>
            <w:vAlign w:val="bottom"/>
          </w:tcPr>
          <w:p w14:paraId="659AFBFA" w14:textId="77777777" w:rsidR="00DE3EE8" w:rsidRPr="002B7E6B" w:rsidRDefault="00DE3EE8" w:rsidP="005A5ABD">
            <w:pPr>
              <w:rPr>
                <w:sz w:val="22"/>
                <w:szCs w:val="22"/>
              </w:rPr>
            </w:pPr>
            <w:r w:rsidRPr="002B7E6B">
              <w:rPr>
                <w:sz w:val="22"/>
                <w:szCs w:val="22"/>
              </w:rPr>
              <w:t>n/a</w:t>
            </w:r>
          </w:p>
        </w:tc>
      </w:tr>
    </w:tbl>
    <w:p w14:paraId="6C791A7C" w14:textId="77777777" w:rsidR="00DE3EE8" w:rsidRPr="002B7E6B" w:rsidRDefault="00DE3EE8" w:rsidP="00DE3EE8">
      <w:pPr>
        <w:rPr>
          <w:sz w:val="22"/>
          <w:szCs w:val="22"/>
        </w:rPr>
      </w:pPr>
    </w:p>
    <w:p w14:paraId="7CF9FC15" w14:textId="77777777" w:rsidR="00DE3EE8" w:rsidRPr="002B7E6B" w:rsidRDefault="00DE3EE8" w:rsidP="00DE3EE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sz w:val="22"/>
          <w:szCs w:val="22"/>
        </w:rPr>
      </w:pPr>
      <w:r w:rsidRPr="002B7E6B">
        <w:rPr>
          <w:sz w:val="22"/>
          <w:szCs w:val="22"/>
        </w:rPr>
        <w:t>For further information, contact Paul Spencer (paul.spencer@noaa.gov)</w:t>
      </w:r>
    </w:p>
    <w:p w14:paraId="1D48A758" w14:textId="77777777" w:rsidR="00DE3EE8" w:rsidRPr="002B7E6B" w:rsidRDefault="00DE3EE8" w:rsidP="00DE3EE8">
      <w:pPr>
        <w:rPr>
          <w:b/>
          <w:sz w:val="22"/>
          <w:szCs w:val="22"/>
        </w:rPr>
      </w:pPr>
    </w:p>
    <w:p w14:paraId="07489C3C" w14:textId="6FF21E3E" w:rsidR="00DE3EE8" w:rsidRPr="008F75DB" w:rsidRDefault="00DE3EE8" w:rsidP="008F75DB">
      <w:pPr>
        <w:pStyle w:val="Heading5"/>
      </w:pPr>
      <w:bookmarkStart w:id="107" w:name="_Toc131503853"/>
      <w:r w:rsidRPr="008F75DB">
        <w:t>Northern Rockfish</w:t>
      </w:r>
      <w:r w:rsidR="0024271A">
        <w:t xml:space="preserve"> – </w:t>
      </w:r>
      <w:r w:rsidRPr="008F75DB">
        <w:t>Gulf of Alaska</w:t>
      </w:r>
      <w:r w:rsidR="0024271A">
        <w:t xml:space="preserve"> – </w:t>
      </w:r>
      <w:r w:rsidRPr="008F75DB">
        <w:t>ABL</w:t>
      </w:r>
      <w:bookmarkEnd w:id="107"/>
    </w:p>
    <w:p w14:paraId="079E654B" w14:textId="77777777" w:rsidR="00DE3EE8" w:rsidRPr="002B7E6B" w:rsidRDefault="00DE3EE8" w:rsidP="00DE3EE8">
      <w:pPr>
        <w:rPr>
          <w:sz w:val="22"/>
          <w:szCs w:val="22"/>
        </w:rPr>
      </w:pPr>
    </w:p>
    <w:p w14:paraId="62A0AA43" w14:textId="601568AC" w:rsidR="00DE3EE8" w:rsidRPr="002B7E6B" w:rsidRDefault="00DE3EE8" w:rsidP="00DE3EE8">
      <w:pPr>
        <w:widowControl/>
        <w:spacing w:after="120"/>
        <w:rPr>
          <w:sz w:val="22"/>
          <w:szCs w:val="22"/>
        </w:rPr>
      </w:pPr>
      <w:r w:rsidRPr="002B7E6B">
        <w:rPr>
          <w:sz w:val="22"/>
          <w:szCs w:val="22"/>
        </w:rPr>
        <w:t>In 2022</w:t>
      </w:r>
      <w:r w:rsidR="008F75DB">
        <w:rPr>
          <w:sz w:val="22"/>
          <w:szCs w:val="22"/>
        </w:rPr>
        <w:t>,</w:t>
      </w:r>
      <w:r w:rsidRPr="002B7E6B">
        <w:rPr>
          <w:sz w:val="22"/>
          <w:szCs w:val="22"/>
        </w:rPr>
        <w:t xml:space="preserve"> a full assessment </w:t>
      </w:r>
      <w:proofErr w:type="gramStart"/>
      <w:r w:rsidRPr="002B7E6B">
        <w:rPr>
          <w:sz w:val="22"/>
          <w:szCs w:val="22"/>
        </w:rPr>
        <w:t>was conducted</w:t>
      </w:r>
      <w:proofErr w:type="gramEnd"/>
      <w:r w:rsidRPr="002B7E6B">
        <w:rPr>
          <w:sz w:val="22"/>
          <w:szCs w:val="22"/>
        </w:rPr>
        <w:t xml:space="preserve"> for Gulf of Alaska (GOA) northern rockfish. The input data </w:t>
      </w:r>
      <w:proofErr w:type="gramStart"/>
      <w:r w:rsidRPr="002B7E6B">
        <w:rPr>
          <w:sz w:val="22"/>
          <w:szCs w:val="22"/>
        </w:rPr>
        <w:t>were updated</w:t>
      </w:r>
      <w:proofErr w:type="gramEnd"/>
      <w:r w:rsidRPr="002B7E6B">
        <w:rPr>
          <w:sz w:val="22"/>
          <w:szCs w:val="22"/>
        </w:rPr>
        <w:t xml:space="preserve"> to include final catch for 2020 and 2021, preliminary catch for 2022, fishery age composition for 2020, trawl survey age composition for 2021, and trawl survey biomass for 2021. The survey biomass estimate </w:t>
      </w:r>
      <w:proofErr w:type="gramStart"/>
      <w:r w:rsidRPr="002B7E6B">
        <w:rPr>
          <w:sz w:val="22"/>
          <w:szCs w:val="22"/>
        </w:rPr>
        <w:t>is based</w:t>
      </w:r>
      <w:proofErr w:type="gramEnd"/>
      <w:r w:rsidRPr="002B7E6B">
        <w:rPr>
          <w:sz w:val="22"/>
          <w:szCs w:val="22"/>
        </w:rPr>
        <w:t xml:space="preserve"> upon the Groundfish Assessment Program’s Vector Autoregressive Spatio-temporal (VAST) model for the GOA. The length plus group </w:t>
      </w:r>
      <w:proofErr w:type="gramStart"/>
      <w:r w:rsidRPr="002B7E6B">
        <w:rPr>
          <w:sz w:val="22"/>
          <w:szCs w:val="22"/>
        </w:rPr>
        <w:t>was extended</w:t>
      </w:r>
      <w:proofErr w:type="gramEnd"/>
      <w:r w:rsidRPr="002B7E6B">
        <w:rPr>
          <w:sz w:val="22"/>
          <w:szCs w:val="22"/>
        </w:rPr>
        <w:t xml:space="preserve"> from 38 cm to 45 cm. </w:t>
      </w:r>
    </w:p>
    <w:p w14:paraId="48B0B923" w14:textId="77777777" w:rsidR="00DE3EE8" w:rsidRPr="002B7E6B" w:rsidRDefault="00DE3EE8" w:rsidP="00DE3EE8">
      <w:pPr>
        <w:widowControl/>
        <w:rPr>
          <w:sz w:val="22"/>
          <w:szCs w:val="22"/>
        </w:rPr>
      </w:pPr>
      <w:r w:rsidRPr="002B7E6B">
        <w:rPr>
          <w:sz w:val="22"/>
          <w:szCs w:val="22"/>
        </w:rPr>
        <w:t xml:space="preserve">Spawning biomass was above the </w:t>
      </w:r>
      <w:proofErr w:type="gramStart"/>
      <w:r w:rsidRPr="002B7E6B">
        <w:rPr>
          <w:i/>
          <w:sz w:val="22"/>
          <w:szCs w:val="22"/>
        </w:rPr>
        <w:t>B</w:t>
      </w:r>
      <w:r w:rsidRPr="002B7E6B">
        <w:rPr>
          <w:i/>
          <w:sz w:val="22"/>
          <w:szCs w:val="22"/>
          <w:vertAlign w:val="subscript"/>
        </w:rPr>
        <w:t>40%</w:t>
      </w:r>
      <w:proofErr w:type="gramEnd"/>
      <w:r w:rsidRPr="002B7E6B">
        <w:rPr>
          <w:sz w:val="22"/>
          <w:szCs w:val="22"/>
        </w:rPr>
        <w:t xml:space="preserve"> reference point and projected to be 39,445 t in 2023 decreasing to 37,470 t in 2024. The SSC has determined that reliable estimates of </w:t>
      </w:r>
      <w:proofErr w:type="gramStart"/>
      <w:r w:rsidRPr="002B7E6B">
        <w:rPr>
          <w:i/>
          <w:sz w:val="22"/>
          <w:szCs w:val="22"/>
        </w:rPr>
        <w:t>B</w:t>
      </w:r>
      <w:r w:rsidRPr="002B7E6B">
        <w:rPr>
          <w:i/>
          <w:sz w:val="22"/>
          <w:szCs w:val="22"/>
          <w:vertAlign w:val="subscript"/>
        </w:rPr>
        <w:t>40</w:t>
      </w:r>
      <w:r w:rsidRPr="002B7E6B">
        <w:rPr>
          <w:sz w:val="22"/>
          <w:szCs w:val="22"/>
          <w:vertAlign w:val="subscript"/>
        </w:rPr>
        <w:t>%</w:t>
      </w:r>
      <w:proofErr w:type="gramEnd"/>
      <w:r w:rsidRPr="002B7E6B">
        <w:rPr>
          <w:sz w:val="22"/>
          <w:szCs w:val="22"/>
        </w:rPr>
        <w:t xml:space="preserve">, </w:t>
      </w:r>
      <w:r w:rsidRPr="002B7E6B">
        <w:rPr>
          <w:i/>
          <w:sz w:val="22"/>
          <w:szCs w:val="22"/>
        </w:rPr>
        <w:t>F</w:t>
      </w:r>
      <w:r w:rsidRPr="002B7E6B">
        <w:rPr>
          <w:i/>
          <w:sz w:val="22"/>
          <w:szCs w:val="22"/>
          <w:vertAlign w:val="subscript"/>
        </w:rPr>
        <w:t>40%</w:t>
      </w:r>
      <w:r w:rsidRPr="002B7E6B">
        <w:rPr>
          <w:sz w:val="22"/>
          <w:szCs w:val="22"/>
        </w:rPr>
        <w:t>, and F</w:t>
      </w:r>
      <w:r w:rsidRPr="002B7E6B">
        <w:rPr>
          <w:sz w:val="22"/>
          <w:szCs w:val="22"/>
          <w:vertAlign w:val="subscript"/>
        </w:rPr>
        <w:t>35%</w:t>
      </w:r>
      <w:r w:rsidRPr="002B7E6B">
        <w:rPr>
          <w:sz w:val="22"/>
          <w:szCs w:val="22"/>
        </w:rPr>
        <w:t xml:space="preserve"> exist for this stock, thereby qualifying northern rockfish for management under Tier 3. With </w:t>
      </w:r>
      <w:proofErr w:type="gramStart"/>
      <w:r w:rsidRPr="002B7E6B">
        <w:rPr>
          <w:i/>
          <w:sz w:val="22"/>
          <w:szCs w:val="22"/>
        </w:rPr>
        <w:t>B</w:t>
      </w:r>
      <w:r w:rsidRPr="002B7E6B">
        <w:rPr>
          <w:i/>
          <w:sz w:val="22"/>
          <w:szCs w:val="22"/>
          <w:vertAlign w:val="subscript"/>
        </w:rPr>
        <w:t>40</w:t>
      </w:r>
      <w:r w:rsidRPr="002B7E6B">
        <w:rPr>
          <w:sz w:val="22"/>
          <w:szCs w:val="22"/>
          <w:vertAlign w:val="subscript"/>
        </w:rPr>
        <w:t>%</w:t>
      </w:r>
      <w:proofErr w:type="gramEnd"/>
      <w:r w:rsidRPr="002B7E6B">
        <w:rPr>
          <w:sz w:val="22"/>
          <w:szCs w:val="22"/>
        </w:rPr>
        <w:t xml:space="preserve">, </w:t>
      </w:r>
      <w:r w:rsidRPr="002B7E6B">
        <w:rPr>
          <w:i/>
          <w:sz w:val="22"/>
          <w:szCs w:val="22"/>
        </w:rPr>
        <w:t>F</w:t>
      </w:r>
      <w:r w:rsidRPr="002B7E6B">
        <w:rPr>
          <w:i/>
          <w:sz w:val="22"/>
          <w:szCs w:val="22"/>
          <w:vertAlign w:val="subscript"/>
        </w:rPr>
        <w:t>40%</w:t>
      </w:r>
      <w:r w:rsidRPr="002B7E6B">
        <w:rPr>
          <w:sz w:val="22"/>
          <w:szCs w:val="22"/>
        </w:rPr>
        <w:t>, and F</w:t>
      </w:r>
      <w:r w:rsidRPr="002B7E6B">
        <w:rPr>
          <w:sz w:val="22"/>
          <w:szCs w:val="22"/>
          <w:vertAlign w:val="subscript"/>
        </w:rPr>
        <w:t>35%</w:t>
      </w:r>
      <w:r w:rsidRPr="002B7E6B">
        <w:rPr>
          <w:sz w:val="22"/>
          <w:szCs w:val="22"/>
        </w:rPr>
        <w:t xml:space="preserve"> estimated at 32,940 t, 0.074, and 0.061, respectively. Spawning biomass in 2023 is projected to exceed </w:t>
      </w:r>
      <w:proofErr w:type="gramStart"/>
      <w:r w:rsidRPr="002B7E6B">
        <w:rPr>
          <w:i/>
          <w:sz w:val="22"/>
          <w:szCs w:val="22"/>
        </w:rPr>
        <w:t>B</w:t>
      </w:r>
      <w:r w:rsidRPr="002B7E6B">
        <w:rPr>
          <w:i/>
          <w:sz w:val="22"/>
          <w:szCs w:val="22"/>
          <w:vertAlign w:val="subscript"/>
        </w:rPr>
        <w:t>40%</w:t>
      </w:r>
      <w:proofErr w:type="gramEnd"/>
      <w:r w:rsidRPr="002B7E6B">
        <w:rPr>
          <w:sz w:val="22"/>
          <w:szCs w:val="22"/>
        </w:rPr>
        <w:t xml:space="preserve">, thereby placing northern rockfish in Tier 3a. The 2023 and 2024 catches associated with an </w:t>
      </w:r>
      <w:proofErr w:type="gramStart"/>
      <w:r w:rsidRPr="002B7E6B">
        <w:rPr>
          <w:i/>
          <w:sz w:val="22"/>
          <w:szCs w:val="22"/>
        </w:rPr>
        <w:t>F</w:t>
      </w:r>
      <w:r w:rsidRPr="002B7E6B">
        <w:rPr>
          <w:i/>
          <w:sz w:val="22"/>
          <w:szCs w:val="22"/>
          <w:vertAlign w:val="subscript"/>
        </w:rPr>
        <w:t>40%</w:t>
      </w:r>
      <w:proofErr w:type="gramEnd"/>
      <w:r w:rsidRPr="002B7E6B">
        <w:rPr>
          <w:sz w:val="22"/>
          <w:szCs w:val="22"/>
        </w:rPr>
        <w:t xml:space="preserve"> are 4,965 t and 4,742 t, respectively. These catches </w:t>
      </w:r>
      <w:proofErr w:type="gramStart"/>
      <w:r w:rsidRPr="002B7E6B">
        <w:rPr>
          <w:sz w:val="22"/>
          <w:szCs w:val="22"/>
        </w:rPr>
        <w:t>were put</w:t>
      </w:r>
      <w:proofErr w:type="gramEnd"/>
      <w:r w:rsidRPr="002B7E6B">
        <w:rPr>
          <w:sz w:val="22"/>
          <w:szCs w:val="22"/>
        </w:rPr>
        <w:t xml:space="preserve"> forward as the authors’ and Plan Team’s recommended ABCs. The 2023 and 2024 OFLs are 5,927 t and 5,661 t.</w:t>
      </w:r>
    </w:p>
    <w:p w14:paraId="3EBB43AA" w14:textId="77777777" w:rsidR="00DE3EE8" w:rsidRPr="002B7E6B" w:rsidRDefault="00DE3EE8" w:rsidP="00DE3EE8">
      <w:pPr>
        <w:widowControl/>
        <w:rPr>
          <w:sz w:val="22"/>
          <w:szCs w:val="22"/>
        </w:rPr>
      </w:pPr>
    </w:p>
    <w:p w14:paraId="311FA354" w14:textId="77777777" w:rsidR="00DE3EE8" w:rsidRPr="002B7E6B" w:rsidRDefault="00DE3EE8" w:rsidP="00DE3EE8">
      <w:pPr>
        <w:widowControl/>
        <w:rPr>
          <w:sz w:val="22"/>
          <w:szCs w:val="22"/>
        </w:rPr>
      </w:pPr>
      <w:r w:rsidRPr="002B7E6B">
        <w:rPr>
          <w:sz w:val="22"/>
          <w:szCs w:val="22"/>
        </w:rPr>
        <w:t xml:space="preserve">A random effects model </w:t>
      </w:r>
      <w:proofErr w:type="gramStart"/>
      <w:r w:rsidRPr="002B7E6B">
        <w:rPr>
          <w:sz w:val="22"/>
          <w:szCs w:val="22"/>
        </w:rPr>
        <w:t>was used</w:t>
      </w:r>
      <w:proofErr w:type="gramEnd"/>
      <w:r w:rsidRPr="002B7E6B">
        <w:rPr>
          <w:sz w:val="22"/>
          <w:szCs w:val="22"/>
        </w:rPr>
        <w:t xml:space="preserve"> to establish regional ABCs based on the proportions of model-based estimates for 2023 with 2,614 t allocated to the Western GOA, 2,350 t to the Central GOA, and 1 t to the Eastern GOA. The Eastern GOA allocation </w:t>
      </w:r>
      <w:proofErr w:type="gramStart"/>
      <w:r w:rsidRPr="002B7E6B">
        <w:rPr>
          <w:sz w:val="22"/>
          <w:szCs w:val="22"/>
        </w:rPr>
        <w:t>is managed</w:t>
      </w:r>
      <w:proofErr w:type="gramEnd"/>
      <w:r w:rsidRPr="002B7E6B">
        <w:rPr>
          <w:sz w:val="22"/>
          <w:szCs w:val="22"/>
        </w:rPr>
        <w:t xml:space="preserve"> within the “Other Rockfish'' complex.  The recommended OFLs for 2023 and 2024 </w:t>
      </w:r>
      <w:proofErr w:type="gramStart"/>
      <w:r w:rsidRPr="002B7E6B">
        <w:rPr>
          <w:sz w:val="22"/>
          <w:szCs w:val="22"/>
        </w:rPr>
        <w:t>are not regionally apportioned</w:t>
      </w:r>
      <w:proofErr w:type="gramEnd"/>
      <w:r w:rsidRPr="002B7E6B">
        <w:rPr>
          <w:sz w:val="22"/>
          <w:szCs w:val="22"/>
        </w:rPr>
        <w:t xml:space="preserve">. Northern rockfish </w:t>
      </w:r>
      <w:proofErr w:type="gramStart"/>
      <w:r w:rsidRPr="002B7E6B">
        <w:rPr>
          <w:sz w:val="22"/>
          <w:szCs w:val="22"/>
        </w:rPr>
        <w:t>is not being subjected</w:t>
      </w:r>
      <w:proofErr w:type="gramEnd"/>
      <w:r w:rsidRPr="002B7E6B">
        <w:rPr>
          <w:sz w:val="22"/>
          <w:szCs w:val="22"/>
        </w:rPr>
        <w:t xml:space="preserve"> to overfishing, is not overfished, and is not approaching an overfished condition.</w:t>
      </w:r>
    </w:p>
    <w:p w14:paraId="25C9ADCD" w14:textId="77777777" w:rsidR="00DE3EE8" w:rsidRPr="002B7E6B" w:rsidRDefault="00DE3EE8" w:rsidP="00DE3EE8">
      <w:pPr>
        <w:widowControl/>
        <w:rPr>
          <w:sz w:val="22"/>
          <w:szCs w:val="22"/>
        </w:rPr>
      </w:pPr>
    </w:p>
    <w:p w14:paraId="451D549C" w14:textId="77777777" w:rsidR="00DE3EE8" w:rsidRPr="002B7E6B" w:rsidRDefault="00DE3EE8" w:rsidP="00DE3EE8">
      <w:pPr>
        <w:widowControl/>
        <w:rPr>
          <w:sz w:val="22"/>
          <w:szCs w:val="22"/>
        </w:rPr>
      </w:pPr>
      <w:r w:rsidRPr="002B7E6B">
        <w:rPr>
          <w:sz w:val="22"/>
          <w:szCs w:val="22"/>
        </w:rPr>
        <w:t xml:space="preserve">For more </w:t>
      </w:r>
      <w:proofErr w:type="gramStart"/>
      <w:r w:rsidRPr="002B7E6B">
        <w:rPr>
          <w:sz w:val="22"/>
          <w:szCs w:val="22"/>
        </w:rPr>
        <w:t>information</w:t>
      </w:r>
      <w:proofErr w:type="gramEnd"/>
      <w:r w:rsidRPr="002B7E6B">
        <w:rPr>
          <w:sz w:val="22"/>
          <w:szCs w:val="22"/>
        </w:rPr>
        <w:t xml:space="preserve"> contact Ben Williams, ABL, ben.william@noaa.gov.</w:t>
      </w:r>
    </w:p>
    <w:p w14:paraId="6D8089D0" w14:textId="77777777" w:rsidR="00DE3EE8" w:rsidRPr="002B7E6B" w:rsidRDefault="00DE3EE8" w:rsidP="00DE3EE8">
      <w:pPr>
        <w:rPr>
          <w:sz w:val="22"/>
          <w:szCs w:val="22"/>
        </w:rPr>
      </w:pPr>
    </w:p>
    <w:p w14:paraId="7733E6B9" w14:textId="7D169A43" w:rsidR="00DE3EE8" w:rsidRPr="008F75DB" w:rsidRDefault="00DE3EE8" w:rsidP="008F75DB">
      <w:pPr>
        <w:pStyle w:val="Heading5"/>
      </w:pPr>
      <w:bookmarkStart w:id="108" w:name="_Toc131503854"/>
      <w:r w:rsidRPr="008F75DB">
        <w:t>Shortraker Rockfish</w:t>
      </w:r>
      <w:r w:rsidR="0024271A">
        <w:t xml:space="preserve"> – </w:t>
      </w:r>
      <w:r w:rsidRPr="008F75DB">
        <w:t xml:space="preserve">Bering Sea and Aleutian Islands </w:t>
      </w:r>
      <w:r w:rsidR="008F75DB" w:rsidRPr="008F75DB">
        <w:t>–</w:t>
      </w:r>
      <w:r w:rsidRPr="008F75DB">
        <w:t xml:space="preserve"> REFM</w:t>
      </w:r>
      <w:bookmarkEnd w:id="108"/>
    </w:p>
    <w:p w14:paraId="1C8E482D" w14:textId="77777777" w:rsidR="008F75DB" w:rsidRPr="008F75DB" w:rsidRDefault="008F75DB" w:rsidP="008F75DB"/>
    <w:p w14:paraId="1D273248" w14:textId="77777777" w:rsidR="00DE3EE8" w:rsidRPr="002B7E6B" w:rsidRDefault="00DE3EE8" w:rsidP="00DE3EE8">
      <w:pPr>
        <w:rPr>
          <w:sz w:val="22"/>
          <w:szCs w:val="22"/>
        </w:rPr>
      </w:pPr>
      <w:r w:rsidRPr="002B7E6B">
        <w:rPr>
          <w:sz w:val="22"/>
          <w:szCs w:val="22"/>
        </w:rPr>
        <w:t xml:space="preserve">The Bering Sea and Aleutian Islands (BSAI) shortraker rockfish stock </w:t>
      </w:r>
      <w:proofErr w:type="gramStart"/>
      <w:r w:rsidRPr="002B7E6B">
        <w:rPr>
          <w:sz w:val="22"/>
          <w:szCs w:val="22"/>
        </w:rPr>
        <w:t>is classified</w:t>
      </w:r>
      <w:proofErr w:type="gramEnd"/>
      <w:r w:rsidRPr="002B7E6B">
        <w:rPr>
          <w:sz w:val="22"/>
          <w:szCs w:val="22"/>
        </w:rPr>
        <w:t xml:space="preserve"> as a Tier 5 stock for setting the acceptable biological catch (ABC) and overfishing level (OFL). In accordance with the new assessment schedule frequency, a full assessment for shortraker rockfish in 2022. The random effects model was fit in Template Model Builder (TMB; Kristensen et al. 2016) using the new rema R library. The model was fit to the Aleutian Islands BTS and the AFSC longline survey (LLS) relative population </w:t>
      </w:r>
      <w:r w:rsidRPr="002B7E6B">
        <w:rPr>
          <w:sz w:val="22"/>
          <w:szCs w:val="22"/>
        </w:rPr>
        <w:lastRenderedPageBreak/>
        <w:t xml:space="preserve">weights (RPWs) on the eastern Bering Sea (EBS) slope, 1997-2021. The EBS slope </w:t>
      </w:r>
      <w:proofErr w:type="gramStart"/>
      <w:r w:rsidRPr="002B7E6B">
        <w:rPr>
          <w:sz w:val="22"/>
          <w:szCs w:val="22"/>
        </w:rPr>
        <w:t>is sampled</w:t>
      </w:r>
      <w:proofErr w:type="gramEnd"/>
      <w:r w:rsidRPr="002B7E6B">
        <w:rPr>
          <w:sz w:val="22"/>
          <w:szCs w:val="22"/>
        </w:rPr>
        <w:t xml:space="preserve"> by the LLS in odd years. </w:t>
      </w:r>
    </w:p>
    <w:p w14:paraId="03C0BD5D" w14:textId="77777777" w:rsidR="00DE3EE8" w:rsidRPr="002B7E6B" w:rsidRDefault="00DE3EE8" w:rsidP="00DE3EE8">
      <w:pPr>
        <w:rPr>
          <w:sz w:val="22"/>
          <w:szCs w:val="22"/>
        </w:rPr>
      </w:pPr>
    </w:p>
    <w:p w14:paraId="142D5E06" w14:textId="77777777" w:rsidR="00DE3EE8" w:rsidRPr="002B7E6B" w:rsidRDefault="00DE3EE8" w:rsidP="00DE3EE8">
      <w:pPr>
        <w:rPr>
          <w:sz w:val="22"/>
          <w:szCs w:val="22"/>
        </w:rPr>
      </w:pPr>
      <w:r w:rsidRPr="002B7E6B">
        <w:rPr>
          <w:sz w:val="22"/>
          <w:szCs w:val="22"/>
        </w:rPr>
        <w:t>Estimated shortraker rockfish biomass in the BSAI slowly decreased from 1998 to 2010 and remained relatively stable to 2022. Survey biomass estimates decreased in the western and eastern AI and increased in the central AI in 2022 compared to 2018. Relative population weights have been variable over time in the EBS slope portion of the longline survey (LLS) with an increase in 2019 followed by a decrease in 2021. Exploitation rates have generally been well below the ABC levels, and have been close to ABC in 2013 and 2021.</w:t>
      </w:r>
    </w:p>
    <w:p w14:paraId="2B7CB95D" w14:textId="77777777" w:rsidR="00DE3EE8" w:rsidRPr="002B7E6B" w:rsidRDefault="00DE3EE8" w:rsidP="00DE3EE8">
      <w:pPr>
        <w:rPr>
          <w:sz w:val="22"/>
          <w:szCs w:val="22"/>
        </w:rPr>
      </w:pPr>
    </w:p>
    <w:p w14:paraId="6ADFEC90" w14:textId="77777777" w:rsidR="00DE3EE8" w:rsidRPr="002B7E6B" w:rsidRDefault="00DE3EE8" w:rsidP="00DE3EE8">
      <w:pPr>
        <w:rPr>
          <w:sz w:val="22"/>
          <w:szCs w:val="22"/>
        </w:rPr>
      </w:pPr>
      <w:r w:rsidRPr="002B7E6B">
        <w:rPr>
          <w:sz w:val="22"/>
          <w:szCs w:val="22"/>
        </w:rPr>
        <w:t>F</w:t>
      </w:r>
      <w:r w:rsidRPr="002B7E6B">
        <w:rPr>
          <w:sz w:val="22"/>
          <w:szCs w:val="22"/>
          <w:vertAlign w:val="subscript"/>
        </w:rPr>
        <w:t>ABC</w:t>
      </w:r>
      <w:r w:rsidRPr="002B7E6B">
        <w:rPr>
          <w:sz w:val="22"/>
          <w:szCs w:val="22"/>
        </w:rPr>
        <w:t xml:space="preserve"> is 75 percent of M, where the accepted value of M for this stock is 0.03 for shortraker rockfish. This results in a maxF</w:t>
      </w:r>
      <w:r w:rsidRPr="002B7E6B">
        <w:rPr>
          <w:sz w:val="22"/>
          <w:szCs w:val="22"/>
          <w:vertAlign w:val="subscript"/>
        </w:rPr>
        <w:t>ABC</w:t>
      </w:r>
      <w:r w:rsidRPr="002B7E6B">
        <w:rPr>
          <w:sz w:val="22"/>
          <w:szCs w:val="22"/>
        </w:rPr>
        <w:t xml:space="preserve"> value of 0.0225. The ABC is 530 t for 2023 and 2024 and the OFL is 706 t for 2023 and 2024. For more information, contact </w:t>
      </w:r>
      <w:hyperlink r:id="rId67">
        <w:r w:rsidRPr="002B7E6B">
          <w:rPr>
            <w:color w:val="1155CC"/>
            <w:sz w:val="22"/>
            <w:szCs w:val="22"/>
            <w:u w:val="single"/>
          </w:rPr>
          <w:t>Katy.Echave@noaa.gov</w:t>
        </w:r>
      </w:hyperlink>
    </w:p>
    <w:p w14:paraId="2B8350F7" w14:textId="77777777" w:rsidR="00DE3EE8" w:rsidRPr="002B7E6B" w:rsidRDefault="00DE3EE8" w:rsidP="00DE3EE8">
      <w:pPr>
        <w:rPr>
          <w:sz w:val="22"/>
          <w:szCs w:val="22"/>
        </w:rPr>
      </w:pPr>
    </w:p>
    <w:p w14:paraId="67C5E8EC" w14:textId="5053E8FD" w:rsidR="00DE3EE8" w:rsidRDefault="00DE3EE8" w:rsidP="008F75DB">
      <w:pPr>
        <w:pStyle w:val="Heading5"/>
      </w:pPr>
      <w:bookmarkStart w:id="109" w:name="_Toc131503855"/>
      <w:r w:rsidRPr="008F75DB">
        <w:t>Shortraker Rockfish – Gulf of Alaska – ABL</w:t>
      </w:r>
      <w:bookmarkEnd w:id="109"/>
    </w:p>
    <w:p w14:paraId="3E1DFF63" w14:textId="77777777" w:rsidR="008F75DB" w:rsidRPr="008F75DB" w:rsidRDefault="008F75DB" w:rsidP="008F75DB"/>
    <w:p w14:paraId="2E8593BB" w14:textId="6DF3FB5A" w:rsidR="00DE3EE8" w:rsidRPr="002B7E6B" w:rsidRDefault="00DE3EE8" w:rsidP="00DE3EE8">
      <w:pPr>
        <w:widowControl/>
        <w:spacing w:after="160" w:line="259" w:lineRule="auto"/>
        <w:rPr>
          <w:sz w:val="22"/>
          <w:szCs w:val="22"/>
        </w:rPr>
      </w:pPr>
      <w:r w:rsidRPr="002B7E6B">
        <w:rPr>
          <w:rFonts w:eastAsia="Gungsuh"/>
          <w:sz w:val="22"/>
          <w:szCs w:val="22"/>
        </w:rPr>
        <w:t xml:space="preserve">Rockfish in the Gulf of Alaska (GOA) </w:t>
      </w:r>
      <w:proofErr w:type="gramStart"/>
      <w:r w:rsidRPr="002B7E6B">
        <w:rPr>
          <w:rFonts w:eastAsia="Gungsuh"/>
          <w:sz w:val="22"/>
          <w:szCs w:val="22"/>
        </w:rPr>
        <w:t>have historically been assessed</w:t>
      </w:r>
      <w:proofErr w:type="gramEnd"/>
      <w:r w:rsidRPr="002B7E6B">
        <w:rPr>
          <w:rFonts w:eastAsia="Gungsuh"/>
          <w:sz w:val="22"/>
          <w:szCs w:val="22"/>
        </w:rPr>
        <w:t xml:space="preserve"> on a biennial stock assessment schedule to coincide with the availability of new trawl survey data (odd years). In 2017, the Alaska Fisheries Science Center participated in a </w:t>
      </w:r>
      <w:proofErr w:type="gramStart"/>
      <w:r w:rsidRPr="002B7E6B">
        <w:rPr>
          <w:rFonts w:eastAsia="Gungsuh"/>
          <w:sz w:val="22"/>
          <w:szCs w:val="22"/>
        </w:rPr>
        <w:t>stock assessment prioritization process</w:t>
      </w:r>
      <w:proofErr w:type="gramEnd"/>
      <w:r w:rsidRPr="002B7E6B">
        <w:rPr>
          <w:rFonts w:eastAsia="Gungsuh"/>
          <w:sz w:val="22"/>
          <w:szCs w:val="22"/>
        </w:rPr>
        <w:t xml:space="preserve">. It </w:t>
      </w:r>
      <w:proofErr w:type="gramStart"/>
      <w:r w:rsidRPr="002B7E6B">
        <w:rPr>
          <w:rFonts w:eastAsia="Gungsuh"/>
          <w:sz w:val="22"/>
          <w:szCs w:val="22"/>
        </w:rPr>
        <w:t>was recommended</w:t>
      </w:r>
      <w:proofErr w:type="gramEnd"/>
      <w:r w:rsidRPr="002B7E6B">
        <w:rPr>
          <w:rFonts w:eastAsia="Gungsuh"/>
          <w:sz w:val="22"/>
          <w:szCs w:val="22"/>
        </w:rPr>
        <w:t xml:space="preserve"> that the GOA shortraker rockfish stock remain on a biennial stock assessment schedule with a full stock assessment produced in odd years and no stock assessment or document produced in even years. Because this is an “off year,” the 2022 values </w:t>
      </w:r>
      <w:proofErr w:type="gramStart"/>
      <w:r w:rsidRPr="002B7E6B">
        <w:rPr>
          <w:rFonts w:eastAsia="Gungsuh"/>
          <w:sz w:val="22"/>
          <w:szCs w:val="22"/>
        </w:rPr>
        <w:t>are rolled over</w:t>
      </w:r>
      <w:proofErr w:type="gramEnd"/>
      <w:r w:rsidRPr="002B7E6B">
        <w:rPr>
          <w:rFonts w:eastAsia="Gungsuh"/>
          <w:sz w:val="22"/>
          <w:szCs w:val="22"/>
        </w:rPr>
        <w:t xml:space="preserve"> for the 2023 fishery.  Estimated shortraker rockfish biomass is 31,331 t. The NPFMC’s Tier 5 ABC definitions state that FABC ≤0.75</w:t>
      </w:r>
      <w:r w:rsidRPr="002B7E6B">
        <w:rPr>
          <w:i/>
          <w:sz w:val="22"/>
          <w:szCs w:val="22"/>
        </w:rPr>
        <w:t>M</w:t>
      </w:r>
      <w:r w:rsidRPr="002B7E6B">
        <w:rPr>
          <w:sz w:val="22"/>
          <w:szCs w:val="22"/>
        </w:rPr>
        <w:t xml:space="preserve">, where </w:t>
      </w:r>
      <w:r w:rsidRPr="002B7E6B">
        <w:rPr>
          <w:i/>
          <w:sz w:val="22"/>
          <w:szCs w:val="22"/>
        </w:rPr>
        <w:t>M</w:t>
      </w:r>
      <w:r w:rsidRPr="002B7E6B">
        <w:rPr>
          <w:sz w:val="22"/>
          <w:szCs w:val="22"/>
        </w:rPr>
        <w:t xml:space="preserve"> is the natural mortality rate. Using an </w:t>
      </w:r>
      <w:r w:rsidRPr="002B7E6B">
        <w:rPr>
          <w:i/>
          <w:sz w:val="22"/>
          <w:szCs w:val="22"/>
        </w:rPr>
        <w:t>M</w:t>
      </w:r>
      <w:r w:rsidRPr="002B7E6B">
        <w:rPr>
          <w:sz w:val="22"/>
          <w:szCs w:val="22"/>
        </w:rPr>
        <w:t xml:space="preserve"> of 0.03 and applying this definition to the exploitable biomass of shortraker rockfish results in a recommended ABC of 705 t for the 2023 fishery. Gulfwide catch of shortraker rockfish was 443 t in 2022. This is down from 528 t in 2021. </w:t>
      </w:r>
    </w:p>
    <w:p w14:paraId="55813949" w14:textId="77777777" w:rsidR="00DE3EE8" w:rsidRPr="002B7E6B" w:rsidRDefault="00DE3EE8" w:rsidP="00DE3EE8">
      <w:pPr>
        <w:rPr>
          <w:sz w:val="22"/>
          <w:szCs w:val="22"/>
        </w:rPr>
      </w:pPr>
      <w:r w:rsidRPr="002B7E6B">
        <w:rPr>
          <w:sz w:val="22"/>
          <w:szCs w:val="22"/>
        </w:rPr>
        <w:t xml:space="preserve">For more </w:t>
      </w:r>
      <w:proofErr w:type="gramStart"/>
      <w:r w:rsidRPr="002B7E6B">
        <w:rPr>
          <w:sz w:val="22"/>
          <w:szCs w:val="22"/>
        </w:rPr>
        <w:t>information</w:t>
      </w:r>
      <w:proofErr w:type="gramEnd"/>
      <w:r w:rsidRPr="002B7E6B">
        <w:rPr>
          <w:sz w:val="22"/>
          <w:szCs w:val="22"/>
        </w:rPr>
        <w:t xml:space="preserve"> contact Katy Echave at (907) 789-6006 or katy.echave@noaa.gov.</w:t>
      </w:r>
    </w:p>
    <w:p w14:paraId="597F82E1" w14:textId="77777777" w:rsidR="00DE3EE8" w:rsidRPr="002B7E6B" w:rsidRDefault="00DE3EE8" w:rsidP="00DE3EE8">
      <w:pPr>
        <w:rPr>
          <w:sz w:val="22"/>
          <w:szCs w:val="22"/>
        </w:rPr>
      </w:pPr>
    </w:p>
    <w:p w14:paraId="0BCCD805" w14:textId="712EF194" w:rsidR="00DE3EE8" w:rsidRDefault="00DE3EE8" w:rsidP="008F75DB">
      <w:pPr>
        <w:pStyle w:val="Heading5"/>
      </w:pPr>
      <w:bookmarkStart w:id="110" w:name="_Toc131503856"/>
      <w:r w:rsidRPr="008F75DB">
        <w:t>Other Rockfish – Bering Sea and Aleutian Islands</w:t>
      </w:r>
      <w:r w:rsidR="00B05625">
        <w:t xml:space="preserve"> </w:t>
      </w:r>
      <w:r w:rsidRPr="008F75DB">
        <w:t>– ABL</w:t>
      </w:r>
      <w:bookmarkEnd w:id="110"/>
    </w:p>
    <w:p w14:paraId="2D48EEC1" w14:textId="77777777" w:rsidR="008F75DB" w:rsidRPr="008F75DB" w:rsidRDefault="008F75DB" w:rsidP="008F75DB"/>
    <w:p w14:paraId="4C87E8F8" w14:textId="77777777" w:rsidR="00DE3EE8" w:rsidRPr="002B7E6B" w:rsidRDefault="00DE3EE8" w:rsidP="00DE3EE8">
      <w:pPr>
        <w:widowControl/>
        <w:rPr>
          <w:sz w:val="22"/>
          <w:szCs w:val="22"/>
        </w:rPr>
      </w:pPr>
      <w:r w:rsidRPr="002B7E6B">
        <w:rPr>
          <w:sz w:val="22"/>
          <w:szCs w:val="22"/>
        </w:rPr>
        <w:t xml:space="preserve">The Bering Sea and Aleutian Islands (BSAI) Other Rockfish complex </w:t>
      </w:r>
      <w:proofErr w:type="gramStart"/>
      <w:r w:rsidRPr="002B7E6B">
        <w:rPr>
          <w:sz w:val="22"/>
          <w:szCs w:val="22"/>
        </w:rPr>
        <w:t>is currently managed</w:t>
      </w:r>
      <w:proofErr w:type="gramEnd"/>
      <w:r w:rsidRPr="002B7E6B">
        <w:rPr>
          <w:sz w:val="22"/>
          <w:szCs w:val="22"/>
        </w:rPr>
        <w:t xml:space="preserve"> under Tier 5 harvest control rules, which define F_OFL and F_ABC as M and 0.75M, where M is the natural mortality rate. This complex </w:t>
      </w:r>
      <w:proofErr w:type="gramStart"/>
      <w:r w:rsidRPr="002B7E6B">
        <w:rPr>
          <w:sz w:val="22"/>
          <w:szCs w:val="22"/>
        </w:rPr>
        <w:t>is assessed</w:t>
      </w:r>
      <w:proofErr w:type="gramEnd"/>
      <w:r w:rsidRPr="002B7E6B">
        <w:rPr>
          <w:sz w:val="22"/>
          <w:szCs w:val="22"/>
        </w:rPr>
        <w:t xml:space="preserve"> fully in even years to coincide with the Aleutian Islands (AI) bottom trawl survey. The Other Rockfish complex includes all species of Sebastes and Sebastolobus, except Pacific </w:t>
      </w:r>
      <w:proofErr w:type="gramStart"/>
      <w:r w:rsidRPr="002B7E6B">
        <w:rPr>
          <w:sz w:val="22"/>
          <w:szCs w:val="22"/>
        </w:rPr>
        <w:t>ocean</w:t>
      </w:r>
      <w:proofErr w:type="gramEnd"/>
      <w:r w:rsidRPr="002B7E6B">
        <w:rPr>
          <w:sz w:val="22"/>
          <w:szCs w:val="22"/>
        </w:rPr>
        <w:t xml:space="preserve"> perch, northern rockfish, rougheye rockfish, and shortraker rockfish. Because of differences in the assumed M among species, the Other Rockfish complex is assessed in two parts: (1) shortspine thornyhead (SST; M=0.03), which comprise approximately 95% of the estimated total Other Rockfish exploitable biomass; and (2) the remaining “non-SST” species, which are dominated by dusky rockfish (M=0.09) but include at least eleven other rockfish species. </w:t>
      </w:r>
    </w:p>
    <w:p w14:paraId="150151EE" w14:textId="77777777" w:rsidR="00DE3EE8" w:rsidRPr="002B7E6B" w:rsidRDefault="00DE3EE8" w:rsidP="00DE3EE8">
      <w:pPr>
        <w:widowControl/>
        <w:rPr>
          <w:sz w:val="22"/>
          <w:szCs w:val="22"/>
        </w:rPr>
      </w:pPr>
    </w:p>
    <w:p w14:paraId="6EB0D726" w14:textId="77777777" w:rsidR="00DE3EE8" w:rsidRPr="002B7E6B" w:rsidRDefault="00DE3EE8" w:rsidP="00DE3EE8">
      <w:pPr>
        <w:widowControl/>
        <w:rPr>
          <w:sz w:val="22"/>
          <w:szCs w:val="22"/>
        </w:rPr>
      </w:pPr>
      <w:r w:rsidRPr="002B7E6B">
        <w:rPr>
          <w:sz w:val="22"/>
          <w:szCs w:val="22"/>
        </w:rPr>
        <w:t xml:space="preserve">In recent years, concerns have been raised about the lack of abundance information for SST and other species in the Eastern Bering Sea (EBS) slope region following the cessation of the EBS slope bottom trawl survey in 2016 (Shotwell et al. 2020, Sullivan et al. 2020). In response, we recommended a new model that address these concerns by including the NMFS longline survey relative population weights in the eastern Bering Sea (EBS) slope region. </w:t>
      </w:r>
    </w:p>
    <w:p w14:paraId="113AB5C8" w14:textId="77777777" w:rsidR="00DE3EE8" w:rsidRPr="002B7E6B" w:rsidRDefault="00DE3EE8" w:rsidP="00DE3EE8">
      <w:pPr>
        <w:widowControl/>
        <w:rPr>
          <w:sz w:val="22"/>
          <w:szCs w:val="22"/>
        </w:rPr>
      </w:pPr>
      <w:r w:rsidRPr="002B7E6B">
        <w:rPr>
          <w:sz w:val="22"/>
          <w:szCs w:val="22"/>
        </w:rPr>
        <w:t>New data for the 2022 stock assessment included:</w:t>
      </w:r>
    </w:p>
    <w:p w14:paraId="145C7F91" w14:textId="77777777" w:rsidR="00DE3EE8" w:rsidRPr="002B7E6B" w:rsidRDefault="00DE3EE8" w:rsidP="00DE3EE8">
      <w:pPr>
        <w:widowControl/>
        <w:rPr>
          <w:sz w:val="22"/>
          <w:szCs w:val="22"/>
        </w:rPr>
      </w:pPr>
    </w:p>
    <w:p w14:paraId="3B96A336" w14:textId="77777777" w:rsidR="00DE3EE8" w:rsidRPr="002B7E6B" w:rsidRDefault="00DE3EE8" w:rsidP="00DE3EE8">
      <w:pPr>
        <w:widowControl/>
        <w:numPr>
          <w:ilvl w:val="0"/>
          <w:numId w:val="6"/>
        </w:numPr>
        <w:rPr>
          <w:sz w:val="22"/>
          <w:szCs w:val="22"/>
        </w:rPr>
      </w:pPr>
      <w:r w:rsidRPr="002B7E6B">
        <w:rPr>
          <w:sz w:val="22"/>
          <w:szCs w:val="22"/>
        </w:rPr>
        <w:t>Catch and fishery lengths updated through October 3, 2022.</w:t>
      </w:r>
    </w:p>
    <w:p w14:paraId="1D0017AD" w14:textId="77777777" w:rsidR="00DE3EE8" w:rsidRPr="002B7E6B" w:rsidRDefault="00DE3EE8" w:rsidP="00DE3EE8">
      <w:pPr>
        <w:widowControl/>
        <w:numPr>
          <w:ilvl w:val="0"/>
          <w:numId w:val="6"/>
        </w:numPr>
        <w:rPr>
          <w:sz w:val="22"/>
          <w:szCs w:val="22"/>
        </w:rPr>
      </w:pPr>
      <w:r w:rsidRPr="002B7E6B">
        <w:rPr>
          <w:sz w:val="22"/>
          <w:szCs w:val="22"/>
        </w:rPr>
        <w:t>The 2022 AI bottom trawl survey for both SST and non-SST species.</w:t>
      </w:r>
    </w:p>
    <w:p w14:paraId="2798FF26" w14:textId="77777777" w:rsidR="00DE3EE8" w:rsidRPr="002B7E6B" w:rsidRDefault="00DE3EE8" w:rsidP="00DE3EE8">
      <w:pPr>
        <w:widowControl/>
        <w:numPr>
          <w:ilvl w:val="0"/>
          <w:numId w:val="6"/>
        </w:numPr>
        <w:rPr>
          <w:sz w:val="22"/>
          <w:szCs w:val="22"/>
        </w:rPr>
      </w:pPr>
      <w:r w:rsidRPr="002B7E6B">
        <w:rPr>
          <w:sz w:val="22"/>
          <w:szCs w:val="22"/>
        </w:rPr>
        <w:lastRenderedPageBreak/>
        <w:t>The 2021 and 2022 EBS shelf bottom trawl survey for non-SST species.</w:t>
      </w:r>
    </w:p>
    <w:p w14:paraId="33810A3B" w14:textId="77777777" w:rsidR="00DE3EE8" w:rsidRPr="002B7E6B" w:rsidRDefault="00DE3EE8" w:rsidP="00DE3EE8">
      <w:pPr>
        <w:widowControl/>
        <w:numPr>
          <w:ilvl w:val="0"/>
          <w:numId w:val="6"/>
        </w:numPr>
        <w:rPr>
          <w:sz w:val="22"/>
          <w:szCs w:val="22"/>
        </w:rPr>
      </w:pPr>
      <w:r w:rsidRPr="002B7E6B">
        <w:rPr>
          <w:sz w:val="22"/>
          <w:szCs w:val="22"/>
        </w:rPr>
        <w:t xml:space="preserve">New in 2022:  NMFS longline survey relative population weights for SST on the EBS slope, 1997-2021 (Table 1). </w:t>
      </w:r>
    </w:p>
    <w:p w14:paraId="78724076" w14:textId="77777777" w:rsidR="00DE3EE8" w:rsidRPr="002B7E6B" w:rsidRDefault="00DE3EE8" w:rsidP="00DE3EE8">
      <w:pPr>
        <w:widowControl/>
        <w:numPr>
          <w:ilvl w:val="0"/>
          <w:numId w:val="6"/>
        </w:numPr>
        <w:rPr>
          <w:sz w:val="22"/>
          <w:szCs w:val="22"/>
        </w:rPr>
      </w:pPr>
      <w:r w:rsidRPr="002B7E6B">
        <w:rPr>
          <w:sz w:val="22"/>
          <w:szCs w:val="22"/>
        </w:rPr>
        <w:t xml:space="preserve">The EBS slope </w:t>
      </w:r>
      <w:proofErr w:type="gramStart"/>
      <w:r w:rsidRPr="002B7E6B">
        <w:rPr>
          <w:sz w:val="22"/>
          <w:szCs w:val="22"/>
        </w:rPr>
        <w:t>is sampled</w:t>
      </w:r>
      <w:proofErr w:type="gramEnd"/>
      <w:r w:rsidRPr="002B7E6B">
        <w:rPr>
          <w:sz w:val="22"/>
          <w:szCs w:val="22"/>
        </w:rPr>
        <w:t xml:space="preserve"> by the LLS in odd years.</w:t>
      </w:r>
    </w:p>
    <w:p w14:paraId="521FF690" w14:textId="77777777" w:rsidR="00DE3EE8" w:rsidRPr="002B7E6B" w:rsidRDefault="00DE3EE8" w:rsidP="00DE3EE8">
      <w:pPr>
        <w:widowControl/>
        <w:rPr>
          <w:sz w:val="22"/>
          <w:szCs w:val="22"/>
        </w:rPr>
      </w:pPr>
    </w:p>
    <w:p w14:paraId="2F42CA5B" w14:textId="77777777" w:rsidR="00DE3EE8" w:rsidRPr="002B7E6B" w:rsidRDefault="00DE3EE8" w:rsidP="00DE3EE8">
      <w:pPr>
        <w:widowControl/>
        <w:rPr>
          <w:sz w:val="22"/>
          <w:szCs w:val="22"/>
        </w:rPr>
      </w:pPr>
      <w:r w:rsidRPr="002B7E6B">
        <w:rPr>
          <w:sz w:val="22"/>
          <w:szCs w:val="22"/>
        </w:rPr>
        <w:t xml:space="preserve">Combined Other Rockfish biomass in 2023/2024 </w:t>
      </w:r>
      <w:proofErr w:type="gramStart"/>
      <w:r w:rsidRPr="002B7E6B">
        <w:rPr>
          <w:sz w:val="22"/>
          <w:szCs w:val="22"/>
        </w:rPr>
        <w:t>is estimated</w:t>
      </w:r>
      <w:proofErr w:type="gramEnd"/>
      <w:r w:rsidRPr="002B7E6B">
        <w:rPr>
          <w:sz w:val="22"/>
          <w:szCs w:val="22"/>
        </w:rPr>
        <w:t xml:space="preserve"> to be 52,733 t, a 1% decrease from the biomass estimated in the 2020 assessment. The recommended BSAI ABC and OFL for 2023/2024 are 1260 t and 1,680 t, respectively. The area-apportioned ABCs in the AI and EBS for 2023/2024 are 380 t and 880 t, respectively. </w:t>
      </w:r>
    </w:p>
    <w:p w14:paraId="3059C8F2" w14:textId="77777777" w:rsidR="00DE3EE8" w:rsidRPr="002B7E6B" w:rsidRDefault="00DE3EE8" w:rsidP="00DE3EE8">
      <w:pPr>
        <w:widowControl/>
        <w:rPr>
          <w:sz w:val="22"/>
          <w:szCs w:val="22"/>
        </w:rPr>
      </w:pPr>
      <w:r w:rsidRPr="002B7E6B">
        <w:rPr>
          <w:sz w:val="22"/>
          <w:szCs w:val="22"/>
        </w:rPr>
        <w:t xml:space="preserve">The 2022 stock assessment is available online </w:t>
      </w:r>
      <w:proofErr w:type="gramStart"/>
      <w:r w:rsidRPr="002B7E6B">
        <w:rPr>
          <w:sz w:val="22"/>
          <w:szCs w:val="22"/>
        </w:rPr>
        <w:t>at</w:t>
      </w:r>
      <w:proofErr w:type="gramEnd"/>
      <w:r w:rsidRPr="002B7E6B">
        <w:rPr>
          <w:sz w:val="22"/>
          <w:szCs w:val="22"/>
        </w:rPr>
        <w:t xml:space="preserve">: </w:t>
      </w:r>
    </w:p>
    <w:p w14:paraId="7F7EB51E" w14:textId="77777777" w:rsidR="00DE3EE8" w:rsidRPr="002B7E6B" w:rsidRDefault="00DE3EE8" w:rsidP="00DE3EE8">
      <w:pPr>
        <w:widowControl/>
        <w:rPr>
          <w:sz w:val="22"/>
          <w:szCs w:val="22"/>
        </w:rPr>
      </w:pPr>
      <w:r w:rsidRPr="002B7E6B">
        <w:rPr>
          <w:sz w:val="22"/>
          <w:szCs w:val="22"/>
        </w:rPr>
        <w:t>https://apps-afsc.fisheries.noaa.gov/Plan_Team/2022/BSAIorock.pdf</w:t>
      </w:r>
    </w:p>
    <w:p w14:paraId="3AF72B7F" w14:textId="531C903E" w:rsidR="00DE3EE8" w:rsidRDefault="00DE3EE8" w:rsidP="00DE3EE8">
      <w:pPr>
        <w:spacing w:before="240"/>
        <w:rPr>
          <w:sz w:val="22"/>
          <w:szCs w:val="22"/>
        </w:rPr>
      </w:pPr>
      <w:bookmarkStart w:id="111" w:name="_heading=h.upglbi" w:colFirst="0" w:colLast="0"/>
      <w:bookmarkEnd w:id="111"/>
      <w:r w:rsidRPr="002B7E6B">
        <w:rPr>
          <w:sz w:val="22"/>
          <w:szCs w:val="22"/>
        </w:rPr>
        <w:t xml:space="preserve">For more </w:t>
      </w:r>
      <w:proofErr w:type="gramStart"/>
      <w:r w:rsidRPr="002B7E6B">
        <w:rPr>
          <w:sz w:val="22"/>
          <w:szCs w:val="22"/>
        </w:rPr>
        <w:t>information</w:t>
      </w:r>
      <w:proofErr w:type="gramEnd"/>
      <w:r w:rsidRPr="002B7E6B">
        <w:rPr>
          <w:sz w:val="22"/>
          <w:szCs w:val="22"/>
        </w:rPr>
        <w:t xml:space="preserve"> contact Jane Sullivan, ABL, at 907 789-6000 or </w:t>
      </w:r>
      <w:hyperlink r:id="rId68" w:history="1">
        <w:r w:rsidR="008F75DB" w:rsidRPr="00DB1AB4">
          <w:rPr>
            <w:rStyle w:val="Hyperlink"/>
            <w:sz w:val="22"/>
            <w:szCs w:val="22"/>
          </w:rPr>
          <w:t>jane.sullivan@noaa.gov</w:t>
        </w:r>
      </w:hyperlink>
    </w:p>
    <w:p w14:paraId="144CA514" w14:textId="77777777" w:rsidR="008F75DB" w:rsidRPr="002B7E6B" w:rsidRDefault="008F75DB" w:rsidP="00DE3EE8">
      <w:pPr>
        <w:spacing w:before="240"/>
        <w:rPr>
          <w:sz w:val="22"/>
          <w:szCs w:val="22"/>
        </w:rPr>
      </w:pPr>
    </w:p>
    <w:p w14:paraId="374C7AAF" w14:textId="12EF4201" w:rsidR="00DE3EE8" w:rsidRDefault="00DE3EE8" w:rsidP="008F75DB">
      <w:pPr>
        <w:pStyle w:val="Heading5"/>
      </w:pPr>
      <w:bookmarkStart w:id="112" w:name="_Toc131503857"/>
      <w:r w:rsidRPr="008F75DB">
        <w:t>Other Rockfish – Gulf of Alaska – ABL</w:t>
      </w:r>
      <w:bookmarkEnd w:id="112"/>
    </w:p>
    <w:p w14:paraId="7FC3E06C" w14:textId="77777777" w:rsidR="008F75DB" w:rsidRPr="008F75DB" w:rsidRDefault="008F75DB" w:rsidP="008F75DB"/>
    <w:p w14:paraId="0C0B535C" w14:textId="77777777" w:rsidR="00DE3EE8" w:rsidRPr="002B7E6B" w:rsidRDefault="00DE3EE8" w:rsidP="00DE3EE8">
      <w:pPr>
        <w:widowControl/>
        <w:spacing w:after="160"/>
        <w:rPr>
          <w:sz w:val="22"/>
          <w:szCs w:val="22"/>
        </w:rPr>
      </w:pPr>
      <w:r w:rsidRPr="002B7E6B">
        <w:rPr>
          <w:sz w:val="22"/>
          <w:szCs w:val="22"/>
        </w:rPr>
        <w:t xml:space="preserve">The Other Rockfish complex in the Gulf of Alaska (GOA) is comprised of 27 species, but the composition of the complex varies by region. The species that are included across the entire GOA are the 17 rockfish species that were previously in the “Other Slope Rockfish” category together with yellowtail and widow rockfish, formerly of the “Pelagic Slope Rockfish” category. Northern rockfish are included in the Other Rockfish complex in the eastern GOA and the Demersal Shelf rockfish species are included west of the 140 line (i.e. all of the GOA except for NMFS area 650). The primary species of “Other Rockfish” in the GOA are sharpchin, harlequin, silvergray, redstripe and yelloweye rockfish; most of the others are at the northern end of their ranges in Alaska and have a relatively low abundance here. Rockfish in the GOA </w:t>
      </w:r>
      <w:proofErr w:type="gramStart"/>
      <w:r w:rsidRPr="002B7E6B">
        <w:rPr>
          <w:sz w:val="22"/>
          <w:szCs w:val="22"/>
        </w:rPr>
        <w:t>have been moved</w:t>
      </w:r>
      <w:proofErr w:type="gramEnd"/>
      <w:r w:rsidRPr="002B7E6B">
        <w:rPr>
          <w:sz w:val="22"/>
          <w:szCs w:val="22"/>
        </w:rPr>
        <w:t xml:space="preserve"> to a biennial stock assessment and the “Other Rockfish” stock complex is assessed in odd years as per prioritization. There was no assessment in 2022 and there will be a full assessment in 2023.</w:t>
      </w:r>
    </w:p>
    <w:p w14:paraId="2989A459" w14:textId="77777777" w:rsidR="00DE3EE8" w:rsidRPr="002B7E6B" w:rsidRDefault="00DE3EE8" w:rsidP="00DE3EE8">
      <w:pPr>
        <w:spacing w:before="240" w:after="240"/>
        <w:rPr>
          <w:sz w:val="22"/>
          <w:szCs w:val="22"/>
        </w:rPr>
      </w:pPr>
      <w:r w:rsidRPr="002B7E6B">
        <w:rPr>
          <w:sz w:val="22"/>
          <w:szCs w:val="22"/>
        </w:rPr>
        <w:t xml:space="preserve">For more </w:t>
      </w:r>
      <w:proofErr w:type="gramStart"/>
      <w:r w:rsidRPr="002B7E6B">
        <w:rPr>
          <w:sz w:val="22"/>
          <w:szCs w:val="22"/>
        </w:rPr>
        <w:t>information</w:t>
      </w:r>
      <w:proofErr w:type="gramEnd"/>
      <w:r w:rsidRPr="002B7E6B">
        <w:rPr>
          <w:sz w:val="22"/>
          <w:szCs w:val="22"/>
        </w:rPr>
        <w:t xml:space="preserve"> contact Kristen.Omori@noaa.gov.</w:t>
      </w:r>
    </w:p>
    <w:p w14:paraId="2072BF74" w14:textId="77777777" w:rsidR="00DE3EE8" w:rsidRPr="002B7E6B" w:rsidRDefault="00DE3EE8" w:rsidP="00DE3EE8">
      <w:pPr>
        <w:rPr>
          <w:b/>
          <w:sz w:val="22"/>
          <w:szCs w:val="22"/>
        </w:rPr>
      </w:pPr>
    </w:p>
    <w:p w14:paraId="6D2785CD" w14:textId="670EE2F3" w:rsidR="00DE3EE8" w:rsidRDefault="00DE3EE8" w:rsidP="008F75DB">
      <w:pPr>
        <w:pStyle w:val="Heading5"/>
      </w:pPr>
      <w:bookmarkStart w:id="113" w:name="_Toc131503858"/>
      <w:r w:rsidRPr="008F75DB">
        <w:t xml:space="preserve">Blackspotted/rougheye Rockfish Complex – </w:t>
      </w:r>
      <w:r w:rsidR="00B92709">
        <w:t>BSAI</w:t>
      </w:r>
      <w:r w:rsidR="0024271A">
        <w:t xml:space="preserve"> – </w:t>
      </w:r>
      <w:r w:rsidRPr="008F75DB">
        <w:t>REFM</w:t>
      </w:r>
      <w:bookmarkEnd w:id="113"/>
    </w:p>
    <w:p w14:paraId="44D30C09" w14:textId="77777777" w:rsidR="008F75DB" w:rsidRPr="008F75DB" w:rsidRDefault="008F75DB" w:rsidP="008F75DB"/>
    <w:p w14:paraId="20450050" w14:textId="77777777" w:rsidR="00DE3EE8" w:rsidRPr="002B7E6B" w:rsidRDefault="00DE3EE8" w:rsidP="00DE3EE8">
      <w:pPr>
        <w:rPr>
          <w:sz w:val="22"/>
          <w:szCs w:val="22"/>
        </w:rPr>
      </w:pPr>
      <w:r w:rsidRPr="002B7E6B">
        <w:rPr>
          <w:sz w:val="22"/>
          <w:szCs w:val="22"/>
        </w:rPr>
        <w:t xml:space="preserve">Fish previously referred to as rougheye rockfish </w:t>
      </w:r>
      <w:proofErr w:type="gramStart"/>
      <w:r w:rsidRPr="002B7E6B">
        <w:rPr>
          <w:sz w:val="22"/>
          <w:szCs w:val="22"/>
        </w:rPr>
        <w:t>are now recognized</w:t>
      </w:r>
      <w:proofErr w:type="gramEnd"/>
      <w:r w:rsidRPr="002B7E6B">
        <w:rPr>
          <w:sz w:val="22"/>
          <w:szCs w:val="22"/>
        </w:rPr>
        <w:t xml:space="preserve"> as consisting of two species,</w:t>
      </w:r>
    </w:p>
    <w:p w14:paraId="1229B3D7" w14:textId="77777777" w:rsidR="00DE3EE8" w:rsidRPr="002B7E6B" w:rsidRDefault="00DE3EE8" w:rsidP="00DE3EE8">
      <w:pPr>
        <w:rPr>
          <w:sz w:val="22"/>
          <w:szCs w:val="22"/>
        </w:rPr>
      </w:pPr>
      <w:proofErr w:type="gramStart"/>
      <w:r w:rsidRPr="002B7E6B">
        <w:rPr>
          <w:sz w:val="22"/>
          <w:szCs w:val="22"/>
        </w:rPr>
        <w:t>rougheye</w:t>
      </w:r>
      <w:proofErr w:type="gramEnd"/>
      <w:r w:rsidRPr="002B7E6B">
        <w:rPr>
          <w:sz w:val="22"/>
          <w:szCs w:val="22"/>
        </w:rPr>
        <w:t xml:space="preserve"> rockfish (</w:t>
      </w:r>
      <w:r w:rsidRPr="002B7E6B">
        <w:rPr>
          <w:i/>
          <w:sz w:val="22"/>
          <w:szCs w:val="22"/>
        </w:rPr>
        <w:t>Sebastes aleutianus</w:t>
      </w:r>
      <w:r w:rsidRPr="002B7E6B">
        <w:rPr>
          <w:sz w:val="22"/>
          <w:szCs w:val="22"/>
        </w:rPr>
        <w:t>) and blackspotted rockfish (</w:t>
      </w:r>
      <w:r w:rsidRPr="002B7E6B">
        <w:rPr>
          <w:i/>
          <w:sz w:val="22"/>
          <w:szCs w:val="22"/>
        </w:rPr>
        <w:t>Sebastes melanostictus</w:t>
      </w:r>
      <w:r w:rsidRPr="002B7E6B">
        <w:rPr>
          <w:sz w:val="22"/>
          <w:szCs w:val="22"/>
        </w:rPr>
        <w:t xml:space="preserve">). The current information on these two species is not sufficient to support separate assessments, so they </w:t>
      </w:r>
      <w:proofErr w:type="gramStart"/>
      <w:r w:rsidRPr="002B7E6B">
        <w:rPr>
          <w:sz w:val="22"/>
          <w:szCs w:val="22"/>
        </w:rPr>
        <w:t>are combined</w:t>
      </w:r>
      <w:proofErr w:type="gramEnd"/>
      <w:r w:rsidRPr="002B7E6B">
        <w:rPr>
          <w:sz w:val="22"/>
          <w:szCs w:val="22"/>
        </w:rPr>
        <w:t xml:space="preserve"> as a complex in one assessment. In 2005, BSAI rockfish </w:t>
      </w:r>
      <w:proofErr w:type="gramStart"/>
      <w:r w:rsidRPr="002B7E6B">
        <w:rPr>
          <w:sz w:val="22"/>
          <w:szCs w:val="22"/>
        </w:rPr>
        <w:t>were moved</w:t>
      </w:r>
      <w:proofErr w:type="gramEnd"/>
      <w:r w:rsidRPr="002B7E6B">
        <w:rPr>
          <w:sz w:val="22"/>
          <w:szCs w:val="22"/>
        </w:rPr>
        <w:t xml:space="preserve"> to a biennial assessment schedule with full assessments in even years to coincide with the occurrence of trawl surveys in the Aleutian Islands (AI) and the eastern Bering Sea (EBS) slope. A full assessment </w:t>
      </w:r>
      <w:proofErr w:type="gramStart"/>
      <w:r w:rsidRPr="002B7E6B">
        <w:rPr>
          <w:sz w:val="22"/>
          <w:szCs w:val="22"/>
        </w:rPr>
        <w:t>was conducted</w:t>
      </w:r>
      <w:proofErr w:type="gramEnd"/>
      <w:r w:rsidRPr="002B7E6B">
        <w:rPr>
          <w:sz w:val="22"/>
          <w:szCs w:val="22"/>
        </w:rPr>
        <w:t xml:space="preserve"> in 2022. The age-structured assessment model remained unchanged from the 2020 assessment. </w:t>
      </w:r>
      <w:proofErr w:type="gramStart"/>
      <w:r w:rsidRPr="002B7E6B">
        <w:rPr>
          <w:sz w:val="22"/>
          <w:szCs w:val="22"/>
        </w:rPr>
        <w:t>Changes to the input data included: 1) updated catch data through 2021 and total catch for 2022 was projected, 2) the 2022 AI survey biomass estimate and length composition were included in the assessment,  3) the 2013 and 2019 AI fishery length compositions were replaced by the age compositions, and the 2020 and 2021 AI fishery age compositions were included in the model, and 4) the input multinomial sample sizes for the age and length composition data were reweighted using the Francis iterative reweighting procedure.</w:t>
      </w:r>
      <w:proofErr w:type="gramEnd"/>
      <w:r w:rsidRPr="002B7E6B">
        <w:rPr>
          <w:sz w:val="22"/>
          <w:szCs w:val="22"/>
        </w:rPr>
        <w:t xml:space="preserve"> </w:t>
      </w:r>
    </w:p>
    <w:p w14:paraId="64E4EA1D" w14:textId="77777777" w:rsidR="00DE3EE8" w:rsidRPr="002B7E6B" w:rsidRDefault="00DE3EE8" w:rsidP="00DE3EE8">
      <w:pPr>
        <w:rPr>
          <w:sz w:val="22"/>
          <w:szCs w:val="22"/>
        </w:rPr>
      </w:pPr>
    </w:p>
    <w:p w14:paraId="3CF63E6A" w14:textId="77777777" w:rsidR="00DE3EE8" w:rsidRPr="002B7E6B" w:rsidRDefault="00DE3EE8" w:rsidP="00DE3EE8">
      <w:pPr>
        <w:rPr>
          <w:sz w:val="22"/>
          <w:szCs w:val="22"/>
        </w:rPr>
      </w:pPr>
      <w:r w:rsidRPr="002B7E6B">
        <w:rPr>
          <w:sz w:val="22"/>
          <w:szCs w:val="22"/>
        </w:rPr>
        <w:t xml:space="preserve">Since 2014, spawning biomass has increased from 2,656 t to 3,335 t in 2022 and the total biomass has increased from 10, 141 t </w:t>
      </w:r>
      <w:proofErr w:type="gramStart"/>
      <w:r w:rsidRPr="002B7E6B">
        <w:rPr>
          <w:sz w:val="22"/>
          <w:szCs w:val="22"/>
        </w:rPr>
        <w:t>in  2002</w:t>
      </w:r>
      <w:proofErr w:type="gramEnd"/>
      <w:r w:rsidRPr="002B7E6B">
        <w:rPr>
          <w:sz w:val="22"/>
          <w:szCs w:val="22"/>
        </w:rPr>
        <w:t xml:space="preserve"> to 23,221 t in 2022. Much of this increase in total biomass </w:t>
      </w:r>
      <w:proofErr w:type="gramStart"/>
      <w:r w:rsidRPr="002B7E6B">
        <w:rPr>
          <w:sz w:val="22"/>
          <w:szCs w:val="22"/>
        </w:rPr>
        <w:t>can be attributed</w:t>
      </w:r>
      <w:proofErr w:type="gramEnd"/>
      <w:r w:rsidRPr="002B7E6B">
        <w:rPr>
          <w:sz w:val="22"/>
          <w:szCs w:val="22"/>
        </w:rPr>
        <w:t xml:space="preserve"> to relatively recent year classes, especially the estimated large 2010-year class that is beginning to mature.</w:t>
      </w:r>
    </w:p>
    <w:p w14:paraId="4DC54737" w14:textId="77777777" w:rsidR="00DE3EE8" w:rsidRPr="002B7E6B" w:rsidRDefault="00DE3EE8" w:rsidP="00DE3EE8">
      <w:pPr>
        <w:rPr>
          <w:sz w:val="22"/>
          <w:szCs w:val="22"/>
        </w:rPr>
      </w:pPr>
    </w:p>
    <w:tbl>
      <w:tblPr>
        <w:tblW w:w="9630" w:type="dxa"/>
        <w:tblBorders>
          <w:top w:val="nil"/>
          <w:left w:val="nil"/>
          <w:bottom w:val="nil"/>
          <w:right w:val="nil"/>
          <w:insideH w:val="nil"/>
          <w:insideV w:val="nil"/>
        </w:tblBorders>
        <w:tblLayout w:type="fixed"/>
        <w:tblLook w:val="0600" w:firstRow="0" w:lastRow="0" w:firstColumn="0" w:lastColumn="0" w:noHBand="1" w:noVBand="1"/>
      </w:tblPr>
      <w:tblGrid>
        <w:gridCol w:w="2330"/>
        <w:gridCol w:w="1310"/>
        <w:gridCol w:w="2117"/>
        <w:gridCol w:w="925"/>
        <w:gridCol w:w="965"/>
        <w:gridCol w:w="952"/>
        <w:gridCol w:w="1031"/>
      </w:tblGrid>
      <w:tr w:rsidR="00DE3EE8" w:rsidRPr="002B7E6B" w14:paraId="3CE25926" w14:textId="77777777" w:rsidTr="005A5ABD">
        <w:trPr>
          <w:trHeight w:val="500"/>
        </w:trPr>
        <w:tc>
          <w:tcPr>
            <w:tcW w:w="2328"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2449F99A" w14:textId="77777777" w:rsidR="00DE3EE8" w:rsidRPr="002B7E6B" w:rsidRDefault="00DE3EE8" w:rsidP="005A5ABD">
            <w:pPr>
              <w:rPr>
                <w:sz w:val="22"/>
                <w:szCs w:val="22"/>
              </w:rPr>
            </w:pPr>
            <w:r w:rsidRPr="002B7E6B">
              <w:rPr>
                <w:sz w:val="22"/>
                <w:szCs w:val="22"/>
              </w:rPr>
              <w:t>Area/subarea</w:t>
            </w:r>
          </w:p>
        </w:tc>
        <w:tc>
          <w:tcPr>
            <w:tcW w:w="1309"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44F93CA5" w14:textId="77777777" w:rsidR="00DE3EE8" w:rsidRPr="002B7E6B" w:rsidRDefault="00DE3EE8" w:rsidP="005A5ABD">
            <w:pPr>
              <w:rPr>
                <w:sz w:val="22"/>
                <w:szCs w:val="22"/>
              </w:rPr>
            </w:pPr>
            <w:r w:rsidRPr="002B7E6B">
              <w:rPr>
                <w:sz w:val="22"/>
                <w:szCs w:val="22"/>
              </w:rPr>
              <w:t>Year</w:t>
            </w:r>
          </w:p>
        </w:tc>
        <w:tc>
          <w:tcPr>
            <w:tcW w:w="2116"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28986C85" w14:textId="77777777" w:rsidR="00DE3EE8" w:rsidRPr="002B7E6B" w:rsidRDefault="00DE3EE8" w:rsidP="005A5ABD">
            <w:pPr>
              <w:rPr>
                <w:sz w:val="22"/>
                <w:szCs w:val="22"/>
              </w:rPr>
            </w:pPr>
            <w:r w:rsidRPr="002B7E6B">
              <w:rPr>
                <w:sz w:val="22"/>
                <w:szCs w:val="22"/>
              </w:rPr>
              <w:t>Total biomass (t)</w:t>
            </w:r>
          </w:p>
        </w:tc>
        <w:tc>
          <w:tcPr>
            <w:tcW w:w="925"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7A87F757" w14:textId="77777777" w:rsidR="00DE3EE8" w:rsidRPr="002B7E6B" w:rsidRDefault="00DE3EE8" w:rsidP="005A5ABD">
            <w:pPr>
              <w:rPr>
                <w:sz w:val="22"/>
                <w:szCs w:val="22"/>
              </w:rPr>
            </w:pPr>
            <w:r w:rsidRPr="002B7E6B">
              <w:rPr>
                <w:sz w:val="22"/>
                <w:szCs w:val="22"/>
              </w:rPr>
              <w:t>OFL</w:t>
            </w:r>
          </w:p>
        </w:tc>
        <w:tc>
          <w:tcPr>
            <w:tcW w:w="965"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4D28BA51" w14:textId="77777777" w:rsidR="00DE3EE8" w:rsidRPr="002B7E6B" w:rsidRDefault="00DE3EE8" w:rsidP="005A5ABD">
            <w:pPr>
              <w:rPr>
                <w:sz w:val="22"/>
                <w:szCs w:val="22"/>
              </w:rPr>
            </w:pPr>
            <w:r w:rsidRPr="002B7E6B">
              <w:rPr>
                <w:sz w:val="22"/>
                <w:szCs w:val="22"/>
              </w:rPr>
              <w:t>ABC</w:t>
            </w:r>
          </w:p>
        </w:tc>
        <w:tc>
          <w:tcPr>
            <w:tcW w:w="952"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2E809D0E" w14:textId="77777777" w:rsidR="00DE3EE8" w:rsidRPr="002B7E6B" w:rsidRDefault="00DE3EE8" w:rsidP="005A5ABD">
            <w:pPr>
              <w:rPr>
                <w:sz w:val="22"/>
                <w:szCs w:val="22"/>
              </w:rPr>
            </w:pPr>
            <w:r w:rsidRPr="002B7E6B">
              <w:rPr>
                <w:sz w:val="22"/>
                <w:szCs w:val="22"/>
              </w:rPr>
              <w:t>TAC</w:t>
            </w:r>
          </w:p>
        </w:tc>
        <w:tc>
          <w:tcPr>
            <w:tcW w:w="1031" w:type="dxa"/>
            <w:tcBorders>
              <w:top w:val="single" w:sz="7" w:space="0" w:color="000000"/>
              <w:left w:val="nil"/>
              <w:bottom w:val="single" w:sz="7" w:space="0" w:color="000000"/>
              <w:right w:val="nil"/>
            </w:tcBorders>
            <w:tcMar>
              <w:top w:w="100" w:type="dxa"/>
              <w:left w:w="100" w:type="dxa"/>
              <w:bottom w:w="100" w:type="dxa"/>
              <w:right w:w="100" w:type="dxa"/>
            </w:tcMar>
            <w:vAlign w:val="bottom"/>
          </w:tcPr>
          <w:p w14:paraId="1715DD95" w14:textId="77777777" w:rsidR="00DE3EE8" w:rsidRPr="002B7E6B" w:rsidRDefault="00DE3EE8" w:rsidP="005A5ABD">
            <w:pPr>
              <w:rPr>
                <w:sz w:val="22"/>
                <w:szCs w:val="22"/>
              </w:rPr>
            </w:pPr>
            <w:r w:rsidRPr="002B7E6B">
              <w:rPr>
                <w:sz w:val="22"/>
                <w:szCs w:val="22"/>
              </w:rPr>
              <w:t>Catch</w:t>
            </w:r>
          </w:p>
        </w:tc>
      </w:tr>
      <w:tr w:rsidR="00DE3EE8" w:rsidRPr="002B7E6B" w14:paraId="45FA8ADE" w14:textId="77777777" w:rsidTr="005A5ABD">
        <w:trPr>
          <w:trHeight w:val="485"/>
        </w:trPr>
        <w:tc>
          <w:tcPr>
            <w:tcW w:w="2328" w:type="dxa"/>
            <w:tcBorders>
              <w:top w:val="nil"/>
              <w:left w:val="nil"/>
              <w:bottom w:val="nil"/>
              <w:right w:val="nil"/>
            </w:tcBorders>
            <w:tcMar>
              <w:top w:w="100" w:type="dxa"/>
              <w:left w:w="100" w:type="dxa"/>
              <w:bottom w:w="100" w:type="dxa"/>
              <w:right w:w="100" w:type="dxa"/>
            </w:tcMar>
            <w:vAlign w:val="bottom"/>
          </w:tcPr>
          <w:p w14:paraId="5282CD3D" w14:textId="77777777" w:rsidR="00DE3EE8" w:rsidRPr="002B7E6B" w:rsidRDefault="00DE3EE8" w:rsidP="005A5ABD">
            <w:pPr>
              <w:rPr>
                <w:sz w:val="22"/>
                <w:szCs w:val="22"/>
              </w:rPr>
            </w:pPr>
            <w:r w:rsidRPr="002B7E6B">
              <w:rPr>
                <w:sz w:val="22"/>
                <w:szCs w:val="22"/>
              </w:rPr>
              <w:t>BSAI</w:t>
            </w:r>
          </w:p>
        </w:tc>
        <w:tc>
          <w:tcPr>
            <w:tcW w:w="1309" w:type="dxa"/>
            <w:tcBorders>
              <w:top w:val="nil"/>
              <w:left w:val="nil"/>
              <w:bottom w:val="nil"/>
              <w:right w:val="nil"/>
            </w:tcBorders>
            <w:tcMar>
              <w:top w:w="100" w:type="dxa"/>
              <w:left w:w="100" w:type="dxa"/>
              <w:bottom w:w="100" w:type="dxa"/>
              <w:right w:w="100" w:type="dxa"/>
            </w:tcMar>
            <w:vAlign w:val="bottom"/>
          </w:tcPr>
          <w:p w14:paraId="7F086D1B" w14:textId="77777777" w:rsidR="00DE3EE8" w:rsidRPr="002B7E6B" w:rsidRDefault="00DE3EE8" w:rsidP="005A5ABD">
            <w:pPr>
              <w:rPr>
                <w:sz w:val="22"/>
                <w:szCs w:val="22"/>
              </w:rPr>
            </w:pPr>
            <w:r w:rsidRPr="002B7E6B">
              <w:rPr>
                <w:sz w:val="22"/>
                <w:szCs w:val="22"/>
              </w:rPr>
              <w:t>2021</w:t>
            </w:r>
          </w:p>
        </w:tc>
        <w:tc>
          <w:tcPr>
            <w:tcW w:w="2116" w:type="dxa"/>
            <w:tcBorders>
              <w:top w:val="nil"/>
              <w:left w:val="nil"/>
              <w:bottom w:val="nil"/>
              <w:right w:val="nil"/>
            </w:tcBorders>
            <w:tcMar>
              <w:top w:w="100" w:type="dxa"/>
              <w:left w:w="100" w:type="dxa"/>
              <w:bottom w:w="100" w:type="dxa"/>
              <w:right w:w="100" w:type="dxa"/>
            </w:tcMar>
            <w:vAlign w:val="bottom"/>
          </w:tcPr>
          <w:p w14:paraId="014E9DBF" w14:textId="77777777" w:rsidR="00DE3EE8" w:rsidRPr="002B7E6B" w:rsidRDefault="00DE3EE8" w:rsidP="005A5ABD">
            <w:pPr>
              <w:rPr>
                <w:sz w:val="22"/>
                <w:szCs w:val="22"/>
              </w:rPr>
            </w:pPr>
            <w:r w:rsidRPr="002B7E6B">
              <w:rPr>
                <w:sz w:val="22"/>
                <w:szCs w:val="22"/>
              </w:rPr>
              <w:t>22,547</w:t>
            </w:r>
          </w:p>
        </w:tc>
        <w:tc>
          <w:tcPr>
            <w:tcW w:w="925" w:type="dxa"/>
            <w:tcBorders>
              <w:top w:val="nil"/>
              <w:left w:val="nil"/>
              <w:bottom w:val="nil"/>
              <w:right w:val="nil"/>
            </w:tcBorders>
            <w:tcMar>
              <w:top w:w="100" w:type="dxa"/>
              <w:left w:w="100" w:type="dxa"/>
              <w:bottom w:w="100" w:type="dxa"/>
              <w:right w:w="100" w:type="dxa"/>
            </w:tcMar>
            <w:vAlign w:val="bottom"/>
          </w:tcPr>
          <w:p w14:paraId="40066275" w14:textId="77777777" w:rsidR="00DE3EE8" w:rsidRPr="002B7E6B" w:rsidRDefault="00DE3EE8" w:rsidP="005A5ABD">
            <w:pPr>
              <w:rPr>
                <w:sz w:val="22"/>
                <w:szCs w:val="22"/>
              </w:rPr>
            </w:pPr>
            <w:r w:rsidRPr="002B7E6B">
              <w:rPr>
                <w:sz w:val="22"/>
                <w:szCs w:val="22"/>
              </w:rPr>
              <w:t>576</w:t>
            </w:r>
          </w:p>
        </w:tc>
        <w:tc>
          <w:tcPr>
            <w:tcW w:w="965" w:type="dxa"/>
            <w:tcBorders>
              <w:top w:val="nil"/>
              <w:left w:val="nil"/>
              <w:bottom w:val="nil"/>
              <w:right w:val="nil"/>
            </w:tcBorders>
            <w:tcMar>
              <w:top w:w="100" w:type="dxa"/>
              <w:left w:w="100" w:type="dxa"/>
              <w:bottom w:w="100" w:type="dxa"/>
              <w:right w:w="100" w:type="dxa"/>
            </w:tcMar>
            <w:vAlign w:val="bottom"/>
          </w:tcPr>
          <w:p w14:paraId="4FFBF394" w14:textId="77777777" w:rsidR="00DE3EE8" w:rsidRPr="002B7E6B" w:rsidRDefault="00DE3EE8" w:rsidP="005A5ABD">
            <w:pPr>
              <w:rPr>
                <w:sz w:val="22"/>
                <w:szCs w:val="22"/>
              </w:rPr>
            </w:pPr>
            <w:r w:rsidRPr="002B7E6B">
              <w:rPr>
                <w:sz w:val="22"/>
                <w:szCs w:val="22"/>
              </w:rPr>
              <w:t>482</w:t>
            </w:r>
          </w:p>
        </w:tc>
        <w:tc>
          <w:tcPr>
            <w:tcW w:w="952" w:type="dxa"/>
            <w:tcBorders>
              <w:top w:val="nil"/>
              <w:left w:val="nil"/>
              <w:bottom w:val="nil"/>
              <w:right w:val="nil"/>
            </w:tcBorders>
            <w:tcMar>
              <w:top w:w="100" w:type="dxa"/>
              <w:left w:w="100" w:type="dxa"/>
              <w:bottom w:w="100" w:type="dxa"/>
              <w:right w:w="100" w:type="dxa"/>
            </w:tcMar>
            <w:vAlign w:val="bottom"/>
          </w:tcPr>
          <w:p w14:paraId="0FBC483D" w14:textId="77777777" w:rsidR="00DE3EE8" w:rsidRPr="002B7E6B" w:rsidRDefault="00DE3EE8" w:rsidP="005A5ABD">
            <w:pPr>
              <w:rPr>
                <w:sz w:val="22"/>
                <w:szCs w:val="22"/>
              </w:rPr>
            </w:pPr>
            <w:r w:rsidRPr="002B7E6B">
              <w:rPr>
                <w:sz w:val="22"/>
                <w:szCs w:val="22"/>
              </w:rPr>
              <w:t>482</w:t>
            </w:r>
          </w:p>
        </w:tc>
        <w:tc>
          <w:tcPr>
            <w:tcW w:w="1031" w:type="dxa"/>
            <w:tcBorders>
              <w:top w:val="nil"/>
              <w:left w:val="nil"/>
              <w:bottom w:val="nil"/>
              <w:right w:val="nil"/>
            </w:tcBorders>
            <w:tcMar>
              <w:top w:w="100" w:type="dxa"/>
              <w:left w:w="100" w:type="dxa"/>
              <w:bottom w:w="100" w:type="dxa"/>
              <w:right w:w="100" w:type="dxa"/>
            </w:tcMar>
            <w:vAlign w:val="bottom"/>
          </w:tcPr>
          <w:p w14:paraId="452C0CF9" w14:textId="77777777" w:rsidR="00DE3EE8" w:rsidRPr="002B7E6B" w:rsidRDefault="00DE3EE8" w:rsidP="005A5ABD">
            <w:pPr>
              <w:rPr>
                <w:sz w:val="22"/>
                <w:szCs w:val="22"/>
              </w:rPr>
            </w:pPr>
            <w:r w:rsidRPr="002B7E6B">
              <w:rPr>
                <w:sz w:val="22"/>
                <w:szCs w:val="22"/>
              </w:rPr>
              <w:t>515</w:t>
            </w:r>
          </w:p>
        </w:tc>
      </w:tr>
      <w:tr w:rsidR="00DE3EE8" w:rsidRPr="002B7E6B" w14:paraId="047DDBA2" w14:textId="77777777" w:rsidTr="005A5ABD">
        <w:trPr>
          <w:trHeight w:val="485"/>
        </w:trPr>
        <w:tc>
          <w:tcPr>
            <w:tcW w:w="2328" w:type="dxa"/>
            <w:tcBorders>
              <w:top w:val="nil"/>
              <w:left w:val="nil"/>
              <w:bottom w:val="nil"/>
              <w:right w:val="nil"/>
            </w:tcBorders>
            <w:tcMar>
              <w:top w:w="100" w:type="dxa"/>
              <w:left w:w="100" w:type="dxa"/>
              <w:bottom w:w="100" w:type="dxa"/>
              <w:right w:w="100" w:type="dxa"/>
            </w:tcMar>
            <w:vAlign w:val="bottom"/>
          </w:tcPr>
          <w:p w14:paraId="37AE3B65" w14:textId="77777777" w:rsidR="00DE3EE8" w:rsidRPr="002B7E6B" w:rsidRDefault="00DE3EE8" w:rsidP="005A5ABD">
            <w:pPr>
              <w:rPr>
                <w:sz w:val="22"/>
                <w:szCs w:val="22"/>
              </w:rPr>
            </w:pPr>
          </w:p>
        </w:tc>
        <w:tc>
          <w:tcPr>
            <w:tcW w:w="1309" w:type="dxa"/>
            <w:tcBorders>
              <w:top w:val="nil"/>
              <w:left w:val="nil"/>
              <w:bottom w:val="nil"/>
              <w:right w:val="nil"/>
            </w:tcBorders>
            <w:tcMar>
              <w:top w:w="100" w:type="dxa"/>
              <w:left w:w="100" w:type="dxa"/>
              <w:bottom w:w="100" w:type="dxa"/>
              <w:right w:w="100" w:type="dxa"/>
            </w:tcMar>
            <w:vAlign w:val="bottom"/>
          </w:tcPr>
          <w:p w14:paraId="322955E1" w14:textId="77777777" w:rsidR="00DE3EE8" w:rsidRPr="002B7E6B" w:rsidRDefault="00DE3EE8" w:rsidP="005A5ABD">
            <w:pPr>
              <w:rPr>
                <w:sz w:val="22"/>
                <w:szCs w:val="22"/>
              </w:rPr>
            </w:pPr>
            <w:r w:rsidRPr="002B7E6B">
              <w:rPr>
                <w:sz w:val="22"/>
                <w:szCs w:val="22"/>
              </w:rPr>
              <w:t>2022</w:t>
            </w:r>
          </w:p>
        </w:tc>
        <w:tc>
          <w:tcPr>
            <w:tcW w:w="2116" w:type="dxa"/>
            <w:tcBorders>
              <w:top w:val="nil"/>
              <w:left w:val="nil"/>
              <w:bottom w:val="nil"/>
              <w:right w:val="nil"/>
            </w:tcBorders>
            <w:tcMar>
              <w:top w:w="100" w:type="dxa"/>
              <w:left w:w="100" w:type="dxa"/>
              <w:bottom w:w="100" w:type="dxa"/>
              <w:right w:w="100" w:type="dxa"/>
            </w:tcMar>
            <w:vAlign w:val="bottom"/>
          </w:tcPr>
          <w:p w14:paraId="76D05773" w14:textId="77777777" w:rsidR="00DE3EE8" w:rsidRPr="002B7E6B" w:rsidRDefault="00DE3EE8" w:rsidP="005A5ABD">
            <w:pPr>
              <w:rPr>
                <w:sz w:val="22"/>
                <w:szCs w:val="22"/>
              </w:rPr>
            </w:pPr>
            <w:r w:rsidRPr="002B7E6B">
              <w:rPr>
                <w:sz w:val="22"/>
                <w:szCs w:val="22"/>
              </w:rPr>
              <w:t>23,221</w:t>
            </w:r>
          </w:p>
        </w:tc>
        <w:tc>
          <w:tcPr>
            <w:tcW w:w="925" w:type="dxa"/>
            <w:tcBorders>
              <w:top w:val="nil"/>
              <w:left w:val="nil"/>
              <w:bottom w:val="nil"/>
              <w:right w:val="nil"/>
            </w:tcBorders>
            <w:tcMar>
              <w:top w:w="100" w:type="dxa"/>
              <w:left w:w="100" w:type="dxa"/>
              <w:bottom w:w="100" w:type="dxa"/>
              <w:right w:w="100" w:type="dxa"/>
            </w:tcMar>
            <w:vAlign w:val="bottom"/>
          </w:tcPr>
          <w:p w14:paraId="31B7D841" w14:textId="77777777" w:rsidR="00DE3EE8" w:rsidRPr="002B7E6B" w:rsidRDefault="00DE3EE8" w:rsidP="005A5ABD">
            <w:pPr>
              <w:rPr>
                <w:sz w:val="22"/>
                <w:szCs w:val="22"/>
              </w:rPr>
            </w:pPr>
            <w:r w:rsidRPr="002B7E6B">
              <w:rPr>
                <w:sz w:val="22"/>
                <w:szCs w:val="22"/>
              </w:rPr>
              <w:t>598</w:t>
            </w:r>
          </w:p>
        </w:tc>
        <w:tc>
          <w:tcPr>
            <w:tcW w:w="965" w:type="dxa"/>
            <w:tcBorders>
              <w:top w:val="nil"/>
              <w:left w:val="nil"/>
              <w:bottom w:val="nil"/>
              <w:right w:val="nil"/>
            </w:tcBorders>
            <w:tcMar>
              <w:top w:w="100" w:type="dxa"/>
              <w:left w:w="100" w:type="dxa"/>
              <w:bottom w:w="100" w:type="dxa"/>
              <w:right w:w="100" w:type="dxa"/>
            </w:tcMar>
            <w:vAlign w:val="bottom"/>
          </w:tcPr>
          <w:p w14:paraId="74F00AA7" w14:textId="77777777" w:rsidR="00DE3EE8" w:rsidRPr="002B7E6B" w:rsidRDefault="00DE3EE8" w:rsidP="005A5ABD">
            <w:pPr>
              <w:rPr>
                <w:sz w:val="22"/>
                <w:szCs w:val="22"/>
              </w:rPr>
            </w:pPr>
            <w:r w:rsidRPr="002B7E6B">
              <w:rPr>
                <w:sz w:val="22"/>
                <w:szCs w:val="22"/>
              </w:rPr>
              <w:t>503</w:t>
            </w:r>
          </w:p>
        </w:tc>
        <w:tc>
          <w:tcPr>
            <w:tcW w:w="952" w:type="dxa"/>
            <w:tcBorders>
              <w:top w:val="nil"/>
              <w:left w:val="nil"/>
              <w:bottom w:val="nil"/>
              <w:right w:val="nil"/>
            </w:tcBorders>
            <w:tcMar>
              <w:top w:w="100" w:type="dxa"/>
              <w:left w:w="100" w:type="dxa"/>
              <w:bottom w:w="100" w:type="dxa"/>
              <w:right w:w="100" w:type="dxa"/>
            </w:tcMar>
            <w:vAlign w:val="bottom"/>
          </w:tcPr>
          <w:p w14:paraId="37D5AF17" w14:textId="77777777" w:rsidR="00DE3EE8" w:rsidRPr="002B7E6B" w:rsidRDefault="00DE3EE8" w:rsidP="005A5ABD">
            <w:pPr>
              <w:rPr>
                <w:sz w:val="22"/>
                <w:szCs w:val="22"/>
              </w:rPr>
            </w:pPr>
            <w:r w:rsidRPr="002B7E6B">
              <w:rPr>
                <w:sz w:val="22"/>
                <w:szCs w:val="22"/>
              </w:rPr>
              <w:t>503</w:t>
            </w:r>
          </w:p>
        </w:tc>
        <w:tc>
          <w:tcPr>
            <w:tcW w:w="1031" w:type="dxa"/>
            <w:tcBorders>
              <w:top w:val="nil"/>
              <w:left w:val="nil"/>
              <w:bottom w:val="nil"/>
              <w:right w:val="nil"/>
            </w:tcBorders>
            <w:tcMar>
              <w:top w:w="100" w:type="dxa"/>
              <w:left w:w="100" w:type="dxa"/>
              <w:bottom w:w="100" w:type="dxa"/>
              <w:right w:w="100" w:type="dxa"/>
            </w:tcMar>
            <w:vAlign w:val="bottom"/>
          </w:tcPr>
          <w:p w14:paraId="1BAADA1A" w14:textId="77777777" w:rsidR="00DE3EE8" w:rsidRPr="002B7E6B" w:rsidRDefault="00DE3EE8" w:rsidP="005A5ABD">
            <w:pPr>
              <w:rPr>
                <w:sz w:val="22"/>
                <w:szCs w:val="22"/>
              </w:rPr>
            </w:pPr>
            <w:r w:rsidRPr="002B7E6B">
              <w:rPr>
                <w:sz w:val="22"/>
                <w:szCs w:val="22"/>
              </w:rPr>
              <w:t>386</w:t>
            </w:r>
          </w:p>
        </w:tc>
      </w:tr>
      <w:tr w:rsidR="00DE3EE8" w:rsidRPr="002B7E6B" w14:paraId="3D56AFC3" w14:textId="77777777" w:rsidTr="005A5ABD">
        <w:trPr>
          <w:trHeight w:val="485"/>
        </w:trPr>
        <w:tc>
          <w:tcPr>
            <w:tcW w:w="2328" w:type="dxa"/>
            <w:tcBorders>
              <w:top w:val="nil"/>
              <w:left w:val="nil"/>
              <w:bottom w:val="nil"/>
              <w:right w:val="nil"/>
            </w:tcBorders>
            <w:tcMar>
              <w:top w:w="100" w:type="dxa"/>
              <w:left w:w="100" w:type="dxa"/>
              <w:bottom w:w="100" w:type="dxa"/>
              <w:right w:w="100" w:type="dxa"/>
            </w:tcMar>
            <w:vAlign w:val="bottom"/>
          </w:tcPr>
          <w:p w14:paraId="6B5F9490" w14:textId="77777777" w:rsidR="00DE3EE8" w:rsidRPr="002B7E6B" w:rsidRDefault="00DE3EE8" w:rsidP="005A5ABD">
            <w:pPr>
              <w:rPr>
                <w:sz w:val="22"/>
                <w:szCs w:val="22"/>
              </w:rPr>
            </w:pPr>
          </w:p>
        </w:tc>
        <w:tc>
          <w:tcPr>
            <w:tcW w:w="1309" w:type="dxa"/>
            <w:tcBorders>
              <w:top w:val="nil"/>
              <w:left w:val="nil"/>
              <w:bottom w:val="nil"/>
              <w:right w:val="nil"/>
            </w:tcBorders>
            <w:tcMar>
              <w:top w:w="100" w:type="dxa"/>
              <w:left w:w="100" w:type="dxa"/>
              <w:bottom w:w="100" w:type="dxa"/>
              <w:right w:w="100" w:type="dxa"/>
            </w:tcMar>
            <w:vAlign w:val="bottom"/>
          </w:tcPr>
          <w:p w14:paraId="4CD359CA" w14:textId="77777777" w:rsidR="00DE3EE8" w:rsidRPr="002B7E6B" w:rsidRDefault="00DE3EE8" w:rsidP="005A5ABD">
            <w:pPr>
              <w:rPr>
                <w:sz w:val="22"/>
                <w:szCs w:val="22"/>
              </w:rPr>
            </w:pPr>
            <w:r w:rsidRPr="002B7E6B">
              <w:rPr>
                <w:sz w:val="22"/>
                <w:szCs w:val="22"/>
              </w:rPr>
              <w:t>2023</w:t>
            </w:r>
          </w:p>
        </w:tc>
        <w:tc>
          <w:tcPr>
            <w:tcW w:w="2116" w:type="dxa"/>
            <w:tcBorders>
              <w:top w:val="nil"/>
              <w:left w:val="nil"/>
              <w:bottom w:val="nil"/>
              <w:right w:val="nil"/>
            </w:tcBorders>
            <w:tcMar>
              <w:top w:w="100" w:type="dxa"/>
              <w:left w:w="100" w:type="dxa"/>
              <w:bottom w:w="100" w:type="dxa"/>
              <w:right w:w="100" w:type="dxa"/>
            </w:tcMar>
            <w:vAlign w:val="bottom"/>
          </w:tcPr>
          <w:p w14:paraId="63286F6D" w14:textId="77777777" w:rsidR="00DE3EE8" w:rsidRPr="002B7E6B" w:rsidRDefault="00DE3EE8" w:rsidP="005A5ABD">
            <w:pPr>
              <w:rPr>
                <w:sz w:val="22"/>
                <w:szCs w:val="22"/>
              </w:rPr>
            </w:pPr>
          </w:p>
        </w:tc>
        <w:tc>
          <w:tcPr>
            <w:tcW w:w="925" w:type="dxa"/>
            <w:tcBorders>
              <w:top w:val="nil"/>
              <w:left w:val="nil"/>
              <w:bottom w:val="nil"/>
              <w:right w:val="nil"/>
            </w:tcBorders>
            <w:tcMar>
              <w:top w:w="100" w:type="dxa"/>
              <w:left w:w="100" w:type="dxa"/>
              <w:bottom w:w="100" w:type="dxa"/>
              <w:right w:w="100" w:type="dxa"/>
            </w:tcMar>
            <w:vAlign w:val="bottom"/>
          </w:tcPr>
          <w:p w14:paraId="214788A8" w14:textId="77777777" w:rsidR="00DE3EE8" w:rsidRPr="002B7E6B" w:rsidRDefault="00DE3EE8" w:rsidP="005A5ABD">
            <w:pPr>
              <w:rPr>
                <w:sz w:val="22"/>
                <w:szCs w:val="22"/>
              </w:rPr>
            </w:pPr>
            <w:r w:rsidRPr="002B7E6B">
              <w:rPr>
                <w:sz w:val="22"/>
                <w:szCs w:val="22"/>
              </w:rPr>
              <w:t>703</w:t>
            </w:r>
          </w:p>
        </w:tc>
        <w:tc>
          <w:tcPr>
            <w:tcW w:w="965" w:type="dxa"/>
            <w:tcBorders>
              <w:top w:val="nil"/>
              <w:left w:val="nil"/>
              <w:bottom w:val="nil"/>
              <w:right w:val="nil"/>
            </w:tcBorders>
            <w:tcMar>
              <w:top w:w="100" w:type="dxa"/>
              <w:left w:w="100" w:type="dxa"/>
              <w:bottom w:w="100" w:type="dxa"/>
              <w:right w:w="100" w:type="dxa"/>
            </w:tcMar>
            <w:vAlign w:val="bottom"/>
          </w:tcPr>
          <w:p w14:paraId="505269A0" w14:textId="77777777" w:rsidR="00DE3EE8" w:rsidRPr="002B7E6B" w:rsidRDefault="00DE3EE8" w:rsidP="005A5ABD">
            <w:pPr>
              <w:rPr>
                <w:sz w:val="22"/>
                <w:szCs w:val="22"/>
              </w:rPr>
            </w:pPr>
            <w:r w:rsidRPr="002B7E6B">
              <w:rPr>
                <w:sz w:val="22"/>
                <w:szCs w:val="22"/>
              </w:rPr>
              <w:t>525</w:t>
            </w:r>
          </w:p>
        </w:tc>
        <w:tc>
          <w:tcPr>
            <w:tcW w:w="952" w:type="dxa"/>
            <w:tcBorders>
              <w:top w:val="nil"/>
              <w:left w:val="nil"/>
              <w:bottom w:val="nil"/>
              <w:right w:val="nil"/>
            </w:tcBorders>
            <w:tcMar>
              <w:top w:w="100" w:type="dxa"/>
              <w:left w:w="100" w:type="dxa"/>
              <w:bottom w:w="100" w:type="dxa"/>
              <w:right w:w="100" w:type="dxa"/>
            </w:tcMar>
            <w:vAlign w:val="bottom"/>
          </w:tcPr>
          <w:p w14:paraId="04AAFBBE" w14:textId="77777777" w:rsidR="00DE3EE8" w:rsidRPr="002B7E6B" w:rsidRDefault="00DE3EE8" w:rsidP="005A5ABD">
            <w:pPr>
              <w:rPr>
                <w:sz w:val="22"/>
                <w:szCs w:val="22"/>
              </w:rPr>
            </w:pPr>
            <w:r w:rsidRPr="002B7E6B">
              <w:rPr>
                <w:sz w:val="22"/>
                <w:szCs w:val="22"/>
              </w:rPr>
              <w:t>n/a</w:t>
            </w:r>
          </w:p>
        </w:tc>
        <w:tc>
          <w:tcPr>
            <w:tcW w:w="1031" w:type="dxa"/>
            <w:tcBorders>
              <w:top w:val="nil"/>
              <w:left w:val="nil"/>
              <w:bottom w:val="nil"/>
              <w:right w:val="nil"/>
            </w:tcBorders>
            <w:tcMar>
              <w:top w:w="100" w:type="dxa"/>
              <w:left w:w="100" w:type="dxa"/>
              <w:bottom w:w="100" w:type="dxa"/>
              <w:right w:w="100" w:type="dxa"/>
            </w:tcMar>
            <w:vAlign w:val="bottom"/>
          </w:tcPr>
          <w:p w14:paraId="2E88489E" w14:textId="77777777" w:rsidR="00DE3EE8" w:rsidRPr="002B7E6B" w:rsidRDefault="00DE3EE8" w:rsidP="005A5ABD">
            <w:pPr>
              <w:rPr>
                <w:sz w:val="22"/>
                <w:szCs w:val="22"/>
              </w:rPr>
            </w:pPr>
            <w:r w:rsidRPr="002B7E6B">
              <w:rPr>
                <w:sz w:val="22"/>
                <w:szCs w:val="22"/>
              </w:rPr>
              <w:t>n/a</w:t>
            </w:r>
          </w:p>
        </w:tc>
      </w:tr>
      <w:tr w:rsidR="00DE3EE8" w:rsidRPr="002B7E6B" w14:paraId="27825DF5" w14:textId="77777777" w:rsidTr="005A5ABD">
        <w:trPr>
          <w:trHeight w:val="485"/>
        </w:trPr>
        <w:tc>
          <w:tcPr>
            <w:tcW w:w="2328" w:type="dxa"/>
            <w:tcBorders>
              <w:top w:val="nil"/>
              <w:left w:val="nil"/>
              <w:bottom w:val="nil"/>
              <w:right w:val="nil"/>
            </w:tcBorders>
            <w:tcMar>
              <w:top w:w="100" w:type="dxa"/>
              <w:left w:w="100" w:type="dxa"/>
              <w:bottom w:w="100" w:type="dxa"/>
              <w:right w:w="100" w:type="dxa"/>
            </w:tcMar>
            <w:vAlign w:val="bottom"/>
          </w:tcPr>
          <w:p w14:paraId="41A1A7ED" w14:textId="77777777" w:rsidR="00DE3EE8" w:rsidRPr="002B7E6B" w:rsidRDefault="00DE3EE8" w:rsidP="005A5ABD">
            <w:pPr>
              <w:rPr>
                <w:sz w:val="22"/>
                <w:szCs w:val="22"/>
              </w:rPr>
            </w:pPr>
          </w:p>
        </w:tc>
        <w:tc>
          <w:tcPr>
            <w:tcW w:w="1309" w:type="dxa"/>
            <w:tcBorders>
              <w:top w:val="nil"/>
              <w:left w:val="nil"/>
              <w:bottom w:val="nil"/>
              <w:right w:val="nil"/>
            </w:tcBorders>
            <w:tcMar>
              <w:top w:w="100" w:type="dxa"/>
              <w:left w:w="100" w:type="dxa"/>
              <w:bottom w:w="100" w:type="dxa"/>
              <w:right w:w="100" w:type="dxa"/>
            </w:tcMar>
            <w:vAlign w:val="bottom"/>
          </w:tcPr>
          <w:p w14:paraId="71B41200" w14:textId="77777777" w:rsidR="00DE3EE8" w:rsidRPr="002B7E6B" w:rsidRDefault="00DE3EE8" w:rsidP="005A5ABD">
            <w:pPr>
              <w:rPr>
                <w:sz w:val="22"/>
                <w:szCs w:val="22"/>
              </w:rPr>
            </w:pPr>
            <w:r w:rsidRPr="002B7E6B">
              <w:rPr>
                <w:sz w:val="22"/>
                <w:szCs w:val="22"/>
              </w:rPr>
              <w:t>2024</w:t>
            </w:r>
          </w:p>
        </w:tc>
        <w:tc>
          <w:tcPr>
            <w:tcW w:w="2116" w:type="dxa"/>
            <w:tcBorders>
              <w:top w:val="nil"/>
              <w:left w:val="nil"/>
              <w:bottom w:val="nil"/>
              <w:right w:val="nil"/>
            </w:tcBorders>
            <w:tcMar>
              <w:top w:w="100" w:type="dxa"/>
              <w:left w:w="100" w:type="dxa"/>
              <w:bottom w:w="100" w:type="dxa"/>
              <w:right w:w="100" w:type="dxa"/>
            </w:tcMar>
            <w:vAlign w:val="bottom"/>
          </w:tcPr>
          <w:p w14:paraId="24238137" w14:textId="77777777" w:rsidR="00DE3EE8" w:rsidRPr="002B7E6B" w:rsidRDefault="00DE3EE8" w:rsidP="005A5ABD">
            <w:pPr>
              <w:rPr>
                <w:sz w:val="22"/>
                <w:szCs w:val="22"/>
              </w:rPr>
            </w:pPr>
          </w:p>
        </w:tc>
        <w:tc>
          <w:tcPr>
            <w:tcW w:w="925" w:type="dxa"/>
            <w:tcBorders>
              <w:top w:val="nil"/>
              <w:left w:val="nil"/>
              <w:bottom w:val="nil"/>
              <w:right w:val="nil"/>
            </w:tcBorders>
            <w:tcMar>
              <w:top w:w="100" w:type="dxa"/>
              <w:left w:w="100" w:type="dxa"/>
              <w:bottom w:w="100" w:type="dxa"/>
              <w:right w:w="100" w:type="dxa"/>
            </w:tcMar>
            <w:vAlign w:val="bottom"/>
          </w:tcPr>
          <w:p w14:paraId="0120CE29" w14:textId="77777777" w:rsidR="00DE3EE8" w:rsidRPr="002B7E6B" w:rsidRDefault="00DE3EE8" w:rsidP="005A5ABD">
            <w:pPr>
              <w:rPr>
                <w:sz w:val="22"/>
                <w:szCs w:val="22"/>
              </w:rPr>
            </w:pPr>
            <w:r w:rsidRPr="002B7E6B">
              <w:rPr>
                <w:sz w:val="22"/>
                <w:szCs w:val="22"/>
              </w:rPr>
              <w:t>763</w:t>
            </w:r>
          </w:p>
        </w:tc>
        <w:tc>
          <w:tcPr>
            <w:tcW w:w="965" w:type="dxa"/>
            <w:tcBorders>
              <w:top w:val="nil"/>
              <w:left w:val="nil"/>
              <w:bottom w:val="nil"/>
              <w:right w:val="nil"/>
            </w:tcBorders>
            <w:tcMar>
              <w:top w:w="100" w:type="dxa"/>
              <w:left w:w="100" w:type="dxa"/>
              <w:bottom w:w="100" w:type="dxa"/>
              <w:right w:w="100" w:type="dxa"/>
            </w:tcMar>
            <w:vAlign w:val="bottom"/>
          </w:tcPr>
          <w:p w14:paraId="6291B0B1" w14:textId="77777777" w:rsidR="00DE3EE8" w:rsidRPr="002B7E6B" w:rsidRDefault="00DE3EE8" w:rsidP="005A5ABD">
            <w:pPr>
              <w:rPr>
                <w:sz w:val="22"/>
                <w:szCs w:val="22"/>
              </w:rPr>
            </w:pPr>
            <w:r w:rsidRPr="002B7E6B">
              <w:rPr>
                <w:sz w:val="22"/>
                <w:szCs w:val="22"/>
              </w:rPr>
              <w:t>570</w:t>
            </w:r>
          </w:p>
        </w:tc>
        <w:tc>
          <w:tcPr>
            <w:tcW w:w="952" w:type="dxa"/>
            <w:tcBorders>
              <w:top w:val="nil"/>
              <w:left w:val="nil"/>
              <w:bottom w:val="nil"/>
              <w:right w:val="nil"/>
            </w:tcBorders>
            <w:tcMar>
              <w:top w:w="100" w:type="dxa"/>
              <w:left w:w="100" w:type="dxa"/>
              <w:bottom w:w="100" w:type="dxa"/>
              <w:right w:w="100" w:type="dxa"/>
            </w:tcMar>
            <w:vAlign w:val="bottom"/>
          </w:tcPr>
          <w:p w14:paraId="0A34602E" w14:textId="77777777" w:rsidR="00DE3EE8" w:rsidRPr="002B7E6B" w:rsidRDefault="00DE3EE8" w:rsidP="005A5ABD">
            <w:pPr>
              <w:rPr>
                <w:sz w:val="22"/>
                <w:szCs w:val="22"/>
              </w:rPr>
            </w:pPr>
            <w:r w:rsidRPr="002B7E6B">
              <w:rPr>
                <w:sz w:val="22"/>
                <w:szCs w:val="22"/>
              </w:rPr>
              <w:t>n/a</w:t>
            </w:r>
          </w:p>
        </w:tc>
        <w:tc>
          <w:tcPr>
            <w:tcW w:w="1031" w:type="dxa"/>
            <w:tcBorders>
              <w:top w:val="nil"/>
              <w:left w:val="nil"/>
              <w:bottom w:val="nil"/>
              <w:right w:val="nil"/>
            </w:tcBorders>
            <w:tcMar>
              <w:top w:w="100" w:type="dxa"/>
              <w:left w:w="100" w:type="dxa"/>
              <w:bottom w:w="100" w:type="dxa"/>
              <w:right w:w="100" w:type="dxa"/>
            </w:tcMar>
            <w:vAlign w:val="bottom"/>
          </w:tcPr>
          <w:p w14:paraId="165A768B" w14:textId="77777777" w:rsidR="00DE3EE8" w:rsidRPr="002B7E6B" w:rsidRDefault="00DE3EE8" w:rsidP="005A5ABD">
            <w:pPr>
              <w:rPr>
                <w:sz w:val="22"/>
                <w:szCs w:val="22"/>
              </w:rPr>
            </w:pPr>
            <w:r w:rsidRPr="002B7E6B">
              <w:rPr>
                <w:sz w:val="22"/>
                <w:szCs w:val="22"/>
              </w:rPr>
              <w:t>n/a</w:t>
            </w:r>
          </w:p>
        </w:tc>
      </w:tr>
      <w:tr w:rsidR="00DE3EE8" w:rsidRPr="002B7E6B" w14:paraId="3F77A8E5" w14:textId="77777777" w:rsidTr="005A5ABD">
        <w:trPr>
          <w:trHeight w:val="485"/>
        </w:trPr>
        <w:tc>
          <w:tcPr>
            <w:tcW w:w="2328" w:type="dxa"/>
            <w:tcBorders>
              <w:top w:val="nil"/>
              <w:left w:val="nil"/>
              <w:bottom w:val="single" w:sz="7" w:space="0" w:color="000000"/>
              <w:right w:val="nil"/>
            </w:tcBorders>
            <w:tcMar>
              <w:top w:w="100" w:type="dxa"/>
              <w:left w:w="100" w:type="dxa"/>
              <w:bottom w:w="100" w:type="dxa"/>
              <w:right w:w="100" w:type="dxa"/>
            </w:tcMar>
            <w:vAlign w:val="bottom"/>
          </w:tcPr>
          <w:p w14:paraId="4F5B40F7" w14:textId="77777777" w:rsidR="00DE3EE8" w:rsidRPr="002B7E6B" w:rsidRDefault="00DE3EE8" w:rsidP="005A5ABD">
            <w:pPr>
              <w:rPr>
                <w:sz w:val="22"/>
                <w:szCs w:val="22"/>
              </w:rPr>
            </w:pPr>
            <w:r w:rsidRPr="002B7E6B">
              <w:rPr>
                <w:sz w:val="22"/>
                <w:szCs w:val="22"/>
              </w:rPr>
              <w:t xml:space="preserve"> </w:t>
            </w:r>
          </w:p>
        </w:tc>
        <w:tc>
          <w:tcPr>
            <w:tcW w:w="1309" w:type="dxa"/>
            <w:tcBorders>
              <w:top w:val="nil"/>
              <w:left w:val="nil"/>
              <w:bottom w:val="single" w:sz="7" w:space="0" w:color="000000"/>
              <w:right w:val="nil"/>
            </w:tcBorders>
            <w:tcMar>
              <w:top w:w="100" w:type="dxa"/>
              <w:left w:w="100" w:type="dxa"/>
              <w:bottom w:w="100" w:type="dxa"/>
              <w:right w:w="100" w:type="dxa"/>
            </w:tcMar>
            <w:vAlign w:val="bottom"/>
          </w:tcPr>
          <w:p w14:paraId="7AD83013" w14:textId="77777777" w:rsidR="00DE3EE8" w:rsidRPr="002B7E6B" w:rsidRDefault="00DE3EE8" w:rsidP="005A5ABD">
            <w:pPr>
              <w:rPr>
                <w:sz w:val="22"/>
                <w:szCs w:val="22"/>
              </w:rPr>
            </w:pPr>
            <w:r w:rsidRPr="002B7E6B">
              <w:rPr>
                <w:sz w:val="22"/>
                <w:szCs w:val="22"/>
              </w:rPr>
              <w:t>2021</w:t>
            </w:r>
          </w:p>
        </w:tc>
        <w:tc>
          <w:tcPr>
            <w:tcW w:w="2116" w:type="dxa"/>
            <w:tcBorders>
              <w:top w:val="nil"/>
              <w:left w:val="nil"/>
              <w:bottom w:val="single" w:sz="7" w:space="0" w:color="000000"/>
              <w:right w:val="nil"/>
            </w:tcBorders>
            <w:tcMar>
              <w:top w:w="100" w:type="dxa"/>
              <w:left w:w="100" w:type="dxa"/>
              <w:bottom w:w="100" w:type="dxa"/>
              <w:right w:w="100" w:type="dxa"/>
            </w:tcMar>
            <w:vAlign w:val="bottom"/>
          </w:tcPr>
          <w:p w14:paraId="52B93BC4" w14:textId="77777777" w:rsidR="00DE3EE8" w:rsidRPr="002B7E6B" w:rsidRDefault="00DE3EE8" w:rsidP="005A5ABD">
            <w:pPr>
              <w:rPr>
                <w:sz w:val="22"/>
                <w:szCs w:val="22"/>
              </w:rPr>
            </w:pPr>
            <w:r w:rsidRPr="002B7E6B">
              <w:rPr>
                <w:sz w:val="22"/>
                <w:szCs w:val="22"/>
              </w:rPr>
              <w:t xml:space="preserve"> </w:t>
            </w:r>
          </w:p>
        </w:tc>
        <w:tc>
          <w:tcPr>
            <w:tcW w:w="925" w:type="dxa"/>
            <w:tcBorders>
              <w:top w:val="nil"/>
              <w:left w:val="nil"/>
              <w:bottom w:val="single" w:sz="7" w:space="0" w:color="000000"/>
              <w:right w:val="nil"/>
            </w:tcBorders>
            <w:tcMar>
              <w:top w:w="100" w:type="dxa"/>
              <w:left w:w="100" w:type="dxa"/>
              <w:bottom w:w="100" w:type="dxa"/>
              <w:right w:w="100" w:type="dxa"/>
            </w:tcMar>
            <w:vAlign w:val="bottom"/>
          </w:tcPr>
          <w:p w14:paraId="2736B994" w14:textId="77777777" w:rsidR="00DE3EE8" w:rsidRPr="002B7E6B" w:rsidRDefault="00DE3EE8" w:rsidP="005A5ABD">
            <w:pPr>
              <w:rPr>
                <w:sz w:val="22"/>
                <w:szCs w:val="22"/>
              </w:rPr>
            </w:pPr>
            <w:r w:rsidRPr="002B7E6B">
              <w:rPr>
                <w:sz w:val="22"/>
                <w:szCs w:val="22"/>
              </w:rPr>
              <w:t>169</w:t>
            </w:r>
          </w:p>
        </w:tc>
        <w:tc>
          <w:tcPr>
            <w:tcW w:w="965" w:type="dxa"/>
            <w:tcBorders>
              <w:top w:val="nil"/>
              <w:left w:val="nil"/>
              <w:bottom w:val="single" w:sz="7" w:space="0" w:color="000000"/>
              <w:right w:val="nil"/>
            </w:tcBorders>
            <w:tcMar>
              <w:top w:w="100" w:type="dxa"/>
              <w:left w:w="100" w:type="dxa"/>
              <w:bottom w:w="100" w:type="dxa"/>
              <w:right w:w="100" w:type="dxa"/>
            </w:tcMar>
            <w:vAlign w:val="bottom"/>
          </w:tcPr>
          <w:p w14:paraId="797A2167" w14:textId="77777777" w:rsidR="00DE3EE8" w:rsidRPr="002B7E6B" w:rsidRDefault="00DE3EE8" w:rsidP="005A5ABD">
            <w:pPr>
              <w:rPr>
                <w:sz w:val="22"/>
                <w:szCs w:val="22"/>
              </w:rPr>
            </w:pPr>
            <w:r w:rsidRPr="002B7E6B">
              <w:rPr>
                <w:sz w:val="22"/>
                <w:szCs w:val="22"/>
              </w:rPr>
              <w:t>169</w:t>
            </w:r>
          </w:p>
        </w:tc>
        <w:tc>
          <w:tcPr>
            <w:tcW w:w="952" w:type="dxa"/>
            <w:tcBorders>
              <w:top w:val="nil"/>
              <w:left w:val="nil"/>
              <w:bottom w:val="single" w:sz="7" w:space="0" w:color="000000"/>
              <w:right w:val="nil"/>
            </w:tcBorders>
            <w:tcMar>
              <w:top w:w="100" w:type="dxa"/>
              <w:left w:w="100" w:type="dxa"/>
              <w:bottom w:w="100" w:type="dxa"/>
              <w:right w:w="100" w:type="dxa"/>
            </w:tcMar>
            <w:vAlign w:val="bottom"/>
          </w:tcPr>
          <w:p w14:paraId="5D6066ED" w14:textId="77777777" w:rsidR="00DE3EE8" w:rsidRPr="002B7E6B" w:rsidRDefault="00DE3EE8" w:rsidP="005A5ABD">
            <w:pPr>
              <w:rPr>
                <w:sz w:val="22"/>
                <w:szCs w:val="22"/>
              </w:rPr>
            </w:pPr>
            <w:r w:rsidRPr="002B7E6B">
              <w:rPr>
                <w:sz w:val="22"/>
                <w:szCs w:val="22"/>
              </w:rPr>
              <w:t>319</w:t>
            </w:r>
          </w:p>
        </w:tc>
        <w:tc>
          <w:tcPr>
            <w:tcW w:w="1031" w:type="dxa"/>
            <w:tcBorders>
              <w:top w:val="nil"/>
              <w:left w:val="nil"/>
              <w:bottom w:val="single" w:sz="7" w:space="0" w:color="000000"/>
              <w:right w:val="nil"/>
            </w:tcBorders>
            <w:tcMar>
              <w:top w:w="100" w:type="dxa"/>
              <w:left w:w="100" w:type="dxa"/>
              <w:bottom w:w="100" w:type="dxa"/>
              <w:right w:w="100" w:type="dxa"/>
            </w:tcMar>
            <w:vAlign w:val="bottom"/>
          </w:tcPr>
          <w:p w14:paraId="56596B56" w14:textId="77777777" w:rsidR="00DE3EE8" w:rsidRPr="002B7E6B" w:rsidRDefault="00DE3EE8" w:rsidP="005A5ABD">
            <w:pPr>
              <w:rPr>
                <w:sz w:val="22"/>
                <w:szCs w:val="22"/>
              </w:rPr>
            </w:pPr>
            <w:r w:rsidRPr="002B7E6B">
              <w:rPr>
                <w:sz w:val="22"/>
                <w:szCs w:val="22"/>
              </w:rPr>
              <w:t xml:space="preserve"> </w:t>
            </w:r>
          </w:p>
        </w:tc>
      </w:tr>
      <w:tr w:rsidR="00DE3EE8" w:rsidRPr="002B7E6B" w14:paraId="5EF0FC6D" w14:textId="77777777" w:rsidTr="005A5ABD">
        <w:trPr>
          <w:trHeight w:val="485"/>
        </w:trPr>
        <w:tc>
          <w:tcPr>
            <w:tcW w:w="2328" w:type="dxa"/>
            <w:tcBorders>
              <w:top w:val="nil"/>
              <w:left w:val="nil"/>
              <w:bottom w:val="nil"/>
              <w:right w:val="nil"/>
            </w:tcBorders>
            <w:tcMar>
              <w:top w:w="100" w:type="dxa"/>
              <w:left w:w="100" w:type="dxa"/>
              <w:bottom w:w="100" w:type="dxa"/>
              <w:right w:w="100" w:type="dxa"/>
            </w:tcMar>
            <w:vAlign w:val="bottom"/>
          </w:tcPr>
          <w:p w14:paraId="6C972D2F" w14:textId="77777777" w:rsidR="00DE3EE8" w:rsidRPr="002B7E6B" w:rsidRDefault="00DE3EE8" w:rsidP="005A5ABD">
            <w:pPr>
              <w:rPr>
                <w:sz w:val="22"/>
                <w:szCs w:val="22"/>
              </w:rPr>
            </w:pPr>
            <w:r w:rsidRPr="002B7E6B">
              <w:rPr>
                <w:sz w:val="22"/>
                <w:szCs w:val="22"/>
              </w:rPr>
              <w:t>Western/Central</w:t>
            </w:r>
          </w:p>
        </w:tc>
        <w:tc>
          <w:tcPr>
            <w:tcW w:w="1309" w:type="dxa"/>
            <w:tcBorders>
              <w:top w:val="nil"/>
              <w:left w:val="nil"/>
              <w:bottom w:val="nil"/>
              <w:right w:val="nil"/>
            </w:tcBorders>
            <w:tcMar>
              <w:top w:w="100" w:type="dxa"/>
              <w:left w:w="100" w:type="dxa"/>
              <w:bottom w:w="100" w:type="dxa"/>
              <w:right w:w="100" w:type="dxa"/>
            </w:tcMar>
            <w:vAlign w:val="bottom"/>
          </w:tcPr>
          <w:p w14:paraId="7EAD55A9" w14:textId="77777777" w:rsidR="00DE3EE8" w:rsidRPr="002B7E6B" w:rsidRDefault="00DE3EE8" w:rsidP="005A5ABD">
            <w:pPr>
              <w:rPr>
                <w:sz w:val="22"/>
                <w:szCs w:val="22"/>
              </w:rPr>
            </w:pPr>
            <w:r w:rsidRPr="002B7E6B">
              <w:rPr>
                <w:sz w:val="22"/>
                <w:szCs w:val="22"/>
              </w:rPr>
              <w:t>2022</w:t>
            </w:r>
          </w:p>
        </w:tc>
        <w:tc>
          <w:tcPr>
            <w:tcW w:w="2116" w:type="dxa"/>
            <w:tcBorders>
              <w:top w:val="nil"/>
              <w:left w:val="nil"/>
              <w:bottom w:val="nil"/>
              <w:right w:val="nil"/>
            </w:tcBorders>
            <w:tcMar>
              <w:top w:w="100" w:type="dxa"/>
              <w:left w:w="100" w:type="dxa"/>
              <w:bottom w:w="100" w:type="dxa"/>
              <w:right w:w="100" w:type="dxa"/>
            </w:tcMar>
            <w:vAlign w:val="bottom"/>
          </w:tcPr>
          <w:p w14:paraId="5ABC42AF" w14:textId="77777777" w:rsidR="00DE3EE8" w:rsidRPr="002B7E6B" w:rsidRDefault="00DE3EE8" w:rsidP="005A5ABD">
            <w:pPr>
              <w:rPr>
                <w:sz w:val="22"/>
                <w:szCs w:val="22"/>
              </w:rPr>
            </w:pPr>
          </w:p>
        </w:tc>
        <w:tc>
          <w:tcPr>
            <w:tcW w:w="925" w:type="dxa"/>
            <w:tcBorders>
              <w:top w:val="nil"/>
              <w:left w:val="nil"/>
              <w:bottom w:val="nil"/>
              <w:right w:val="nil"/>
            </w:tcBorders>
            <w:tcMar>
              <w:top w:w="100" w:type="dxa"/>
              <w:left w:w="100" w:type="dxa"/>
              <w:bottom w:w="100" w:type="dxa"/>
              <w:right w:w="100" w:type="dxa"/>
            </w:tcMar>
            <w:vAlign w:val="bottom"/>
          </w:tcPr>
          <w:p w14:paraId="03570B05" w14:textId="77777777" w:rsidR="00DE3EE8" w:rsidRPr="002B7E6B" w:rsidRDefault="00DE3EE8" w:rsidP="005A5ABD">
            <w:pPr>
              <w:pBdr>
                <w:top w:val="nil"/>
                <w:left w:val="nil"/>
                <w:bottom w:val="nil"/>
                <w:right w:val="nil"/>
                <w:between w:val="nil"/>
              </w:pBdr>
              <w:rPr>
                <w:sz w:val="22"/>
                <w:szCs w:val="22"/>
              </w:rPr>
            </w:pPr>
          </w:p>
        </w:tc>
        <w:tc>
          <w:tcPr>
            <w:tcW w:w="965" w:type="dxa"/>
            <w:tcBorders>
              <w:top w:val="nil"/>
              <w:left w:val="nil"/>
              <w:bottom w:val="nil"/>
              <w:right w:val="nil"/>
            </w:tcBorders>
            <w:tcMar>
              <w:top w:w="100" w:type="dxa"/>
              <w:left w:w="100" w:type="dxa"/>
              <w:bottom w:w="100" w:type="dxa"/>
              <w:right w:w="100" w:type="dxa"/>
            </w:tcMar>
            <w:vAlign w:val="bottom"/>
          </w:tcPr>
          <w:p w14:paraId="3D4E7152" w14:textId="77777777" w:rsidR="00DE3EE8" w:rsidRPr="002B7E6B" w:rsidRDefault="00DE3EE8" w:rsidP="005A5ABD">
            <w:pPr>
              <w:rPr>
                <w:sz w:val="22"/>
                <w:szCs w:val="22"/>
              </w:rPr>
            </w:pPr>
            <w:r w:rsidRPr="002B7E6B">
              <w:rPr>
                <w:sz w:val="22"/>
                <w:szCs w:val="22"/>
              </w:rPr>
              <w:t>177</w:t>
            </w:r>
          </w:p>
        </w:tc>
        <w:tc>
          <w:tcPr>
            <w:tcW w:w="952" w:type="dxa"/>
            <w:tcBorders>
              <w:top w:val="nil"/>
              <w:left w:val="nil"/>
              <w:bottom w:val="nil"/>
              <w:right w:val="nil"/>
            </w:tcBorders>
            <w:tcMar>
              <w:top w:w="100" w:type="dxa"/>
              <w:left w:w="100" w:type="dxa"/>
              <w:bottom w:w="100" w:type="dxa"/>
              <w:right w:w="100" w:type="dxa"/>
            </w:tcMar>
            <w:vAlign w:val="bottom"/>
          </w:tcPr>
          <w:p w14:paraId="055E1A9A" w14:textId="77777777" w:rsidR="00DE3EE8" w:rsidRPr="002B7E6B" w:rsidRDefault="00DE3EE8" w:rsidP="005A5ABD">
            <w:pPr>
              <w:rPr>
                <w:sz w:val="22"/>
                <w:szCs w:val="22"/>
              </w:rPr>
            </w:pPr>
            <w:r w:rsidRPr="002B7E6B">
              <w:rPr>
                <w:sz w:val="22"/>
                <w:szCs w:val="22"/>
              </w:rPr>
              <w:t>177</w:t>
            </w:r>
          </w:p>
        </w:tc>
        <w:tc>
          <w:tcPr>
            <w:tcW w:w="1031" w:type="dxa"/>
            <w:tcBorders>
              <w:top w:val="nil"/>
              <w:left w:val="nil"/>
              <w:bottom w:val="nil"/>
              <w:right w:val="nil"/>
            </w:tcBorders>
            <w:tcMar>
              <w:top w:w="100" w:type="dxa"/>
              <w:left w:w="100" w:type="dxa"/>
              <w:bottom w:w="100" w:type="dxa"/>
              <w:right w:w="100" w:type="dxa"/>
            </w:tcMar>
            <w:vAlign w:val="bottom"/>
          </w:tcPr>
          <w:p w14:paraId="062F4830" w14:textId="77777777" w:rsidR="00DE3EE8" w:rsidRPr="002B7E6B" w:rsidRDefault="00DE3EE8" w:rsidP="005A5ABD">
            <w:pPr>
              <w:rPr>
                <w:sz w:val="22"/>
                <w:szCs w:val="22"/>
              </w:rPr>
            </w:pPr>
            <w:r w:rsidRPr="002B7E6B">
              <w:rPr>
                <w:sz w:val="22"/>
                <w:szCs w:val="22"/>
              </w:rPr>
              <w:t>249</w:t>
            </w:r>
          </w:p>
        </w:tc>
      </w:tr>
      <w:tr w:rsidR="00DE3EE8" w:rsidRPr="002B7E6B" w14:paraId="469AABD9" w14:textId="77777777" w:rsidTr="005A5ABD">
        <w:trPr>
          <w:trHeight w:val="485"/>
        </w:trPr>
        <w:tc>
          <w:tcPr>
            <w:tcW w:w="2328" w:type="dxa"/>
            <w:tcBorders>
              <w:top w:val="nil"/>
              <w:left w:val="nil"/>
              <w:bottom w:val="nil"/>
              <w:right w:val="nil"/>
            </w:tcBorders>
            <w:tcMar>
              <w:top w:w="100" w:type="dxa"/>
              <w:left w:w="100" w:type="dxa"/>
              <w:bottom w:w="100" w:type="dxa"/>
              <w:right w:w="100" w:type="dxa"/>
            </w:tcMar>
            <w:vAlign w:val="bottom"/>
          </w:tcPr>
          <w:p w14:paraId="5E10DB21" w14:textId="77777777" w:rsidR="00DE3EE8" w:rsidRPr="002B7E6B" w:rsidRDefault="00DE3EE8" w:rsidP="005A5ABD">
            <w:pPr>
              <w:rPr>
                <w:sz w:val="22"/>
                <w:szCs w:val="22"/>
              </w:rPr>
            </w:pPr>
            <w:r w:rsidRPr="002B7E6B">
              <w:rPr>
                <w:sz w:val="22"/>
                <w:szCs w:val="22"/>
              </w:rPr>
              <w:t>Aleutian Islands</w:t>
            </w:r>
          </w:p>
        </w:tc>
        <w:tc>
          <w:tcPr>
            <w:tcW w:w="1309" w:type="dxa"/>
            <w:tcBorders>
              <w:top w:val="nil"/>
              <w:left w:val="nil"/>
              <w:bottom w:val="nil"/>
              <w:right w:val="nil"/>
            </w:tcBorders>
            <w:tcMar>
              <w:top w:w="100" w:type="dxa"/>
              <w:left w:w="100" w:type="dxa"/>
              <w:bottom w:w="100" w:type="dxa"/>
              <w:right w:w="100" w:type="dxa"/>
            </w:tcMar>
            <w:vAlign w:val="bottom"/>
          </w:tcPr>
          <w:p w14:paraId="47B372A8" w14:textId="77777777" w:rsidR="00DE3EE8" w:rsidRPr="002B7E6B" w:rsidRDefault="00DE3EE8" w:rsidP="005A5ABD">
            <w:pPr>
              <w:rPr>
                <w:sz w:val="22"/>
                <w:szCs w:val="22"/>
              </w:rPr>
            </w:pPr>
            <w:r w:rsidRPr="002B7E6B">
              <w:rPr>
                <w:sz w:val="22"/>
                <w:szCs w:val="22"/>
              </w:rPr>
              <w:t>2023</w:t>
            </w:r>
          </w:p>
        </w:tc>
        <w:tc>
          <w:tcPr>
            <w:tcW w:w="2116" w:type="dxa"/>
            <w:tcBorders>
              <w:top w:val="nil"/>
              <w:left w:val="nil"/>
              <w:bottom w:val="nil"/>
              <w:right w:val="nil"/>
            </w:tcBorders>
            <w:tcMar>
              <w:top w:w="100" w:type="dxa"/>
              <w:left w:w="100" w:type="dxa"/>
              <w:bottom w:w="100" w:type="dxa"/>
              <w:right w:w="100" w:type="dxa"/>
            </w:tcMar>
            <w:vAlign w:val="bottom"/>
          </w:tcPr>
          <w:p w14:paraId="4A425F90" w14:textId="77777777" w:rsidR="00DE3EE8" w:rsidRPr="002B7E6B" w:rsidRDefault="00DE3EE8" w:rsidP="005A5ABD">
            <w:pPr>
              <w:rPr>
                <w:sz w:val="22"/>
                <w:szCs w:val="22"/>
              </w:rPr>
            </w:pPr>
          </w:p>
        </w:tc>
        <w:tc>
          <w:tcPr>
            <w:tcW w:w="925" w:type="dxa"/>
            <w:tcBorders>
              <w:top w:val="nil"/>
              <w:left w:val="nil"/>
              <w:bottom w:val="nil"/>
              <w:right w:val="nil"/>
            </w:tcBorders>
            <w:tcMar>
              <w:top w:w="100" w:type="dxa"/>
              <w:left w:w="100" w:type="dxa"/>
              <w:bottom w:w="100" w:type="dxa"/>
              <w:right w:w="100" w:type="dxa"/>
            </w:tcMar>
            <w:vAlign w:val="bottom"/>
          </w:tcPr>
          <w:p w14:paraId="6F58EA8E" w14:textId="77777777" w:rsidR="00DE3EE8" w:rsidRPr="002B7E6B" w:rsidRDefault="00DE3EE8" w:rsidP="005A5ABD">
            <w:pPr>
              <w:pBdr>
                <w:top w:val="nil"/>
                <w:left w:val="nil"/>
                <w:bottom w:val="nil"/>
                <w:right w:val="nil"/>
                <w:between w:val="nil"/>
              </w:pBdr>
              <w:rPr>
                <w:sz w:val="22"/>
                <w:szCs w:val="22"/>
              </w:rPr>
            </w:pPr>
          </w:p>
        </w:tc>
        <w:tc>
          <w:tcPr>
            <w:tcW w:w="965" w:type="dxa"/>
            <w:tcBorders>
              <w:top w:val="nil"/>
              <w:left w:val="nil"/>
              <w:bottom w:val="nil"/>
              <w:right w:val="nil"/>
            </w:tcBorders>
            <w:tcMar>
              <w:top w:w="100" w:type="dxa"/>
              <w:left w:w="100" w:type="dxa"/>
              <w:bottom w:w="100" w:type="dxa"/>
              <w:right w:w="100" w:type="dxa"/>
            </w:tcMar>
            <w:vAlign w:val="bottom"/>
          </w:tcPr>
          <w:p w14:paraId="412B4239" w14:textId="77777777" w:rsidR="00DE3EE8" w:rsidRPr="002B7E6B" w:rsidRDefault="00DE3EE8" w:rsidP="005A5ABD">
            <w:pPr>
              <w:rPr>
                <w:sz w:val="22"/>
                <w:szCs w:val="22"/>
              </w:rPr>
            </w:pPr>
            <w:r w:rsidRPr="002B7E6B">
              <w:rPr>
                <w:sz w:val="22"/>
                <w:szCs w:val="22"/>
              </w:rPr>
              <w:t>166</w:t>
            </w:r>
          </w:p>
        </w:tc>
        <w:tc>
          <w:tcPr>
            <w:tcW w:w="952" w:type="dxa"/>
            <w:tcBorders>
              <w:top w:val="nil"/>
              <w:left w:val="nil"/>
              <w:bottom w:val="nil"/>
              <w:right w:val="nil"/>
            </w:tcBorders>
            <w:tcMar>
              <w:top w:w="100" w:type="dxa"/>
              <w:left w:w="100" w:type="dxa"/>
              <w:bottom w:w="100" w:type="dxa"/>
              <w:right w:w="100" w:type="dxa"/>
            </w:tcMar>
            <w:vAlign w:val="bottom"/>
          </w:tcPr>
          <w:p w14:paraId="33984944" w14:textId="77777777" w:rsidR="00DE3EE8" w:rsidRPr="002B7E6B" w:rsidRDefault="00DE3EE8" w:rsidP="005A5ABD">
            <w:pPr>
              <w:rPr>
                <w:sz w:val="22"/>
                <w:szCs w:val="22"/>
              </w:rPr>
            </w:pPr>
            <w:r w:rsidRPr="002B7E6B">
              <w:rPr>
                <w:sz w:val="22"/>
                <w:szCs w:val="22"/>
              </w:rPr>
              <w:t>n/a</w:t>
            </w:r>
          </w:p>
        </w:tc>
        <w:tc>
          <w:tcPr>
            <w:tcW w:w="1031" w:type="dxa"/>
            <w:tcBorders>
              <w:top w:val="nil"/>
              <w:left w:val="nil"/>
              <w:bottom w:val="nil"/>
              <w:right w:val="nil"/>
            </w:tcBorders>
            <w:tcMar>
              <w:top w:w="100" w:type="dxa"/>
              <w:left w:w="100" w:type="dxa"/>
              <w:bottom w:w="100" w:type="dxa"/>
              <w:right w:w="100" w:type="dxa"/>
            </w:tcMar>
            <w:vAlign w:val="bottom"/>
          </w:tcPr>
          <w:p w14:paraId="743F9742" w14:textId="77777777" w:rsidR="00DE3EE8" w:rsidRPr="002B7E6B" w:rsidRDefault="00DE3EE8" w:rsidP="005A5ABD">
            <w:pPr>
              <w:rPr>
                <w:sz w:val="22"/>
                <w:szCs w:val="22"/>
              </w:rPr>
            </w:pPr>
            <w:r w:rsidRPr="002B7E6B">
              <w:rPr>
                <w:sz w:val="22"/>
                <w:szCs w:val="22"/>
              </w:rPr>
              <w:t>n/a</w:t>
            </w:r>
          </w:p>
        </w:tc>
      </w:tr>
      <w:tr w:rsidR="00DE3EE8" w:rsidRPr="002B7E6B" w14:paraId="37070D16" w14:textId="77777777" w:rsidTr="005A5ABD">
        <w:trPr>
          <w:trHeight w:val="485"/>
        </w:trPr>
        <w:tc>
          <w:tcPr>
            <w:tcW w:w="2328" w:type="dxa"/>
            <w:tcBorders>
              <w:top w:val="nil"/>
              <w:left w:val="nil"/>
              <w:bottom w:val="nil"/>
              <w:right w:val="nil"/>
            </w:tcBorders>
            <w:tcMar>
              <w:top w:w="100" w:type="dxa"/>
              <w:left w:w="100" w:type="dxa"/>
              <w:bottom w:w="100" w:type="dxa"/>
              <w:right w:w="100" w:type="dxa"/>
            </w:tcMar>
            <w:vAlign w:val="bottom"/>
          </w:tcPr>
          <w:p w14:paraId="36BF7AD3" w14:textId="77777777" w:rsidR="00DE3EE8" w:rsidRPr="002B7E6B" w:rsidRDefault="00DE3EE8" w:rsidP="005A5ABD">
            <w:pPr>
              <w:rPr>
                <w:sz w:val="22"/>
                <w:szCs w:val="22"/>
              </w:rPr>
            </w:pPr>
          </w:p>
        </w:tc>
        <w:tc>
          <w:tcPr>
            <w:tcW w:w="1309" w:type="dxa"/>
            <w:tcBorders>
              <w:top w:val="nil"/>
              <w:left w:val="nil"/>
              <w:bottom w:val="nil"/>
              <w:right w:val="nil"/>
            </w:tcBorders>
            <w:tcMar>
              <w:top w:w="100" w:type="dxa"/>
              <w:left w:w="100" w:type="dxa"/>
              <w:bottom w:w="100" w:type="dxa"/>
              <w:right w:w="100" w:type="dxa"/>
            </w:tcMar>
            <w:vAlign w:val="bottom"/>
          </w:tcPr>
          <w:p w14:paraId="6AD7C611" w14:textId="77777777" w:rsidR="00DE3EE8" w:rsidRPr="002B7E6B" w:rsidRDefault="00DE3EE8" w:rsidP="005A5ABD">
            <w:pPr>
              <w:rPr>
                <w:sz w:val="22"/>
                <w:szCs w:val="22"/>
              </w:rPr>
            </w:pPr>
            <w:r w:rsidRPr="002B7E6B">
              <w:rPr>
                <w:sz w:val="22"/>
                <w:szCs w:val="22"/>
              </w:rPr>
              <w:t>2024</w:t>
            </w:r>
          </w:p>
        </w:tc>
        <w:tc>
          <w:tcPr>
            <w:tcW w:w="2116" w:type="dxa"/>
            <w:tcBorders>
              <w:top w:val="nil"/>
              <w:left w:val="nil"/>
              <w:bottom w:val="nil"/>
              <w:right w:val="nil"/>
            </w:tcBorders>
            <w:tcMar>
              <w:top w:w="100" w:type="dxa"/>
              <w:left w:w="100" w:type="dxa"/>
              <w:bottom w:w="100" w:type="dxa"/>
              <w:right w:w="100" w:type="dxa"/>
            </w:tcMar>
            <w:vAlign w:val="bottom"/>
          </w:tcPr>
          <w:p w14:paraId="72D67D13" w14:textId="77777777" w:rsidR="00DE3EE8" w:rsidRPr="002B7E6B" w:rsidRDefault="00DE3EE8" w:rsidP="005A5ABD">
            <w:pPr>
              <w:rPr>
                <w:sz w:val="22"/>
                <w:szCs w:val="22"/>
              </w:rPr>
            </w:pPr>
          </w:p>
        </w:tc>
        <w:tc>
          <w:tcPr>
            <w:tcW w:w="925" w:type="dxa"/>
            <w:tcBorders>
              <w:top w:val="nil"/>
              <w:left w:val="nil"/>
              <w:bottom w:val="nil"/>
              <w:right w:val="nil"/>
            </w:tcBorders>
            <w:tcMar>
              <w:top w:w="100" w:type="dxa"/>
              <w:left w:w="100" w:type="dxa"/>
              <w:bottom w:w="100" w:type="dxa"/>
              <w:right w:w="100" w:type="dxa"/>
            </w:tcMar>
            <w:vAlign w:val="bottom"/>
          </w:tcPr>
          <w:p w14:paraId="29892855" w14:textId="77777777" w:rsidR="00DE3EE8" w:rsidRPr="002B7E6B" w:rsidRDefault="00DE3EE8" w:rsidP="005A5ABD">
            <w:pPr>
              <w:pBdr>
                <w:top w:val="nil"/>
                <w:left w:val="nil"/>
                <w:bottom w:val="nil"/>
                <w:right w:val="nil"/>
                <w:between w:val="nil"/>
              </w:pBdr>
              <w:rPr>
                <w:sz w:val="22"/>
                <w:szCs w:val="22"/>
              </w:rPr>
            </w:pPr>
          </w:p>
        </w:tc>
        <w:tc>
          <w:tcPr>
            <w:tcW w:w="965" w:type="dxa"/>
            <w:tcBorders>
              <w:top w:val="nil"/>
              <w:left w:val="nil"/>
              <w:bottom w:val="nil"/>
              <w:right w:val="nil"/>
            </w:tcBorders>
            <w:tcMar>
              <w:top w:w="100" w:type="dxa"/>
              <w:left w:w="100" w:type="dxa"/>
              <w:bottom w:w="100" w:type="dxa"/>
              <w:right w:w="100" w:type="dxa"/>
            </w:tcMar>
            <w:vAlign w:val="bottom"/>
          </w:tcPr>
          <w:p w14:paraId="0DDD040C" w14:textId="77777777" w:rsidR="00DE3EE8" w:rsidRPr="002B7E6B" w:rsidRDefault="00DE3EE8" w:rsidP="005A5ABD">
            <w:pPr>
              <w:rPr>
                <w:sz w:val="22"/>
                <w:szCs w:val="22"/>
              </w:rPr>
            </w:pPr>
            <w:r w:rsidRPr="002B7E6B">
              <w:rPr>
                <w:sz w:val="22"/>
                <w:szCs w:val="22"/>
              </w:rPr>
              <w:t>182</w:t>
            </w:r>
          </w:p>
        </w:tc>
        <w:tc>
          <w:tcPr>
            <w:tcW w:w="952" w:type="dxa"/>
            <w:tcBorders>
              <w:top w:val="nil"/>
              <w:left w:val="nil"/>
              <w:bottom w:val="nil"/>
              <w:right w:val="nil"/>
            </w:tcBorders>
            <w:tcMar>
              <w:top w:w="100" w:type="dxa"/>
              <w:left w:w="100" w:type="dxa"/>
              <w:bottom w:w="100" w:type="dxa"/>
              <w:right w:w="100" w:type="dxa"/>
            </w:tcMar>
            <w:vAlign w:val="bottom"/>
          </w:tcPr>
          <w:p w14:paraId="72F0F88E" w14:textId="77777777" w:rsidR="00DE3EE8" w:rsidRPr="002B7E6B" w:rsidRDefault="00DE3EE8" w:rsidP="005A5ABD">
            <w:pPr>
              <w:rPr>
                <w:sz w:val="22"/>
                <w:szCs w:val="22"/>
              </w:rPr>
            </w:pPr>
            <w:r w:rsidRPr="002B7E6B">
              <w:rPr>
                <w:sz w:val="22"/>
                <w:szCs w:val="22"/>
              </w:rPr>
              <w:t>n/a</w:t>
            </w:r>
          </w:p>
        </w:tc>
        <w:tc>
          <w:tcPr>
            <w:tcW w:w="1031" w:type="dxa"/>
            <w:tcBorders>
              <w:top w:val="nil"/>
              <w:left w:val="nil"/>
              <w:bottom w:val="nil"/>
              <w:right w:val="nil"/>
            </w:tcBorders>
            <w:tcMar>
              <w:top w:w="100" w:type="dxa"/>
              <w:left w:w="100" w:type="dxa"/>
              <w:bottom w:w="100" w:type="dxa"/>
              <w:right w:w="100" w:type="dxa"/>
            </w:tcMar>
            <w:vAlign w:val="bottom"/>
          </w:tcPr>
          <w:p w14:paraId="217C4245" w14:textId="77777777" w:rsidR="00DE3EE8" w:rsidRPr="002B7E6B" w:rsidRDefault="00DE3EE8" w:rsidP="005A5ABD">
            <w:pPr>
              <w:rPr>
                <w:sz w:val="22"/>
                <w:szCs w:val="22"/>
              </w:rPr>
            </w:pPr>
            <w:r w:rsidRPr="002B7E6B">
              <w:rPr>
                <w:sz w:val="22"/>
                <w:szCs w:val="22"/>
              </w:rPr>
              <w:t>n/a</w:t>
            </w:r>
          </w:p>
        </w:tc>
      </w:tr>
      <w:tr w:rsidR="00DE3EE8" w:rsidRPr="002B7E6B" w14:paraId="453CEB88" w14:textId="77777777" w:rsidTr="005A5ABD">
        <w:trPr>
          <w:trHeight w:val="485"/>
        </w:trPr>
        <w:tc>
          <w:tcPr>
            <w:tcW w:w="2328" w:type="dxa"/>
            <w:tcBorders>
              <w:top w:val="nil"/>
              <w:left w:val="nil"/>
              <w:bottom w:val="single" w:sz="7" w:space="0" w:color="000000"/>
              <w:right w:val="nil"/>
            </w:tcBorders>
            <w:tcMar>
              <w:top w:w="100" w:type="dxa"/>
              <w:left w:w="100" w:type="dxa"/>
              <w:bottom w:w="100" w:type="dxa"/>
              <w:right w:w="100" w:type="dxa"/>
            </w:tcMar>
            <w:vAlign w:val="bottom"/>
          </w:tcPr>
          <w:p w14:paraId="248DCB6D" w14:textId="77777777" w:rsidR="00DE3EE8" w:rsidRPr="002B7E6B" w:rsidRDefault="00DE3EE8" w:rsidP="005A5ABD">
            <w:pPr>
              <w:rPr>
                <w:sz w:val="22"/>
                <w:szCs w:val="22"/>
              </w:rPr>
            </w:pPr>
            <w:r w:rsidRPr="002B7E6B">
              <w:rPr>
                <w:sz w:val="22"/>
                <w:szCs w:val="22"/>
              </w:rPr>
              <w:t xml:space="preserve"> </w:t>
            </w:r>
          </w:p>
        </w:tc>
        <w:tc>
          <w:tcPr>
            <w:tcW w:w="1309" w:type="dxa"/>
            <w:tcBorders>
              <w:top w:val="nil"/>
              <w:left w:val="nil"/>
              <w:bottom w:val="single" w:sz="7" w:space="0" w:color="000000"/>
              <w:right w:val="nil"/>
            </w:tcBorders>
            <w:tcMar>
              <w:top w:w="100" w:type="dxa"/>
              <w:left w:w="100" w:type="dxa"/>
              <w:bottom w:w="100" w:type="dxa"/>
              <w:right w:w="100" w:type="dxa"/>
            </w:tcMar>
            <w:vAlign w:val="bottom"/>
          </w:tcPr>
          <w:p w14:paraId="6EC1E48B" w14:textId="77777777" w:rsidR="00DE3EE8" w:rsidRPr="002B7E6B" w:rsidRDefault="00DE3EE8" w:rsidP="005A5ABD">
            <w:pPr>
              <w:rPr>
                <w:sz w:val="22"/>
                <w:szCs w:val="22"/>
              </w:rPr>
            </w:pPr>
            <w:r w:rsidRPr="002B7E6B">
              <w:rPr>
                <w:sz w:val="22"/>
                <w:szCs w:val="22"/>
              </w:rPr>
              <w:t>2021</w:t>
            </w:r>
          </w:p>
        </w:tc>
        <w:tc>
          <w:tcPr>
            <w:tcW w:w="2116" w:type="dxa"/>
            <w:tcBorders>
              <w:top w:val="nil"/>
              <w:left w:val="nil"/>
              <w:bottom w:val="single" w:sz="7" w:space="0" w:color="000000"/>
              <w:right w:val="nil"/>
            </w:tcBorders>
            <w:tcMar>
              <w:top w:w="100" w:type="dxa"/>
              <w:left w:w="100" w:type="dxa"/>
              <w:bottom w:w="100" w:type="dxa"/>
              <w:right w:w="100" w:type="dxa"/>
            </w:tcMar>
            <w:vAlign w:val="bottom"/>
          </w:tcPr>
          <w:p w14:paraId="1F69A16F" w14:textId="77777777" w:rsidR="00DE3EE8" w:rsidRPr="002B7E6B" w:rsidRDefault="00DE3EE8" w:rsidP="005A5ABD">
            <w:pPr>
              <w:rPr>
                <w:sz w:val="22"/>
                <w:szCs w:val="22"/>
              </w:rPr>
            </w:pPr>
            <w:r w:rsidRPr="002B7E6B">
              <w:rPr>
                <w:sz w:val="22"/>
                <w:szCs w:val="22"/>
              </w:rPr>
              <w:t xml:space="preserve"> </w:t>
            </w:r>
          </w:p>
        </w:tc>
        <w:tc>
          <w:tcPr>
            <w:tcW w:w="925" w:type="dxa"/>
            <w:tcBorders>
              <w:top w:val="nil"/>
              <w:left w:val="nil"/>
              <w:bottom w:val="single" w:sz="7" w:space="0" w:color="000000"/>
              <w:right w:val="nil"/>
            </w:tcBorders>
            <w:tcMar>
              <w:top w:w="100" w:type="dxa"/>
              <w:left w:w="100" w:type="dxa"/>
              <w:bottom w:w="100" w:type="dxa"/>
              <w:right w:w="100" w:type="dxa"/>
            </w:tcMar>
            <w:vAlign w:val="bottom"/>
          </w:tcPr>
          <w:p w14:paraId="3262D965" w14:textId="77777777" w:rsidR="00DE3EE8" w:rsidRPr="002B7E6B" w:rsidRDefault="00DE3EE8" w:rsidP="005A5ABD">
            <w:pPr>
              <w:rPr>
                <w:sz w:val="22"/>
                <w:szCs w:val="22"/>
              </w:rPr>
            </w:pPr>
            <w:r w:rsidRPr="002B7E6B">
              <w:rPr>
                <w:sz w:val="22"/>
                <w:szCs w:val="22"/>
              </w:rPr>
              <w:t xml:space="preserve"> </w:t>
            </w:r>
          </w:p>
        </w:tc>
        <w:tc>
          <w:tcPr>
            <w:tcW w:w="965" w:type="dxa"/>
            <w:tcBorders>
              <w:top w:val="nil"/>
              <w:left w:val="nil"/>
              <w:bottom w:val="single" w:sz="7" w:space="0" w:color="000000"/>
              <w:right w:val="nil"/>
            </w:tcBorders>
            <w:tcMar>
              <w:top w:w="100" w:type="dxa"/>
              <w:left w:w="100" w:type="dxa"/>
              <w:bottom w:w="100" w:type="dxa"/>
              <w:right w:w="100" w:type="dxa"/>
            </w:tcMar>
            <w:vAlign w:val="bottom"/>
          </w:tcPr>
          <w:p w14:paraId="153AC8C4" w14:textId="77777777" w:rsidR="00DE3EE8" w:rsidRPr="002B7E6B" w:rsidRDefault="00DE3EE8" w:rsidP="005A5ABD">
            <w:pPr>
              <w:rPr>
                <w:sz w:val="22"/>
                <w:szCs w:val="22"/>
              </w:rPr>
            </w:pPr>
            <w:r w:rsidRPr="002B7E6B">
              <w:rPr>
                <w:sz w:val="22"/>
                <w:szCs w:val="22"/>
              </w:rPr>
              <w:t>313</w:t>
            </w:r>
          </w:p>
        </w:tc>
        <w:tc>
          <w:tcPr>
            <w:tcW w:w="952" w:type="dxa"/>
            <w:tcBorders>
              <w:top w:val="nil"/>
              <w:left w:val="nil"/>
              <w:bottom w:val="single" w:sz="7" w:space="0" w:color="000000"/>
              <w:right w:val="nil"/>
            </w:tcBorders>
            <w:tcMar>
              <w:top w:w="100" w:type="dxa"/>
              <w:left w:w="100" w:type="dxa"/>
              <w:bottom w:w="100" w:type="dxa"/>
              <w:right w:w="100" w:type="dxa"/>
            </w:tcMar>
            <w:vAlign w:val="bottom"/>
          </w:tcPr>
          <w:p w14:paraId="0B34CF36" w14:textId="77777777" w:rsidR="00DE3EE8" w:rsidRPr="002B7E6B" w:rsidRDefault="00DE3EE8" w:rsidP="005A5ABD">
            <w:pPr>
              <w:rPr>
                <w:sz w:val="22"/>
                <w:szCs w:val="22"/>
              </w:rPr>
            </w:pPr>
            <w:r w:rsidRPr="002B7E6B">
              <w:rPr>
                <w:sz w:val="22"/>
                <w:szCs w:val="22"/>
              </w:rPr>
              <w:t>313</w:t>
            </w:r>
          </w:p>
        </w:tc>
        <w:tc>
          <w:tcPr>
            <w:tcW w:w="1031" w:type="dxa"/>
            <w:tcBorders>
              <w:top w:val="nil"/>
              <w:left w:val="nil"/>
              <w:bottom w:val="single" w:sz="7" w:space="0" w:color="000000"/>
              <w:right w:val="nil"/>
            </w:tcBorders>
            <w:tcMar>
              <w:top w:w="100" w:type="dxa"/>
              <w:left w:w="100" w:type="dxa"/>
              <w:bottom w:w="100" w:type="dxa"/>
              <w:right w:w="100" w:type="dxa"/>
            </w:tcMar>
            <w:vAlign w:val="bottom"/>
          </w:tcPr>
          <w:p w14:paraId="03FE1374" w14:textId="77777777" w:rsidR="00DE3EE8" w:rsidRPr="002B7E6B" w:rsidRDefault="00DE3EE8" w:rsidP="005A5ABD">
            <w:pPr>
              <w:rPr>
                <w:sz w:val="22"/>
                <w:szCs w:val="22"/>
              </w:rPr>
            </w:pPr>
            <w:r w:rsidRPr="002B7E6B">
              <w:rPr>
                <w:sz w:val="22"/>
                <w:szCs w:val="22"/>
              </w:rPr>
              <w:t>196</w:t>
            </w:r>
          </w:p>
        </w:tc>
      </w:tr>
      <w:tr w:rsidR="00DE3EE8" w:rsidRPr="002B7E6B" w14:paraId="0D491DAC" w14:textId="77777777" w:rsidTr="005A5ABD">
        <w:trPr>
          <w:trHeight w:val="485"/>
        </w:trPr>
        <w:tc>
          <w:tcPr>
            <w:tcW w:w="2328" w:type="dxa"/>
            <w:tcBorders>
              <w:top w:val="nil"/>
              <w:left w:val="nil"/>
              <w:bottom w:val="nil"/>
              <w:right w:val="nil"/>
            </w:tcBorders>
            <w:tcMar>
              <w:top w:w="100" w:type="dxa"/>
              <w:left w:w="100" w:type="dxa"/>
              <w:bottom w:w="100" w:type="dxa"/>
              <w:right w:w="100" w:type="dxa"/>
            </w:tcMar>
            <w:vAlign w:val="bottom"/>
          </w:tcPr>
          <w:p w14:paraId="4D24A88E" w14:textId="77777777" w:rsidR="00DE3EE8" w:rsidRPr="002B7E6B" w:rsidRDefault="00DE3EE8" w:rsidP="005A5ABD">
            <w:pPr>
              <w:rPr>
                <w:sz w:val="22"/>
                <w:szCs w:val="22"/>
              </w:rPr>
            </w:pPr>
            <w:r w:rsidRPr="002B7E6B">
              <w:rPr>
                <w:sz w:val="22"/>
                <w:szCs w:val="22"/>
              </w:rPr>
              <w:t>Eastern AI/</w:t>
            </w:r>
          </w:p>
        </w:tc>
        <w:tc>
          <w:tcPr>
            <w:tcW w:w="1309" w:type="dxa"/>
            <w:tcBorders>
              <w:top w:val="nil"/>
              <w:left w:val="nil"/>
              <w:bottom w:val="nil"/>
              <w:right w:val="nil"/>
            </w:tcBorders>
            <w:tcMar>
              <w:top w:w="100" w:type="dxa"/>
              <w:left w:w="100" w:type="dxa"/>
              <w:bottom w:w="100" w:type="dxa"/>
              <w:right w:w="100" w:type="dxa"/>
            </w:tcMar>
            <w:vAlign w:val="bottom"/>
          </w:tcPr>
          <w:p w14:paraId="12633BDC" w14:textId="77777777" w:rsidR="00DE3EE8" w:rsidRPr="002B7E6B" w:rsidRDefault="00DE3EE8" w:rsidP="005A5ABD">
            <w:pPr>
              <w:rPr>
                <w:sz w:val="22"/>
                <w:szCs w:val="22"/>
              </w:rPr>
            </w:pPr>
            <w:r w:rsidRPr="002B7E6B">
              <w:rPr>
                <w:sz w:val="22"/>
                <w:szCs w:val="22"/>
              </w:rPr>
              <w:t>2022</w:t>
            </w:r>
          </w:p>
        </w:tc>
        <w:tc>
          <w:tcPr>
            <w:tcW w:w="2116" w:type="dxa"/>
            <w:tcBorders>
              <w:top w:val="nil"/>
              <w:left w:val="nil"/>
              <w:bottom w:val="nil"/>
              <w:right w:val="nil"/>
            </w:tcBorders>
            <w:tcMar>
              <w:top w:w="100" w:type="dxa"/>
              <w:left w:w="100" w:type="dxa"/>
              <w:bottom w:w="100" w:type="dxa"/>
              <w:right w:w="100" w:type="dxa"/>
            </w:tcMar>
            <w:vAlign w:val="bottom"/>
          </w:tcPr>
          <w:p w14:paraId="03FC2C76" w14:textId="77777777" w:rsidR="00DE3EE8" w:rsidRPr="002B7E6B" w:rsidRDefault="00DE3EE8" w:rsidP="005A5ABD">
            <w:pPr>
              <w:rPr>
                <w:sz w:val="22"/>
                <w:szCs w:val="22"/>
              </w:rPr>
            </w:pPr>
          </w:p>
        </w:tc>
        <w:tc>
          <w:tcPr>
            <w:tcW w:w="925" w:type="dxa"/>
            <w:tcBorders>
              <w:top w:val="nil"/>
              <w:left w:val="nil"/>
              <w:bottom w:val="nil"/>
              <w:right w:val="nil"/>
            </w:tcBorders>
            <w:tcMar>
              <w:top w:w="100" w:type="dxa"/>
              <w:left w:w="100" w:type="dxa"/>
              <w:bottom w:w="100" w:type="dxa"/>
              <w:right w:w="100" w:type="dxa"/>
            </w:tcMar>
            <w:vAlign w:val="bottom"/>
          </w:tcPr>
          <w:p w14:paraId="7C424D8E" w14:textId="77777777" w:rsidR="00DE3EE8" w:rsidRPr="002B7E6B" w:rsidRDefault="00DE3EE8" w:rsidP="005A5ABD">
            <w:pPr>
              <w:pBdr>
                <w:top w:val="nil"/>
                <w:left w:val="nil"/>
                <w:bottom w:val="nil"/>
                <w:right w:val="nil"/>
                <w:between w:val="nil"/>
              </w:pBdr>
              <w:rPr>
                <w:sz w:val="22"/>
                <w:szCs w:val="22"/>
              </w:rPr>
            </w:pPr>
          </w:p>
        </w:tc>
        <w:tc>
          <w:tcPr>
            <w:tcW w:w="965" w:type="dxa"/>
            <w:tcBorders>
              <w:top w:val="nil"/>
              <w:left w:val="nil"/>
              <w:bottom w:val="nil"/>
              <w:right w:val="nil"/>
            </w:tcBorders>
            <w:tcMar>
              <w:top w:w="100" w:type="dxa"/>
              <w:left w:w="100" w:type="dxa"/>
              <w:bottom w:w="100" w:type="dxa"/>
              <w:right w:w="100" w:type="dxa"/>
            </w:tcMar>
            <w:vAlign w:val="bottom"/>
          </w:tcPr>
          <w:p w14:paraId="16A6449D" w14:textId="77777777" w:rsidR="00DE3EE8" w:rsidRPr="002B7E6B" w:rsidRDefault="00DE3EE8" w:rsidP="005A5ABD">
            <w:pPr>
              <w:rPr>
                <w:sz w:val="22"/>
                <w:szCs w:val="22"/>
              </w:rPr>
            </w:pPr>
            <w:r w:rsidRPr="002B7E6B">
              <w:rPr>
                <w:sz w:val="22"/>
                <w:szCs w:val="22"/>
              </w:rPr>
              <w:t>326</w:t>
            </w:r>
          </w:p>
        </w:tc>
        <w:tc>
          <w:tcPr>
            <w:tcW w:w="952" w:type="dxa"/>
            <w:tcBorders>
              <w:top w:val="nil"/>
              <w:left w:val="nil"/>
              <w:bottom w:val="nil"/>
              <w:right w:val="nil"/>
            </w:tcBorders>
            <w:tcMar>
              <w:top w:w="100" w:type="dxa"/>
              <w:left w:w="100" w:type="dxa"/>
              <w:bottom w:w="100" w:type="dxa"/>
              <w:right w:w="100" w:type="dxa"/>
            </w:tcMar>
            <w:vAlign w:val="bottom"/>
          </w:tcPr>
          <w:p w14:paraId="03A2F09D" w14:textId="77777777" w:rsidR="00DE3EE8" w:rsidRPr="002B7E6B" w:rsidRDefault="00DE3EE8" w:rsidP="005A5ABD">
            <w:pPr>
              <w:rPr>
                <w:sz w:val="22"/>
                <w:szCs w:val="22"/>
              </w:rPr>
            </w:pPr>
            <w:r w:rsidRPr="002B7E6B">
              <w:rPr>
                <w:sz w:val="22"/>
                <w:szCs w:val="22"/>
              </w:rPr>
              <w:t>326</w:t>
            </w:r>
          </w:p>
        </w:tc>
        <w:tc>
          <w:tcPr>
            <w:tcW w:w="1031" w:type="dxa"/>
            <w:tcBorders>
              <w:top w:val="nil"/>
              <w:left w:val="nil"/>
              <w:bottom w:val="nil"/>
              <w:right w:val="nil"/>
            </w:tcBorders>
            <w:tcMar>
              <w:top w:w="100" w:type="dxa"/>
              <w:left w:w="100" w:type="dxa"/>
              <w:bottom w:w="100" w:type="dxa"/>
              <w:right w:w="100" w:type="dxa"/>
            </w:tcMar>
            <w:vAlign w:val="bottom"/>
          </w:tcPr>
          <w:p w14:paraId="1CF565A5" w14:textId="77777777" w:rsidR="00DE3EE8" w:rsidRPr="002B7E6B" w:rsidRDefault="00DE3EE8" w:rsidP="005A5ABD">
            <w:pPr>
              <w:rPr>
                <w:sz w:val="22"/>
                <w:szCs w:val="22"/>
              </w:rPr>
            </w:pPr>
            <w:r w:rsidRPr="002B7E6B">
              <w:rPr>
                <w:sz w:val="22"/>
                <w:szCs w:val="22"/>
              </w:rPr>
              <w:t>137</w:t>
            </w:r>
          </w:p>
        </w:tc>
      </w:tr>
      <w:tr w:rsidR="00DE3EE8" w:rsidRPr="002B7E6B" w14:paraId="0F4333BE" w14:textId="77777777" w:rsidTr="005A5ABD">
        <w:trPr>
          <w:trHeight w:val="485"/>
        </w:trPr>
        <w:tc>
          <w:tcPr>
            <w:tcW w:w="2328" w:type="dxa"/>
            <w:tcBorders>
              <w:top w:val="nil"/>
              <w:left w:val="nil"/>
              <w:bottom w:val="nil"/>
              <w:right w:val="nil"/>
            </w:tcBorders>
            <w:tcMar>
              <w:top w:w="100" w:type="dxa"/>
              <w:left w:w="100" w:type="dxa"/>
              <w:bottom w:w="100" w:type="dxa"/>
              <w:right w:w="100" w:type="dxa"/>
            </w:tcMar>
            <w:vAlign w:val="bottom"/>
          </w:tcPr>
          <w:p w14:paraId="490401D6" w14:textId="77777777" w:rsidR="00DE3EE8" w:rsidRPr="002B7E6B" w:rsidRDefault="00DE3EE8" w:rsidP="005A5ABD">
            <w:pPr>
              <w:rPr>
                <w:sz w:val="22"/>
                <w:szCs w:val="22"/>
              </w:rPr>
            </w:pPr>
            <w:r w:rsidRPr="002B7E6B">
              <w:rPr>
                <w:sz w:val="22"/>
                <w:szCs w:val="22"/>
              </w:rPr>
              <w:t>Eastern Bering Sea</w:t>
            </w:r>
          </w:p>
        </w:tc>
        <w:tc>
          <w:tcPr>
            <w:tcW w:w="1309" w:type="dxa"/>
            <w:tcBorders>
              <w:top w:val="nil"/>
              <w:left w:val="nil"/>
              <w:bottom w:val="nil"/>
              <w:right w:val="nil"/>
            </w:tcBorders>
            <w:tcMar>
              <w:top w:w="100" w:type="dxa"/>
              <w:left w:w="100" w:type="dxa"/>
              <w:bottom w:w="100" w:type="dxa"/>
              <w:right w:w="100" w:type="dxa"/>
            </w:tcMar>
            <w:vAlign w:val="bottom"/>
          </w:tcPr>
          <w:p w14:paraId="39C74AFB" w14:textId="77777777" w:rsidR="00DE3EE8" w:rsidRPr="002B7E6B" w:rsidRDefault="00DE3EE8" w:rsidP="005A5ABD">
            <w:pPr>
              <w:rPr>
                <w:sz w:val="22"/>
                <w:szCs w:val="22"/>
              </w:rPr>
            </w:pPr>
            <w:r w:rsidRPr="002B7E6B">
              <w:rPr>
                <w:sz w:val="22"/>
                <w:szCs w:val="22"/>
              </w:rPr>
              <w:t>2023</w:t>
            </w:r>
          </w:p>
        </w:tc>
        <w:tc>
          <w:tcPr>
            <w:tcW w:w="2116" w:type="dxa"/>
            <w:tcBorders>
              <w:top w:val="nil"/>
              <w:left w:val="nil"/>
              <w:bottom w:val="nil"/>
              <w:right w:val="nil"/>
            </w:tcBorders>
            <w:tcMar>
              <w:top w:w="100" w:type="dxa"/>
              <w:left w:w="100" w:type="dxa"/>
              <w:bottom w:w="100" w:type="dxa"/>
              <w:right w:w="100" w:type="dxa"/>
            </w:tcMar>
            <w:vAlign w:val="bottom"/>
          </w:tcPr>
          <w:p w14:paraId="2D9449AA" w14:textId="77777777" w:rsidR="00DE3EE8" w:rsidRPr="002B7E6B" w:rsidRDefault="00DE3EE8" w:rsidP="005A5ABD">
            <w:pPr>
              <w:rPr>
                <w:sz w:val="22"/>
                <w:szCs w:val="22"/>
              </w:rPr>
            </w:pPr>
          </w:p>
        </w:tc>
        <w:tc>
          <w:tcPr>
            <w:tcW w:w="925" w:type="dxa"/>
            <w:tcBorders>
              <w:top w:val="nil"/>
              <w:left w:val="nil"/>
              <w:bottom w:val="nil"/>
              <w:right w:val="nil"/>
            </w:tcBorders>
            <w:tcMar>
              <w:top w:w="100" w:type="dxa"/>
              <w:left w:w="100" w:type="dxa"/>
              <w:bottom w:w="100" w:type="dxa"/>
              <w:right w:w="100" w:type="dxa"/>
            </w:tcMar>
            <w:vAlign w:val="bottom"/>
          </w:tcPr>
          <w:p w14:paraId="2CDAC75D" w14:textId="77777777" w:rsidR="00DE3EE8" w:rsidRPr="002B7E6B" w:rsidRDefault="00DE3EE8" w:rsidP="005A5ABD">
            <w:pPr>
              <w:pBdr>
                <w:top w:val="nil"/>
                <w:left w:val="nil"/>
                <w:bottom w:val="nil"/>
                <w:right w:val="nil"/>
                <w:between w:val="nil"/>
              </w:pBdr>
              <w:rPr>
                <w:sz w:val="22"/>
                <w:szCs w:val="22"/>
              </w:rPr>
            </w:pPr>
          </w:p>
        </w:tc>
        <w:tc>
          <w:tcPr>
            <w:tcW w:w="965" w:type="dxa"/>
            <w:tcBorders>
              <w:top w:val="nil"/>
              <w:left w:val="nil"/>
              <w:bottom w:val="nil"/>
              <w:right w:val="nil"/>
            </w:tcBorders>
            <w:tcMar>
              <w:top w:w="100" w:type="dxa"/>
              <w:left w:w="100" w:type="dxa"/>
              <w:bottom w:w="100" w:type="dxa"/>
              <w:right w:w="100" w:type="dxa"/>
            </w:tcMar>
            <w:vAlign w:val="bottom"/>
          </w:tcPr>
          <w:p w14:paraId="601F14FF" w14:textId="77777777" w:rsidR="00DE3EE8" w:rsidRPr="002B7E6B" w:rsidRDefault="00DE3EE8" w:rsidP="005A5ABD">
            <w:pPr>
              <w:rPr>
                <w:sz w:val="22"/>
                <w:szCs w:val="22"/>
              </w:rPr>
            </w:pPr>
            <w:r w:rsidRPr="002B7E6B">
              <w:rPr>
                <w:sz w:val="22"/>
                <w:szCs w:val="22"/>
              </w:rPr>
              <w:t>359</w:t>
            </w:r>
          </w:p>
        </w:tc>
        <w:tc>
          <w:tcPr>
            <w:tcW w:w="952" w:type="dxa"/>
            <w:tcBorders>
              <w:top w:val="nil"/>
              <w:left w:val="nil"/>
              <w:bottom w:val="nil"/>
              <w:right w:val="nil"/>
            </w:tcBorders>
            <w:tcMar>
              <w:top w:w="100" w:type="dxa"/>
              <w:left w:w="100" w:type="dxa"/>
              <w:bottom w:w="100" w:type="dxa"/>
              <w:right w:w="100" w:type="dxa"/>
            </w:tcMar>
            <w:vAlign w:val="bottom"/>
          </w:tcPr>
          <w:p w14:paraId="23756F27" w14:textId="77777777" w:rsidR="00DE3EE8" w:rsidRPr="002B7E6B" w:rsidRDefault="00DE3EE8" w:rsidP="005A5ABD">
            <w:pPr>
              <w:rPr>
                <w:sz w:val="22"/>
                <w:szCs w:val="22"/>
              </w:rPr>
            </w:pPr>
            <w:r w:rsidRPr="002B7E6B">
              <w:rPr>
                <w:sz w:val="22"/>
                <w:szCs w:val="22"/>
              </w:rPr>
              <w:t>n/a</w:t>
            </w:r>
          </w:p>
        </w:tc>
        <w:tc>
          <w:tcPr>
            <w:tcW w:w="1031" w:type="dxa"/>
            <w:tcBorders>
              <w:top w:val="nil"/>
              <w:left w:val="nil"/>
              <w:bottom w:val="nil"/>
              <w:right w:val="nil"/>
            </w:tcBorders>
            <w:tcMar>
              <w:top w:w="100" w:type="dxa"/>
              <w:left w:w="100" w:type="dxa"/>
              <w:bottom w:w="100" w:type="dxa"/>
              <w:right w:w="100" w:type="dxa"/>
            </w:tcMar>
            <w:vAlign w:val="bottom"/>
          </w:tcPr>
          <w:p w14:paraId="6B35EFF3" w14:textId="77777777" w:rsidR="00DE3EE8" w:rsidRPr="002B7E6B" w:rsidRDefault="00DE3EE8" w:rsidP="005A5ABD">
            <w:pPr>
              <w:rPr>
                <w:sz w:val="22"/>
                <w:szCs w:val="22"/>
              </w:rPr>
            </w:pPr>
            <w:r w:rsidRPr="002B7E6B">
              <w:rPr>
                <w:sz w:val="22"/>
                <w:szCs w:val="22"/>
              </w:rPr>
              <w:t>n/a</w:t>
            </w:r>
          </w:p>
        </w:tc>
      </w:tr>
      <w:tr w:rsidR="00DE3EE8" w:rsidRPr="002B7E6B" w14:paraId="73DA31FB" w14:textId="77777777" w:rsidTr="005A5ABD">
        <w:trPr>
          <w:trHeight w:val="485"/>
        </w:trPr>
        <w:tc>
          <w:tcPr>
            <w:tcW w:w="2328" w:type="dxa"/>
            <w:tcBorders>
              <w:top w:val="nil"/>
              <w:left w:val="nil"/>
              <w:bottom w:val="single" w:sz="7" w:space="0" w:color="000000"/>
              <w:right w:val="nil"/>
            </w:tcBorders>
            <w:tcMar>
              <w:top w:w="100" w:type="dxa"/>
              <w:left w:w="100" w:type="dxa"/>
              <w:bottom w:w="100" w:type="dxa"/>
              <w:right w:w="100" w:type="dxa"/>
            </w:tcMar>
            <w:vAlign w:val="bottom"/>
          </w:tcPr>
          <w:p w14:paraId="2024BA3F" w14:textId="77777777" w:rsidR="00DE3EE8" w:rsidRPr="002B7E6B" w:rsidRDefault="00DE3EE8" w:rsidP="005A5ABD">
            <w:pPr>
              <w:rPr>
                <w:sz w:val="22"/>
                <w:szCs w:val="22"/>
              </w:rPr>
            </w:pPr>
            <w:r w:rsidRPr="002B7E6B">
              <w:rPr>
                <w:sz w:val="22"/>
                <w:szCs w:val="22"/>
              </w:rPr>
              <w:t xml:space="preserve"> </w:t>
            </w:r>
          </w:p>
        </w:tc>
        <w:tc>
          <w:tcPr>
            <w:tcW w:w="1309" w:type="dxa"/>
            <w:tcBorders>
              <w:top w:val="nil"/>
              <w:left w:val="nil"/>
              <w:bottom w:val="single" w:sz="7" w:space="0" w:color="000000"/>
              <w:right w:val="nil"/>
            </w:tcBorders>
            <w:tcMar>
              <w:top w:w="100" w:type="dxa"/>
              <w:left w:w="100" w:type="dxa"/>
              <w:bottom w:w="100" w:type="dxa"/>
              <w:right w:w="100" w:type="dxa"/>
            </w:tcMar>
            <w:vAlign w:val="bottom"/>
          </w:tcPr>
          <w:p w14:paraId="3C09BB88" w14:textId="77777777" w:rsidR="00DE3EE8" w:rsidRPr="002B7E6B" w:rsidRDefault="00DE3EE8" w:rsidP="005A5ABD">
            <w:pPr>
              <w:rPr>
                <w:sz w:val="22"/>
                <w:szCs w:val="22"/>
              </w:rPr>
            </w:pPr>
            <w:r w:rsidRPr="002B7E6B">
              <w:rPr>
                <w:sz w:val="22"/>
                <w:szCs w:val="22"/>
              </w:rPr>
              <w:t>2024</w:t>
            </w:r>
          </w:p>
        </w:tc>
        <w:tc>
          <w:tcPr>
            <w:tcW w:w="2116" w:type="dxa"/>
            <w:tcBorders>
              <w:top w:val="nil"/>
              <w:left w:val="nil"/>
              <w:bottom w:val="single" w:sz="7" w:space="0" w:color="000000"/>
              <w:right w:val="nil"/>
            </w:tcBorders>
            <w:tcMar>
              <w:top w:w="100" w:type="dxa"/>
              <w:left w:w="100" w:type="dxa"/>
              <w:bottom w:w="100" w:type="dxa"/>
              <w:right w:w="100" w:type="dxa"/>
            </w:tcMar>
            <w:vAlign w:val="bottom"/>
          </w:tcPr>
          <w:p w14:paraId="5C6C3688" w14:textId="77777777" w:rsidR="00DE3EE8" w:rsidRPr="002B7E6B" w:rsidRDefault="00DE3EE8" w:rsidP="005A5ABD">
            <w:pPr>
              <w:rPr>
                <w:sz w:val="22"/>
                <w:szCs w:val="22"/>
              </w:rPr>
            </w:pPr>
            <w:r w:rsidRPr="002B7E6B">
              <w:rPr>
                <w:sz w:val="22"/>
                <w:szCs w:val="22"/>
              </w:rPr>
              <w:t xml:space="preserve"> </w:t>
            </w:r>
          </w:p>
        </w:tc>
        <w:tc>
          <w:tcPr>
            <w:tcW w:w="925" w:type="dxa"/>
            <w:tcBorders>
              <w:top w:val="nil"/>
              <w:left w:val="nil"/>
              <w:bottom w:val="single" w:sz="7" w:space="0" w:color="000000"/>
              <w:right w:val="nil"/>
            </w:tcBorders>
            <w:tcMar>
              <w:top w:w="100" w:type="dxa"/>
              <w:left w:w="100" w:type="dxa"/>
              <w:bottom w:w="100" w:type="dxa"/>
              <w:right w:w="100" w:type="dxa"/>
            </w:tcMar>
            <w:vAlign w:val="bottom"/>
          </w:tcPr>
          <w:p w14:paraId="3E74EF59" w14:textId="77777777" w:rsidR="00DE3EE8" w:rsidRPr="002B7E6B" w:rsidRDefault="00DE3EE8" w:rsidP="005A5ABD">
            <w:pPr>
              <w:rPr>
                <w:sz w:val="22"/>
                <w:szCs w:val="22"/>
              </w:rPr>
            </w:pPr>
            <w:r w:rsidRPr="002B7E6B">
              <w:rPr>
                <w:sz w:val="22"/>
                <w:szCs w:val="22"/>
              </w:rPr>
              <w:t xml:space="preserve"> </w:t>
            </w:r>
          </w:p>
        </w:tc>
        <w:tc>
          <w:tcPr>
            <w:tcW w:w="965" w:type="dxa"/>
            <w:tcBorders>
              <w:top w:val="nil"/>
              <w:left w:val="nil"/>
              <w:bottom w:val="single" w:sz="7" w:space="0" w:color="000000"/>
              <w:right w:val="nil"/>
            </w:tcBorders>
            <w:tcMar>
              <w:top w:w="100" w:type="dxa"/>
              <w:left w:w="100" w:type="dxa"/>
              <w:bottom w:w="100" w:type="dxa"/>
              <w:right w:w="100" w:type="dxa"/>
            </w:tcMar>
            <w:vAlign w:val="bottom"/>
          </w:tcPr>
          <w:p w14:paraId="270F1169" w14:textId="77777777" w:rsidR="00DE3EE8" w:rsidRPr="002B7E6B" w:rsidRDefault="00DE3EE8" w:rsidP="005A5ABD">
            <w:pPr>
              <w:rPr>
                <w:sz w:val="22"/>
                <w:szCs w:val="22"/>
              </w:rPr>
            </w:pPr>
            <w:r w:rsidRPr="002B7E6B">
              <w:rPr>
                <w:sz w:val="22"/>
                <w:szCs w:val="22"/>
              </w:rPr>
              <w:t>388</w:t>
            </w:r>
          </w:p>
        </w:tc>
        <w:tc>
          <w:tcPr>
            <w:tcW w:w="952" w:type="dxa"/>
            <w:tcBorders>
              <w:top w:val="nil"/>
              <w:left w:val="nil"/>
              <w:bottom w:val="single" w:sz="7" w:space="0" w:color="000000"/>
              <w:right w:val="nil"/>
            </w:tcBorders>
            <w:tcMar>
              <w:top w:w="100" w:type="dxa"/>
              <w:left w:w="100" w:type="dxa"/>
              <w:bottom w:w="100" w:type="dxa"/>
              <w:right w:w="100" w:type="dxa"/>
            </w:tcMar>
            <w:vAlign w:val="bottom"/>
          </w:tcPr>
          <w:p w14:paraId="081BA817" w14:textId="77777777" w:rsidR="00DE3EE8" w:rsidRPr="002B7E6B" w:rsidRDefault="00DE3EE8" w:rsidP="005A5ABD">
            <w:pPr>
              <w:rPr>
                <w:sz w:val="22"/>
                <w:szCs w:val="22"/>
              </w:rPr>
            </w:pPr>
            <w:r w:rsidRPr="002B7E6B">
              <w:rPr>
                <w:sz w:val="22"/>
                <w:szCs w:val="22"/>
              </w:rPr>
              <w:t>n/a</w:t>
            </w:r>
          </w:p>
        </w:tc>
        <w:tc>
          <w:tcPr>
            <w:tcW w:w="1031" w:type="dxa"/>
            <w:tcBorders>
              <w:top w:val="nil"/>
              <w:left w:val="nil"/>
              <w:bottom w:val="single" w:sz="7" w:space="0" w:color="000000"/>
              <w:right w:val="nil"/>
            </w:tcBorders>
            <w:tcMar>
              <w:top w:w="100" w:type="dxa"/>
              <w:left w:w="100" w:type="dxa"/>
              <w:bottom w:w="100" w:type="dxa"/>
              <w:right w:w="100" w:type="dxa"/>
            </w:tcMar>
            <w:vAlign w:val="bottom"/>
          </w:tcPr>
          <w:p w14:paraId="280C1DA6" w14:textId="77777777" w:rsidR="00DE3EE8" w:rsidRPr="002B7E6B" w:rsidRDefault="00DE3EE8" w:rsidP="005A5ABD">
            <w:pPr>
              <w:rPr>
                <w:sz w:val="22"/>
                <w:szCs w:val="22"/>
              </w:rPr>
            </w:pPr>
            <w:r w:rsidRPr="002B7E6B">
              <w:rPr>
                <w:sz w:val="22"/>
                <w:szCs w:val="22"/>
              </w:rPr>
              <w:t>n/a</w:t>
            </w:r>
          </w:p>
        </w:tc>
      </w:tr>
    </w:tbl>
    <w:p w14:paraId="14BC71BB" w14:textId="77777777" w:rsidR="00DE3EE8" w:rsidRPr="002B7E6B" w:rsidRDefault="00DE3EE8" w:rsidP="00DE3EE8">
      <w:pPr>
        <w:rPr>
          <w:sz w:val="22"/>
          <w:szCs w:val="22"/>
        </w:rPr>
      </w:pPr>
    </w:p>
    <w:p w14:paraId="1C63DD0A" w14:textId="77777777" w:rsidR="00DE3EE8" w:rsidRPr="002B7E6B" w:rsidRDefault="00DE3EE8" w:rsidP="00DE3EE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sz w:val="22"/>
          <w:szCs w:val="22"/>
        </w:rPr>
      </w:pPr>
      <w:r w:rsidRPr="002B7E6B">
        <w:rPr>
          <w:sz w:val="22"/>
          <w:szCs w:val="22"/>
        </w:rPr>
        <w:t>For further information, contact Paul Spencer (paul.spencer@noaa.gov)</w:t>
      </w:r>
    </w:p>
    <w:p w14:paraId="3E2394C3" w14:textId="77777777" w:rsidR="00DE3EE8" w:rsidRPr="002B7E6B" w:rsidRDefault="00DE3EE8" w:rsidP="00DE3EE8">
      <w:pPr>
        <w:rPr>
          <w:sz w:val="22"/>
          <w:szCs w:val="22"/>
        </w:rPr>
      </w:pPr>
    </w:p>
    <w:p w14:paraId="2FB3C0E3" w14:textId="5A4404C5" w:rsidR="00DE3EE8" w:rsidRPr="008F75DB" w:rsidRDefault="00DE3EE8" w:rsidP="008F75DB">
      <w:pPr>
        <w:pStyle w:val="Heading5"/>
      </w:pPr>
      <w:bookmarkStart w:id="114" w:name="_Toc131503859"/>
      <w:r w:rsidRPr="008F75DB">
        <w:t>Blackspotted/rougheye Rockfish Complex – Gulf of Alaska</w:t>
      </w:r>
      <w:r w:rsidR="0024271A">
        <w:t xml:space="preserve"> – </w:t>
      </w:r>
      <w:r w:rsidRPr="008F75DB">
        <w:t>ABL</w:t>
      </w:r>
      <w:bookmarkEnd w:id="114"/>
    </w:p>
    <w:p w14:paraId="1DFB9B02" w14:textId="77777777" w:rsidR="00DE3EE8" w:rsidRPr="002B7E6B" w:rsidRDefault="00DE3EE8" w:rsidP="00DE3EE8">
      <w:pPr>
        <w:rPr>
          <w:sz w:val="22"/>
          <w:szCs w:val="22"/>
        </w:rPr>
      </w:pPr>
    </w:p>
    <w:p w14:paraId="58766DB2" w14:textId="77777777" w:rsidR="00DE3EE8" w:rsidRPr="002B7E6B" w:rsidRDefault="00DE3EE8" w:rsidP="00DE3EE8">
      <w:pPr>
        <w:widowControl/>
        <w:rPr>
          <w:sz w:val="22"/>
          <w:szCs w:val="22"/>
        </w:rPr>
      </w:pPr>
      <w:r w:rsidRPr="002B7E6B">
        <w:rPr>
          <w:sz w:val="22"/>
          <w:szCs w:val="22"/>
        </w:rPr>
        <w:t>Rougheye (</w:t>
      </w:r>
      <w:r w:rsidRPr="002B7E6B">
        <w:rPr>
          <w:i/>
          <w:sz w:val="22"/>
          <w:szCs w:val="22"/>
        </w:rPr>
        <w:t>Sebastes aleutianu</w:t>
      </w:r>
      <w:r w:rsidRPr="002B7E6B">
        <w:rPr>
          <w:sz w:val="22"/>
          <w:szCs w:val="22"/>
        </w:rPr>
        <w:t>s) and blackspotted rockfish (</w:t>
      </w:r>
      <w:r w:rsidRPr="002B7E6B">
        <w:rPr>
          <w:i/>
          <w:sz w:val="22"/>
          <w:szCs w:val="22"/>
        </w:rPr>
        <w:t>S. melanostictus</w:t>
      </w:r>
      <w:r w:rsidRPr="002B7E6B">
        <w:rPr>
          <w:sz w:val="22"/>
          <w:szCs w:val="22"/>
        </w:rPr>
        <w:t xml:space="preserve">) </w:t>
      </w:r>
      <w:proofErr w:type="gramStart"/>
      <w:r w:rsidRPr="002B7E6B">
        <w:rPr>
          <w:sz w:val="22"/>
          <w:szCs w:val="22"/>
        </w:rPr>
        <w:t>have been assessed</w:t>
      </w:r>
      <w:proofErr w:type="gramEnd"/>
      <w:r w:rsidRPr="002B7E6B">
        <w:rPr>
          <w:sz w:val="22"/>
          <w:szCs w:val="22"/>
        </w:rPr>
        <w:t xml:space="preserve"> as a stock complex since the formal verification of the two species in 2008. The rougheye and blackspotted rockfish (RE/BS) </w:t>
      </w:r>
      <w:proofErr w:type="gramStart"/>
      <w:r w:rsidRPr="002B7E6B">
        <w:rPr>
          <w:sz w:val="22"/>
          <w:szCs w:val="22"/>
        </w:rPr>
        <w:t>are caught</w:t>
      </w:r>
      <w:proofErr w:type="gramEnd"/>
      <w:r w:rsidRPr="002B7E6B">
        <w:rPr>
          <w:sz w:val="22"/>
          <w:szCs w:val="22"/>
        </w:rPr>
        <w:t xml:space="preserve"> primarily in trawl and longline fisheries and has been a bycatch only fishery since 1991. The GOA RE/BS complex </w:t>
      </w:r>
      <w:proofErr w:type="gramStart"/>
      <w:r w:rsidRPr="002B7E6B">
        <w:rPr>
          <w:sz w:val="22"/>
          <w:szCs w:val="22"/>
        </w:rPr>
        <w:t>is fully assessed</w:t>
      </w:r>
      <w:proofErr w:type="gramEnd"/>
      <w:r w:rsidRPr="002B7E6B">
        <w:rPr>
          <w:sz w:val="22"/>
          <w:szCs w:val="22"/>
        </w:rPr>
        <w:t xml:space="preserve"> as a Tier 3 stock in odd years to correspond with the GOA bottom trawl survey. This assessment consists of a population model, which uses survey and fishery data to generate a historical time series of biomass trajectories, and a projection model, which uses results from the population model to predict future population estimates and recommended harvest levels. For 2022, which was an off-cycle year, we updated the projection model with new catch information and based projections on the full assessment base model from 2021. </w:t>
      </w:r>
    </w:p>
    <w:p w14:paraId="525B3AED" w14:textId="77777777" w:rsidR="00DE3EE8" w:rsidRPr="002B7E6B" w:rsidRDefault="00DE3EE8" w:rsidP="00DE3EE8">
      <w:pPr>
        <w:widowControl/>
        <w:rPr>
          <w:sz w:val="22"/>
          <w:szCs w:val="22"/>
        </w:rPr>
      </w:pPr>
    </w:p>
    <w:p w14:paraId="10F07A34" w14:textId="77777777" w:rsidR="00DE3EE8" w:rsidRPr="002B7E6B" w:rsidRDefault="00DE3EE8" w:rsidP="00DE3EE8">
      <w:pPr>
        <w:widowControl/>
        <w:rPr>
          <w:sz w:val="22"/>
          <w:szCs w:val="22"/>
        </w:rPr>
      </w:pPr>
      <w:r w:rsidRPr="002B7E6B">
        <w:rPr>
          <w:sz w:val="22"/>
          <w:szCs w:val="22"/>
        </w:rPr>
        <w:t xml:space="preserve">For the 2023 fishery, we recommend the maximum allowable ABC of 775 t from the updated projection model. This ABC is slightly less than the 2022 ABC of 788 t and nearly identical to last year’s projected 2023 ABC of 781 t. Female spawning biomass </w:t>
      </w:r>
      <w:proofErr w:type="gramStart"/>
      <w:r w:rsidRPr="002B7E6B">
        <w:rPr>
          <w:sz w:val="22"/>
          <w:szCs w:val="22"/>
        </w:rPr>
        <w:t>is estimated</w:t>
      </w:r>
      <w:proofErr w:type="gramEnd"/>
      <w:r w:rsidRPr="002B7E6B">
        <w:rPr>
          <w:sz w:val="22"/>
          <w:szCs w:val="22"/>
        </w:rPr>
        <w:t xml:space="preserve"> to be decreasing and is projected to be 8,554 t in 2023 and 8,514 in 2024. These estimates are above the </w:t>
      </w:r>
      <w:proofErr w:type="gramStart"/>
      <w:r w:rsidRPr="002B7E6B">
        <w:rPr>
          <w:sz w:val="22"/>
          <w:szCs w:val="22"/>
        </w:rPr>
        <w:t>B40%</w:t>
      </w:r>
      <w:proofErr w:type="gramEnd"/>
      <w:r w:rsidRPr="002B7E6B">
        <w:rPr>
          <w:sz w:val="22"/>
          <w:szCs w:val="22"/>
        </w:rPr>
        <w:t xml:space="preserve"> reference point of 5,911 t, thereby placing RE/BS in sub-tier “a” of Tier 3. Area apportionments for 2023 are based on the two-survey random effects results from 2021: Western GOA = 180 t, Central GOA = 232 </w:t>
      </w:r>
      <w:proofErr w:type="gramStart"/>
      <w:r w:rsidRPr="002B7E6B">
        <w:rPr>
          <w:sz w:val="22"/>
          <w:szCs w:val="22"/>
        </w:rPr>
        <w:t>t,</w:t>
      </w:r>
      <w:proofErr w:type="gramEnd"/>
      <w:r w:rsidRPr="002B7E6B">
        <w:rPr>
          <w:sz w:val="22"/>
          <w:szCs w:val="22"/>
        </w:rPr>
        <w:t xml:space="preserve"> and Eastern GOA = 363 t. </w:t>
      </w:r>
    </w:p>
    <w:p w14:paraId="748CEA24" w14:textId="77777777" w:rsidR="00DE3EE8" w:rsidRPr="002B7E6B" w:rsidRDefault="00DE3EE8" w:rsidP="00DE3EE8">
      <w:pPr>
        <w:widowControl/>
        <w:rPr>
          <w:sz w:val="22"/>
          <w:szCs w:val="22"/>
        </w:rPr>
      </w:pPr>
    </w:p>
    <w:p w14:paraId="5CFF4B55" w14:textId="77777777" w:rsidR="00DE3EE8" w:rsidRPr="002B7E6B" w:rsidRDefault="00DE3EE8" w:rsidP="00DE3EE8">
      <w:pPr>
        <w:widowControl/>
        <w:rPr>
          <w:sz w:val="22"/>
          <w:szCs w:val="22"/>
        </w:rPr>
      </w:pPr>
      <w:r w:rsidRPr="002B7E6B">
        <w:rPr>
          <w:sz w:val="22"/>
          <w:szCs w:val="22"/>
        </w:rPr>
        <w:t xml:space="preserve">The 2022 stock assessment is available online </w:t>
      </w:r>
      <w:proofErr w:type="gramStart"/>
      <w:r w:rsidRPr="002B7E6B">
        <w:rPr>
          <w:sz w:val="22"/>
          <w:szCs w:val="22"/>
        </w:rPr>
        <w:t>at</w:t>
      </w:r>
      <w:proofErr w:type="gramEnd"/>
      <w:r w:rsidRPr="002B7E6B">
        <w:rPr>
          <w:sz w:val="22"/>
          <w:szCs w:val="22"/>
        </w:rPr>
        <w:t xml:space="preserve">: </w:t>
      </w:r>
    </w:p>
    <w:p w14:paraId="48F9D737" w14:textId="77777777" w:rsidR="00DE3EE8" w:rsidRPr="002B7E6B" w:rsidRDefault="00DE3EE8" w:rsidP="00DE3EE8">
      <w:pPr>
        <w:widowControl/>
        <w:rPr>
          <w:sz w:val="22"/>
          <w:szCs w:val="22"/>
        </w:rPr>
      </w:pPr>
      <w:r w:rsidRPr="002B7E6B">
        <w:rPr>
          <w:sz w:val="22"/>
          <w:szCs w:val="22"/>
        </w:rPr>
        <w:t>https://apps-afsc.fisheries.noaa.gov/Plan_Team/2022/GOArougheye.pdf</w:t>
      </w:r>
    </w:p>
    <w:p w14:paraId="33C242EE" w14:textId="77777777" w:rsidR="00DE3EE8" w:rsidRPr="002B7E6B" w:rsidRDefault="00DE3EE8" w:rsidP="00DE3EE8">
      <w:pPr>
        <w:widowControl/>
        <w:rPr>
          <w:sz w:val="22"/>
          <w:szCs w:val="22"/>
        </w:rPr>
      </w:pPr>
      <w:r w:rsidRPr="002B7E6B">
        <w:rPr>
          <w:sz w:val="22"/>
          <w:szCs w:val="22"/>
        </w:rPr>
        <w:t xml:space="preserve">For more </w:t>
      </w:r>
      <w:proofErr w:type="gramStart"/>
      <w:r w:rsidRPr="002B7E6B">
        <w:rPr>
          <w:sz w:val="22"/>
          <w:szCs w:val="22"/>
        </w:rPr>
        <w:t>information</w:t>
      </w:r>
      <w:proofErr w:type="gramEnd"/>
      <w:r w:rsidRPr="002B7E6B">
        <w:rPr>
          <w:sz w:val="22"/>
          <w:szCs w:val="22"/>
        </w:rPr>
        <w:t xml:space="preserve"> contact Jane Sullivan, ABL, at 907 789-6000 or </w:t>
      </w:r>
      <w:hyperlink r:id="rId69">
        <w:r w:rsidRPr="002B7E6B">
          <w:rPr>
            <w:color w:val="1155CC"/>
            <w:sz w:val="22"/>
            <w:szCs w:val="22"/>
            <w:u w:val="single"/>
          </w:rPr>
          <w:t>jane.sullivan@noaa.gov</w:t>
        </w:r>
      </w:hyperlink>
    </w:p>
    <w:p w14:paraId="3E8E7828" w14:textId="77777777" w:rsidR="00DE3EE8" w:rsidRPr="002B7E6B" w:rsidRDefault="00DE3EE8" w:rsidP="00DE3EE8">
      <w:pPr>
        <w:rPr>
          <w:sz w:val="22"/>
          <w:szCs w:val="22"/>
        </w:rPr>
      </w:pPr>
    </w:p>
    <w:p w14:paraId="7AA46C3F" w14:textId="77777777" w:rsidR="00DE3EE8" w:rsidRPr="002B7E6B" w:rsidRDefault="00DE3EE8" w:rsidP="00DE3EE8">
      <w:pPr>
        <w:rPr>
          <w:sz w:val="22"/>
          <w:szCs w:val="22"/>
        </w:rPr>
      </w:pPr>
    </w:p>
    <w:p w14:paraId="10D9A54D" w14:textId="77777777" w:rsidR="00DE3EE8" w:rsidRPr="002B7E6B" w:rsidRDefault="00DE3EE8" w:rsidP="00DE3EE8">
      <w:pPr>
        <w:pStyle w:val="Heading3"/>
        <w:keepNext w:val="0"/>
        <w:keepLines w:val="0"/>
        <w:numPr>
          <w:ilvl w:val="0"/>
          <w:numId w:val="3"/>
        </w:numPr>
        <w:spacing w:before="0" w:after="0"/>
        <w:ind w:left="360"/>
        <w:rPr>
          <w:rFonts w:cs="Times New Roman"/>
          <w:sz w:val="22"/>
          <w:szCs w:val="22"/>
        </w:rPr>
      </w:pPr>
      <w:bookmarkStart w:id="115" w:name="_Toc131503860"/>
      <w:r w:rsidRPr="002B7E6B">
        <w:rPr>
          <w:rFonts w:cs="Times New Roman"/>
          <w:sz w:val="22"/>
          <w:szCs w:val="22"/>
        </w:rPr>
        <w:t>Thornyheads</w:t>
      </w:r>
      <w:bookmarkEnd w:id="115"/>
      <w:r w:rsidRPr="002B7E6B">
        <w:rPr>
          <w:rFonts w:cs="Times New Roman"/>
          <w:sz w:val="22"/>
          <w:szCs w:val="22"/>
        </w:rPr>
        <w:t xml:space="preserve"> </w:t>
      </w:r>
    </w:p>
    <w:p w14:paraId="08A72A8E" w14:textId="77777777" w:rsidR="00DE3EE8" w:rsidRPr="002B7E6B" w:rsidRDefault="00DE3EE8" w:rsidP="00DE3EE8">
      <w:pPr>
        <w:rPr>
          <w:sz w:val="22"/>
          <w:szCs w:val="22"/>
        </w:rPr>
      </w:pPr>
    </w:p>
    <w:p w14:paraId="10184A2D" w14:textId="4EB4CB72" w:rsidR="00DE3EE8" w:rsidRPr="002B7E6B" w:rsidRDefault="00DE3EE8" w:rsidP="002C1E2B">
      <w:pPr>
        <w:pStyle w:val="Heading4"/>
        <w:numPr>
          <w:ilvl w:val="3"/>
          <w:numId w:val="3"/>
        </w:numPr>
        <w:ind w:left="360"/>
        <w:rPr>
          <w:szCs w:val="22"/>
        </w:rPr>
      </w:pPr>
      <w:bookmarkStart w:id="116" w:name="_Toc131503861"/>
      <w:r w:rsidRPr="002B7E6B">
        <w:rPr>
          <w:szCs w:val="22"/>
        </w:rPr>
        <w:t>Research</w:t>
      </w:r>
      <w:bookmarkEnd w:id="116"/>
      <w:r w:rsidRPr="002B7E6B">
        <w:rPr>
          <w:szCs w:val="22"/>
        </w:rPr>
        <w:t xml:space="preserve"> </w:t>
      </w:r>
    </w:p>
    <w:p w14:paraId="0EE269DB" w14:textId="77777777" w:rsidR="00DE3EE8" w:rsidRPr="002B7E6B" w:rsidRDefault="00DE3EE8" w:rsidP="002C1E2B">
      <w:pPr>
        <w:ind w:left="360"/>
        <w:rPr>
          <w:sz w:val="22"/>
          <w:szCs w:val="22"/>
        </w:rPr>
      </w:pPr>
    </w:p>
    <w:p w14:paraId="1F03B14E" w14:textId="22742833" w:rsidR="00DE3EE8" w:rsidRPr="002B7E6B" w:rsidRDefault="00DE3EE8" w:rsidP="002C1E2B">
      <w:pPr>
        <w:pStyle w:val="Heading4"/>
        <w:numPr>
          <w:ilvl w:val="3"/>
          <w:numId w:val="3"/>
        </w:numPr>
        <w:ind w:left="360"/>
        <w:rPr>
          <w:szCs w:val="22"/>
        </w:rPr>
      </w:pPr>
      <w:bookmarkStart w:id="117" w:name="_Toc131503862"/>
      <w:r w:rsidRPr="002B7E6B">
        <w:rPr>
          <w:szCs w:val="22"/>
        </w:rPr>
        <w:t>Stock Assessment</w:t>
      </w:r>
      <w:bookmarkEnd w:id="117"/>
    </w:p>
    <w:p w14:paraId="6BB5C065" w14:textId="77777777" w:rsidR="00DE3EE8" w:rsidRPr="002B7E6B" w:rsidRDefault="00DE3EE8" w:rsidP="002C1E2B">
      <w:pPr>
        <w:tabs>
          <w:tab w:val="left" w:pos="-1440"/>
        </w:tabs>
        <w:ind w:left="360"/>
        <w:rPr>
          <w:sz w:val="22"/>
          <w:szCs w:val="22"/>
        </w:rPr>
      </w:pPr>
    </w:p>
    <w:p w14:paraId="36A2D256" w14:textId="0E16E92D" w:rsidR="00DE3EE8" w:rsidRPr="008F75DB" w:rsidRDefault="00DE3EE8" w:rsidP="008F75DB">
      <w:pPr>
        <w:pStyle w:val="Heading5"/>
      </w:pPr>
      <w:bookmarkStart w:id="118" w:name="_Toc131503863"/>
      <w:r w:rsidRPr="008F75DB">
        <w:t>Gulf of Alaska</w:t>
      </w:r>
      <w:r w:rsidR="0024271A">
        <w:t xml:space="preserve"> – </w:t>
      </w:r>
      <w:r w:rsidRPr="008F75DB">
        <w:t>ABL</w:t>
      </w:r>
      <w:bookmarkEnd w:id="118"/>
    </w:p>
    <w:p w14:paraId="1F6BF999" w14:textId="77777777" w:rsidR="00DE3EE8" w:rsidRPr="002B7E6B" w:rsidRDefault="00DE3EE8" w:rsidP="00DE3EE8">
      <w:pPr>
        <w:rPr>
          <w:sz w:val="22"/>
          <w:szCs w:val="22"/>
        </w:rPr>
      </w:pPr>
    </w:p>
    <w:p w14:paraId="0C531995" w14:textId="77777777" w:rsidR="00DE3EE8" w:rsidRPr="002B7E6B" w:rsidRDefault="00DE3EE8" w:rsidP="00DE3EE8">
      <w:pPr>
        <w:widowControl/>
        <w:rPr>
          <w:sz w:val="22"/>
          <w:szCs w:val="22"/>
        </w:rPr>
      </w:pPr>
      <w:r w:rsidRPr="002B7E6B">
        <w:rPr>
          <w:sz w:val="22"/>
          <w:szCs w:val="22"/>
        </w:rPr>
        <w:t xml:space="preserve">The Gulf of Alaska (GOA) thornyhead stock complex </w:t>
      </w:r>
      <w:proofErr w:type="gramStart"/>
      <w:r w:rsidRPr="002B7E6B">
        <w:rPr>
          <w:sz w:val="22"/>
          <w:szCs w:val="22"/>
        </w:rPr>
        <w:t>are assessed</w:t>
      </w:r>
      <w:proofErr w:type="gramEnd"/>
      <w:r w:rsidRPr="002B7E6B">
        <w:rPr>
          <w:sz w:val="22"/>
          <w:szCs w:val="22"/>
        </w:rPr>
        <w:t xml:space="preserve"> on a biennial stock assessment schedule with a full stock assessment produced in even years and no stock assessment produced in odd years. For this on-cycle year, we incorporated the 2021 and 2022 Relative Population Weights (RPWs) from the AFSC longline surveys, the 2021 </w:t>
      </w:r>
      <w:proofErr w:type="gramStart"/>
      <w:r w:rsidRPr="002B7E6B">
        <w:rPr>
          <w:sz w:val="22"/>
          <w:szCs w:val="22"/>
        </w:rPr>
        <w:t>trawl survey biomass estimate</w:t>
      </w:r>
      <w:proofErr w:type="gramEnd"/>
      <w:r w:rsidRPr="002B7E6B">
        <w:rPr>
          <w:sz w:val="22"/>
          <w:szCs w:val="22"/>
        </w:rPr>
        <w:t>, and updated catch.</w:t>
      </w:r>
    </w:p>
    <w:p w14:paraId="6B09290A" w14:textId="77777777" w:rsidR="00DE3EE8" w:rsidRPr="002B7E6B" w:rsidRDefault="00DE3EE8" w:rsidP="00DE3EE8">
      <w:pPr>
        <w:widowControl/>
        <w:rPr>
          <w:sz w:val="22"/>
          <w:szCs w:val="22"/>
        </w:rPr>
      </w:pPr>
    </w:p>
    <w:p w14:paraId="59786283" w14:textId="6FF2F092" w:rsidR="00DE3EE8" w:rsidRPr="002B7E6B" w:rsidRDefault="00DE3EE8" w:rsidP="00DE3EE8">
      <w:pPr>
        <w:rPr>
          <w:sz w:val="22"/>
          <w:szCs w:val="22"/>
        </w:rPr>
      </w:pPr>
      <w:r w:rsidRPr="002B7E6B">
        <w:rPr>
          <w:sz w:val="22"/>
          <w:szCs w:val="22"/>
        </w:rPr>
        <w:t xml:space="preserve">The thornyhead complex </w:t>
      </w:r>
      <w:proofErr w:type="gramStart"/>
      <w:r w:rsidRPr="002B7E6B">
        <w:rPr>
          <w:sz w:val="22"/>
          <w:szCs w:val="22"/>
        </w:rPr>
        <w:t>has always been classified</w:t>
      </w:r>
      <w:proofErr w:type="gramEnd"/>
      <w:r w:rsidRPr="002B7E6B">
        <w:rPr>
          <w:sz w:val="22"/>
          <w:szCs w:val="22"/>
        </w:rPr>
        <w:t xml:space="preserve"> into “tier 5” in the North Pacific Fishery Management Council’s (NPFMC) definitions for ABC and overfishing level. Following the recommendation of the NPFMC for all Tier 5 stocks, we continue to use a random effects (RE) model fit to the AFSC longline survey RPW index (1992 – 2022) and the AFSC bottom trawl survey biomass index (1984 – 2021), to estimate the exploitable biomass that is used to calculate the recommended ABC and OFL values for the 2023 fishery. The methodology used to estimate exploitable biomass for the 2023 fishery changed slightly. This year, a coding error in the REMA model </w:t>
      </w:r>
      <w:proofErr w:type="gramStart"/>
      <w:r w:rsidRPr="002B7E6B">
        <w:rPr>
          <w:sz w:val="22"/>
          <w:szCs w:val="22"/>
        </w:rPr>
        <w:t>was corrected</w:t>
      </w:r>
      <w:proofErr w:type="gramEnd"/>
      <w:r w:rsidRPr="002B7E6B">
        <w:rPr>
          <w:sz w:val="22"/>
          <w:szCs w:val="22"/>
        </w:rPr>
        <w:t>, and a new model with an additional observation error term estimated for both the AFSC longline survey and bottom trawl survey was used. Estimated thornyhead biomass is 72,349 mt. The NPFMC’s “tier 5” ABC definitions state that F</w:t>
      </w:r>
      <w:r w:rsidRPr="002B7E6B">
        <w:rPr>
          <w:sz w:val="22"/>
          <w:szCs w:val="22"/>
          <w:vertAlign w:val="subscript"/>
        </w:rPr>
        <w:t>ABC</w:t>
      </w:r>
      <w:r w:rsidRPr="002B7E6B">
        <w:rPr>
          <w:rFonts w:eastAsia="Gungsuh"/>
          <w:sz w:val="22"/>
          <w:szCs w:val="22"/>
        </w:rPr>
        <w:t xml:space="preserve"> ≤0.75</w:t>
      </w:r>
      <w:r w:rsidRPr="002B7E6B">
        <w:rPr>
          <w:i/>
          <w:sz w:val="22"/>
          <w:szCs w:val="22"/>
        </w:rPr>
        <w:t>M</w:t>
      </w:r>
      <w:r w:rsidRPr="002B7E6B">
        <w:rPr>
          <w:sz w:val="22"/>
          <w:szCs w:val="22"/>
        </w:rPr>
        <w:t>, where</w:t>
      </w:r>
      <w:r w:rsidRPr="002B7E6B">
        <w:rPr>
          <w:i/>
          <w:sz w:val="22"/>
          <w:szCs w:val="22"/>
        </w:rPr>
        <w:t xml:space="preserve"> M</w:t>
      </w:r>
      <w:r w:rsidRPr="002B7E6B">
        <w:rPr>
          <w:sz w:val="22"/>
          <w:szCs w:val="22"/>
        </w:rPr>
        <w:t xml:space="preserve"> is the natural mortality rate. Using an </w:t>
      </w:r>
      <w:r w:rsidRPr="002B7E6B">
        <w:rPr>
          <w:i/>
          <w:sz w:val="22"/>
          <w:szCs w:val="22"/>
        </w:rPr>
        <w:t>M</w:t>
      </w:r>
      <w:r w:rsidRPr="002B7E6B">
        <w:rPr>
          <w:sz w:val="22"/>
          <w:szCs w:val="22"/>
        </w:rPr>
        <w:t xml:space="preserve"> of 0.03 and applying this definition to the exploitable biomass of thornyhead results in a recommended ABC of 1,628 t for the 2023 fishery, which is a decrease of 17% from the 2022 ABC of 1,953 t.  Approximately two-thirds of this decrease </w:t>
      </w:r>
      <w:proofErr w:type="gramStart"/>
      <w:r w:rsidRPr="002B7E6B">
        <w:rPr>
          <w:sz w:val="22"/>
          <w:szCs w:val="22"/>
        </w:rPr>
        <w:t>can be attributed</w:t>
      </w:r>
      <w:proofErr w:type="gramEnd"/>
      <w:r w:rsidRPr="002B7E6B">
        <w:rPr>
          <w:sz w:val="22"/>
          <w:szCs w:val="22"/>
        </w:rPr>
        <w:t xml:space="preserve"> to changes in the model structure, with the remainder due to new abundance estimates from trawl and longline surveys. Gulfwide catch of thornyhead was 273 t in 2021 and estimated at 355 t in 2022, as of October.  Thornyhead in the GOA </w:t>
      </w:r>
      <w:proofErr w:type="gramStart"/>
      <w:r w:rsidRPr="002B7E6B">
        <w:rPr>
          <w:sz w:val="22"/>
          <w:szCs w:val="22"/>
        </w:rPr>
        <w:t>are not being subjected</w:t>
      </w:r>
      <w:proofErr w:type="gramEnd"/>
      <w:r w:rsidRPr="002B7E6B">
        <w:rPr>
          <w:sz w:val="22"/>
          <w:szCs w:val="22"/>
        </w:rPr>
        <w:t xml:space="preserve"> to overfishing. It is not possible to determine whether this stock is overfished or whether it is approaching an overfished condition because it </w:t>
      </w:r>
      <w:proofErr w:type="gramStart"/>
      <w:r w:rsidRPr="002B7E6B">
        <w:rPr>
          <w:sz w:val="22"/>
          <w:szCs w:val="22"/>
        </w:rPr>
        <w:t>is managed</w:t>
      </w:r>
      <w:proofErr w:type="gramEnd"/>
      <w:r w:rsidRPr="002B7E6B">
        <w:rPr>
          <w:sz w:val="22"/>
          <w:szCs w:val="22"/>
        </w:rPr>
        <w:t xml:space="preserve"> under Tier 5.   </w:t>
      </w:r>
    </w:p>
    <w:p w14:paraId="7A681B6B" w14:textId="77777777" w:rsidR="00DE3EE8" w:rsidRPr="002B7E6B" w:rsidRDefault="00DE3EE8" w:rsidP="00DE3EE8">
      <w:pPr>
        <w:widowControl/>
        <w:spacing w:after="160"/>
        <w:rPr>
          <w:sz w:val="22"/>
          <w:szCs w:val="22"/>
        </w:rPr>
      </w:pPr>
    </w:p>
    <w:p w14:paraId="06F0E44A" w14:textId="77777777" w:rsidR="00DE3EE8" w:rsidRPr="002B7E6B" w:rsidRDefault="00DE3EE8" w:rsidP="00DE3EE8">
      <w:pPr>
        <w:widowControl/>
        <w:spacing w:after="160"/>
        <w:rPr>
          <w:rFonts w:eastAsia="Gungsuh"/>
          <w:sz w:val="22"/>
          <w:szCs w:val="22"/>
        </w:rPr>
      </w:pPr>
      <w:r w:rsidRPr="002B7E6B">
        <w:rPr>
          <w:sz w:val="22"/>
          <w:szCs w:val="22"/>
        </w:rPr>
        <w:t xml:space="preserve">For more </w:t>
      </w:r>
      <w:proofErr w:type="gramStart"/>
      <w:r w:rsidRPr="002B7E6B">
        <w:rPr>
          <w:sz w:val="22"/>
          <w:szCs w:val="22"/>
        </w:rPr>
        <w:t>information</w:t>
      </w:r>
      <w:proofErr w:type="gramEnd"/>
      <w:r w:rsidRPr="002B7E6B">
        <w:rPr>
          <w:sz w:val="22"/>
          <w:szCs w:val="22"/>
        </w:rPr>
        <w:t xml:space="preserve"> please contact Katy Echave at (907) 789-6006 or </w:t>
      </w:r>
      <w:hyperlink r:id="rId70">
        <w:r w:rsidRPr="002B7E6B">
          <w:rPr>
            <w:color w:val="0563C1"/>
            <w:sz w:val="22"/>
            <w:szCs w:val="22"/>
            <w:u w:val="single"/>
          </w:rPr>
          <w:t>katy.echave@noaa.gov</w:t>
        </w:r>
      </w:hyperlink>
      <w:r w:rsidRPr="002B7E6B">
        <w:rPr>
          <w:sz w:val="22"/>
          <w:szCs w:val="22"/>
        </w:rPr>
        <w:t>.</w:t>
      </w:r>
    </w:p>
    <w:p w14:paraId="647C66B6" w14:textId="77777777" w:rsidR="00DE3EE8" w:rsidRPr="002B7E6B" w:rsidRDefault="00DE3EE8" w:rsidP="00DE3EE8">
      <w:pPr>
        <w:rPr>
          <w:sz w:val="22"/>
          <w:szCs w:val="22"/>
        </w:rPr>
      </w:pPr>
    </w:p>
    <w:p w14:paraId="137D30CE" w14:textId="77777777" w:rsidR="00DE3EE8" w:rsidRPr="002B7E6B" w:rsidRDefault="00DE3EE8" w:rsidP="00DE3EE8">
      <w:pPr>
        <w:pStyle w:val="Heading3"/>
        <w:keepNext w:val="0"/>
        <w:keepLines w:val="0"/>
        <w:numPr>
          <w:ilvl w:val="0"/>
          <w:numId w:val="3"/>
        </w:numPr>
        <w:spacing w:before="0" w:after="0"/>
        <w:ind w:left="360"/>
        <w:rPr>
          <w:rFonts w:cs="Times New Roman"/>
          <w:sz w:val="22"/>
          <w:szCs w:val="22"/>
        </w:rPr>
      </w:pPr>
      <w:bookmarkStart w:id="119" w:name="_Toc131503864"/>
      <w:r w:rsidRPr="002B7E6B">
        <w:rPr>
          <w:rFonts w:cs="Times New Roman"/>
          <w:sz w:val="22"/>
          <w:szCs w:val="22"/>
        </w:rPr>
        <w:t>Sablefish</w:t>
      </w:r>
      <w:bookmarkEnd w:id="119"/>
      <w:r w:rsidRPr="002B7E6B">
        <w:rPr>
          <w:rFonts w:cs="Times New Roman"/>
          <w:sz w:val="22"/>
          <w:szCs w:val="22"/>
        </w:rPr>
        <w:t xml:space="preserve"> </w:t>
      </w:r>
    </w:p>
    <w:p w14:paraId="44C61CC3" w14:textId="77777777" w:rsidR="00DE3EE8" w:rsidRPr="002B7E6B" w:rsidRDefault="00DE3EE8" w:rsidP="00DE3EE8">
      <w:pPr>
        <w:rPr>
          <w:sz w:val="22"/>
          <w:szCs w:val="22"/>
        </w:rPr>
      </w:pPr>
    </w:p>
    <w:p w14:paraId="7F4A3B14" w14:textId="68948C48" w:rsidR="00DE3EE8" w:rsidRPr="002B7E6B" w:rsidRDefault="00DE3EE8" w:rsidP="002C1E2B">
      <w:pPr>
        <w:pStyle w:val="Heading4"/>
        <w:numPr>
          <w:ilvl w:val="3"/>
          <w:numId w:val="3"/>
        </w:numPr>
        <w:ind w:left="360"/>
        <w:rPr>
          <w:szCs w:val="22"/>
        </w:rPr>
      </w:pPr>
      <w:bookmarkStart w:id="120" w:name="_Toc131503865"/>
      <w:r w:rsidRPr="002B7E6B">
        <w:rPr>
          <w:szCs w:val="22"/>
        </w:rPr>
        <w:t>Research</w:t>
      </w:r>
      <w:bookmarkEnd w:id="120"/>
    </w:p>
    <w:p w14:paraId="5DC97117" w14:textId="77777777" w:rsidR="00DE3EE8" w:rsidRPr="002B7E6B" w:rsidRDefault="00DE3EE8" w:rsidP="00DE3EE8">
      <w:pPr>
        <w:rPr>
          <w:sz w:val="22"/>
          <w:szCs w:val="22"/>
        </w:rPr>
      </w:pPr>
    </w:p>
    <w:p w14:paraId="14045EE4" w14:textId="03DD64DF" w:rsidR="00DE3EE8" w:rsidRDefault="00DE3EE8" w:rsidP="008F75DB">
      <w:pPr>
        <w:pStyle w:val="Heading5"/>
      </w:pPr>
      <w:bookmarkStart w:id="121" w:name="_Toc131503866"/>
      <w:r w:rsidRPr="008F75DB">
        <w:t>Coastwide Research for Sablefish</w:t>
      </w:r>
      <w:r w:rsidR="0024271A">
        <w:t xml:space="preserve"> – </w:t>
      </w:r>
      <w:r w:rsidRPr="008F75DB">
        <w:t>REFM and ABL</w:t>
      </w:r>
      <w:bookmarkEnd w:id="121"/>
    </w:p>
    <w:p w14:paraId="16BAD35B" w14:textId="77777777" w:rsidR="00E26C52" w:rsidRPr="00E26C52" w:rsidRDefault="00E26C52" w:rsidP="00E26C52"/>
    <w:p w14:paraId="06B91B03" w14:textId="7B2F442E" w:rsidR="00DE3EE8" w:rsidRDefault="00DE3EE8" w:rsidP="00E26C52">
      <w:r w:rsidRPr="002B7E6B">
        <w:t xml:space="preserve">The Pacific Sablefish Transboundary Assessment Team (PSTAT), which </w:t>
      </w:r>
      <w:proofErr w:type="gramStart"/>
      <w:r w:rsidRPr="002B7E6B">
        <w:t>was established</w:t>
      </w:r>
      <w:proofErr w:type="gramEnd"/>
      <w:r w:rsidRPr="002B7E6B">
        <w:t xml:space="preserve"> in 2017, is a research collaboration between the Alaska Fisheries Science Center, the Northwest Fisheries Science Center, the Alaska Department of Fish and Game, and the Department of Fisheries and Oceans Canada. The purpose of the PSTAT is to aid collaboration among scientists and managers across jurisdictions to enable wider understanding of Pacific-wide sablefish population dynamics. </w:t>
      </w:r>
      <w:proofErr w:type="gramStart"/>
      <w:r w:rsidRPr="002B7E6B">
        <w:t>The group has nearly finalized a management strategy evaluation, base upon a spatially explicit coastwide operating model that incorporates movement rates from the tagging model along with spatially-varying demographics (i.e., as identified through earlier PSTAT research) to emulate sablefish dynamics.This MSE which aims to inform on the potential risks of current independent, regional assessment-management approaches and also identify whether regionwide management strategies might be more robust.</w:t>
      </w:r>
      <w:proofErr w:type="gramEnd"/>
      <w:r w:rsidRPr="002B7E6B">
        <w:t xml:space="preserve"> Many of the performance measures identified during the April 2021 stakeholder workshop </w:t>
      </w:r>
      <w:proofErr w:type="gramStart"/>
      <w:r w:rsidRPr="002B7E6B">
        <w:t>are incorporated</w:t>
      </w:r>
      <w:proofErr w:type="gramEnd"/>
      <w:r w:rsidRPr="002B7E6B">
        <w:t xml:space="preserve"> into the project. The results suggest that valuable research directions for sablefish will include continued work on refining movement estimates, particularly within and between Alaska and BC, and evaluating drivers of recruitment dynamics coastwide. The next in-person meeting is in May in Juneau, AK.</w:t>
      </w:r>
    </w:p>
    <w:p w14:paraId="5F578D26" w14:textId="77777777" w:rsidR="00E26C52" w:rsidRPr="002B7E6B" w:rsidRDefault="00E26C52" w:rsidP="00E26C52"/>
    <w:p w14:paraId="064DEED3" w14:textId="77777777" w:rsidR="00DE3EE8" w:rsidRPr="002B7E6B" w:rsidRDefault="00DE3EE8" w:rsidP="00E26C52">
      <w:pPr>
        <w:rPr>
          <w:color w:val="1155CC"/>
        </w:rPr>
      </w:pPr>
      <w:bookmarkStart w:id="122" w:name="_heading=h.ol3c7joa98e" w:colFirst="0" w:colLast="0"/>
      <w:bookmarkEnd w:id="122"/>
      <w:r w:rsidRPr="002B7E6B">
        <w:t xml:space="preserve">For more </w:t>
      </w:r>
      <w:proofErr w:type="gramStart"/>
      <w:r w:rsidRPr="002B7E6B">
        <w:t>information</w:t>
      </w:r>
      <w:proofErr w:type="gramEnd"/>
      <w:r w:rsidRPr="002B7E6B">
        <w:t xml:space="preserve"> contact Maia Kapur (</w:t>
      </w:r>
      <w:hyperlink r:id="rId71">
        <w:r w:rsidRPr="002B7E6B">
          <w:rPr>
            <w:color w:val="1155CC"/>
            <w:u w:val="single"/>
          </w:rPr>
          <w:t>maia.kapur@noaa.gov</w:t>
        </w:r>
      </w:hyperlink>
      <w:r w:rsidRPr="002B7E6B">
        <w:rPr>
          <w:color w:val="1155CC"/>
        </w:rPr>
        <w:t>)</w:t>
      </w:r>
    </w:p>
    <w:p w14:paraId="76CFD8FC" w14:textId="77777777" w:rsidR="00DE3EE8" w:rsidRPr="002B7E6B" w:rsidRDefault="00DE3EE8" w:rsidP="00DE3EE8">
      <w:pPr>
        <w:rPr>
          <w:sz w:val="22"/>
          <w:szCs w:val="22"/>
        </w:rPr>
      </w:pPr>
    </w:p>
    <w:p w14:paraId="1EC42E90" w14:textId="77777777" w:rsidR="00DE3EE8" w:rsidRPr="002B7E6B" w:rsidRDefault="00DE3EE8" w:rsidP="008F75DB">
      <w:pPr>
        <w:pStyle w:val="Heading5"/>
      </w:pPr>
      <w:bookmarkStart w:id="123" w:name="_heading=h.766pyh4jas88" w:colFirst="0" w:colLast="0"/>
      <w:bookmarkStart w:id="124" w:name="_Toc131503867"/>
      <w:bookmarkEnd w:id="123"/>
      <w:r w:rsidRPr="002B7E6B">
        <w:t>2022 slinky pot and hook-and-line experiment on the NMFS sablefish longline survey – ABL</w:t>
      </w:r>
      <w:bookmarkEnd w:id="124"/>
    </w:p>
    <w:p w14:paraId="673B1D42" w14:textId="77777777" w:rsidR="00DE3EE8" w:rsidRPr="002B7E6B" w:rsidRDefault="00DE3EE8" w:rsidP="00DE3EE8">
      <w:pPr>
        <w:widowControl/>
        <w:spacing w:before="240" w:after="240"/>
        <w:rPr>
          <w:sz w:val="22"/>
          <w:szCs w:val="22"/>
        </w:rPr>
      </w:pPr>
      <w:r w:rsidRPr="002B7E6B">
        <w:rPr>
          <w:sz w:val="22"/>
          <w:szCs w:val="22"/>
        </w:rPr>
        <w:t>During July 2022, the Alaska Fisheries Science Center (AFSC) conducted a second year of slinky pot and hook-and-line experimentation during the annual sablefish longline survey. We fished three days, each day setting one hook set (90 skates with 45 hooks per skate) and one pot set (90 slinky pots) in similar habitat and along comparable depth profiles. We collected data on catch rates and length compositions of sablefish and other species. We closed all escape rings in the slinky pots.</w:t>
      </w:r>
    </w:p>
    <w:p w14:paraId="61DE49BC" w14:textId="77777777" w:rsidR="00DE3EE8" w:rsidRPr="002B7E6B" w:rsidRDefault="00DE3EE8" w:rsidP="00DE3EE8">
      <w:pPr>
        <w:widowControl/>
        <w:spacing w:before="240" w:after="240"/>
        <w:rPr>
          <w:sz w:val="22"/>
          <w:szCs w:val="22"/>
        </w:rPr>
      </w:pPr>
      <w:r w:rsidRPr="002B7E6B">
        <w:rPr>
          <w:sz w:val="22"/>
          <w:szCs w:val="22"/>
        </w:rPr>
        <w:t xml:space="preserve">In </w:t>
      </w:r>
      <w:proofErr w:type="gramStart"/>
      <w:r w:rsidRPr="002B7E6B">
        <w:rPr>
          <w:sz w:val="22"/>
          <w:szCs w:val="22"/>
        </w:rPr>
        <w:t>total</w:t>
      </w:r>
      <w:proofErr w:type="gramEnd"/>
      <w:r w:rsidRPr="002B7E6B">
        <w:rPr>
          <w:sz w:val="22"/>
          <w:szCs w:val="22"/>
        </w:rPr>
        <w:t xml:space="preserve"> we caught 5,217 sablefish on hook gear and 4,198 sablefish in pots. On </w:t>
      </w:r>
      <w:proofErr w:type="gramStart"/>
      <w:r w:rsidRPr="002B7E6B">
        <w:rPr>
          <w:sz w:val="22"/>
          <w:szCs w:val="22"/>
        </w:rPr>
        <w:t>average</w:t>
      </w:r>
      <w:proofErr w:type="gramEnd"/>
      <w:r w:rsidRPr="002B7E6B">
        <w:rPr>
          <w:sz w:val="22"/>
          <w:szCs w:val="22"/>
        </w:rPr>
        <w:t xml:space="preserve"> we caught 19 sablefish per hook skate and 11 sablefish per pot. Across all </w:t>
      </w:r>
      <w:proofErr w:type="gramStart"/>
      <w:r w:rsidRPr="002B7E6B">
        <w:rPr>
          <w:sz w:val="22"/>
          <w:szCs w:val="22"/>
        </w:rPr>
        <w:t>three comparison</w:t>
      </w:r>
      <w:proofErr w:type="gramEnd"/>
      <w:r w:rsidRPr="002B7E6B">
        <w:rPr>
          <w:sz w:val="22"/>
          <w:szCs w:val="22"/>
        </w:rPr>
        <w:t xml:space="preserve"> sets, catch rates were more variable in pots than in the hook-and-line gear. Interestingly, we found that catch rates between the gear types were highly correlated across depths (Pearson’s rho = 0.96, figure below).</w:t>
      </w:r>
    </w:p>
    <w:p w14:paraId="27BFAC8E" w14:textId="77777777" w:rsidR="00DE3EE8" w:rsidRPr="002B7E6B" w:rsidRDefault="00DE3EE8" w:rsidP="00DE3EE8">
      <w:pPr>
        <w:widowControl/>
        <w:spacing w:before="240" w:after="240"/>
        <w:rPr>
          <w:sz w:val="22"/>
          <w:szCs w:val="22"/>
        </w:rPr>
      </w:pPr>
      <w:r w:rsidRPr="002B7E6B">
        <w:rPr>
          <w:noProof/>
          <w:sz w:val="22"/>
          <w:szCs w:val="22"/>
        </w:rPr>
        <w:lastRenderedPageBreak/>
        <w:drawing>
          <wp:inline distT="114300" distB="114300" distL="114300" distR="114300" wp14:anchorId="25EED34D" wp14:editId="562CFC46">
            <wp:extent cx="5943600" cy="2743200"/>
            <wp:effectExtent l="0" t="0" r="0" b="0"/>
            <wp:docPr id="5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72"/>
                    <a:srcRect/>
                    <a:stretch>
                      <a:fillRect/>
                    </a:stretch>
                  </pic:blipFill>
                  <pic:spPr>
                    <a:xfrm>
                      <a:off x="0" y="0"/>
                      <a:ext cx="5943600" cy="2743200"/>
                    </a:xfrm>
                    <a:prstGeom prst="rect">
                      <a:avLst/>
                    </a:prstGeom>
                    <a:ln/>
                  </pic:spPr>
                </pic:pic>
              </a:graphicData>
            </a:graphic>
          </wp:inline>
        </w:drawing>
      </w:r>
    </w:p>
    <w:p w14:paraId="7F4B95B4" w14:textId="64800ACD" w:rsidR="00DE3EE8" w:rsidRPr="002B7E6B" w:rsidRDefault="00DE3EE8" w:rsidP="00DE3EE8">
      <w:pPr>
        <w:widowControl/>
        <w:spacing w:before="240" w:after="240"/>
        <w:rPr>
          <w:sz w:val="22"/>
          <w:szCs w:val="22"/>
        </w:rPr>
      </w:pPr>
      <w:r w:rsidRPr="002B7E6B">
        <w:rPr>
          <w:sz w:val="22"/>
          <w:szCs w:val="22"/>
        </w:rPr>
        <w:t xml:space="preserve">We found that pots caught smaller fish on average than hook-and-line gear, which we attributed to closing the escape rings. In particular, when small (&lt;50 cm) sablefish were </w:t>
      </w:r>
      <w:proofErr w:type="gramStart"/>
      <w:r w:rsidRPr="002B7E6B">
        <w:rPr>
          <w:sz w:val="22"/>
          <w:szCs w:val="22"/>
        </w:rPr>
        <w:t>present,</w:t>
      </w:r>
      <w:proofErr w:type="gramEnd"/>
      <w:r w:rsidRPr="002B7E6B">
        <w:rPr>
          <w:sz w:val="22"/>
          <w:szCs w:val="22"/>
        </w:rPr>
        <w:t xml:space="preserve"> they were captured at a higher frequency in the pot gear compared to the hook-and-line gear (figure below). In contrast, when we fished four 3.5” escape rings in the pots during last year’s experiment, we found no difference between the average fish size caught between the two gear types.</w:t>
      </w:r>
    </w:p>
    <w:p w14:paraId="11BB1D98" w14:textId="77777777" w:rsidR="00DE3EE8" w:rsidRPr="002B7E6B" w:rsidRDefault="00DE3EE8" w:rsidP="00DE3EE8">
      <w:pPr>
        <w:widowControl/>
        <w:spacing w:before="240" w:after="240"/>
        <w:rPr>
          <w:sz w:val="22"/>
          <w:szCs w:val="22"/>
        </w:rPr>
      </w:pPr>
    </w:p>
    <w:p w14:paraId="526B05CB" w14:textId="77777777" w:rsidR="00DE3EE8" w:rsidRPr="002B7E6B" w:rsidRDefault="00DE3EE8" w:rsidP="00DE3EE8">
      <w:pPr>
        <w:widowControl/>
        <w:spacing w:before="240" w:after="240"/>
        <w:rPr>
          <w:sz w:val="22"/>
          <w:szCs w:val="22"/>
        </w:rPr>
      </w:pPr>
      <w:r w:rsidRPr="002B7E6B">
        <w:rPr>
          <w:noProof/>
          <w:sz w:val="22"/>
          <w:szCs w:val="22"/>
        </w:rPr>
        <w:drawing>
          <wp:inline distT="114300" distB="114300" distL="114300" distR="114300" wp14:anchorId="16D6F854" wp14:editId="50015B66">
            <wp:extent cx="5943600" cy="3962400"/>
            <wp:effectExtent l="0" t="0" r="0" b="0"/>
            <wp:docPr id="5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3"/>
                    <a:srcRect/>
                    <a:stretch>
                      <a:fillRect/>
                    </a:stretch>
                  </pic:blipFill>
                  <pic:spPr>
                    <a:xfrm>
                      <a:off x="0" y="0"/>
                      <a:ext cx="5943600" cy="3962400"/>
                    </a:xfrm>
                    <a:prstGeom prst="rect">
                      <a:avLst/>
                    </a:prstGeom>
                    <a:ln/>
                  </pic:spPr>
                </pic:pic>
              </a:graphicData>
            </a:graphic>
          </wp:inline>
        </w:drawing>
      </w:r>
    </w:p>
    <w:p w14:paraId="6ECA11B6" w14:textId="77777777" w:rsidR="00DE3EE8" w:rsidRPr="002B7E6B" w:rsidRDefault="00DE3EE8" w:rsidP="00DE3EE8">
      <w:pPr>
        <w:widowControl/>
        <w:spacing w:before="240" w:after="240"/>
        <w:rPr>
          <w:sz w:val="22"/>
          <w:szCs w:val="22"/>
        </w:rPr>
      </w:pPr>
      <w:r w:rsidRPr="002B7E6B">
        <w:rPr>
          <w:sz w:val="22"/>
          <w:szCs w:val="22"/>
        </w:rPr>
        <w:lastRenderedPageBreak/>
        <w:t>For more information about the 2021 slinky pot experiment, please check out our report online:</w:t>
      </w:r>
      <w:r w:rsidRPr="002B7E6B">
        <w:rPr>
          <w:sz w:val="22"/>
          <w:szCs w:val="22"/>
        </w:rPr>
        <w:br/>
      </w:r>
      <w:hyperlink r:id="rId74">
        <w:r w:rsidRPr="002B7E6B">
          <w:rPr>
            <w:sz w:val="22"/>
            <w:szCs w:val="22"/>
          </w:rPr>
          <w:t xml:space="preserve"> </w:t>
        </w:r>
      </w:hyperlink>
      <w:hyperlink r:id="rId75">
        <w:r w:rsidRPr="002B7E6B">
          <w:rPr>
            <w:color w:val="1155CC"/>
            <w:sz w:val="22"/>
            <w:szCs w:val="22"/>
            <w:u w:val="single"/>
          </w:rPr>
          <w:t>https://repository.library.noaa.gov/view/noaa/39401</w:t>
        </w:r>
      </w:hyperlink>
      <w:r w:rsidRPr="002B7E6B">
        <w:rPr>
          <w:sz w:val="22"/>
          <w:szCs w:val="22"/>
        </w:rPr>
        <w:t>.</w:t>
      </w:r>
    </w:p>
    <w:p w14:paraId="59167292" w14:textId="77777777" w:rsidR="00DE3EE8" w:rsidRPr="002B7E6B" w:rsidRDefault="00DE3EE8" w:rsidP="00DE3EE8">
      <w:pPr>
        <w:widowControl/>
        <w:spacing w:before="240" w:after="240"/>
        <w:rPr>
          <w:sz w:val="22"/>
          <w:szCs w:val="22"/>
        </w:rPr>
      </w:pPr>
      <w:r w:rsidRPr="002B7E6B">
        <w:rPr>
          <w:sz w:val="22"/>
          <w:szCs w:val="22"/>
        </w:rPr>
        <w:t>For questions about our slinky pot experiments, or to chat about your experience with slinky pot fishing, please contact Jane Sullivan, ABL, at 907 789-6000 or jane.sullivan@noaa.gov.</w:t>
      </w:r>
    </w:p>
    <w:p w14:paraId="4D3623D4" w14:textId="77777777" w:rsidR="00DE3EE8" w:rsidRPr="002B7E6B" w:rsidRDefault="00DE3EE8" w:rsidP="00DE3EE8">
      <w:pPr>
        <w:pStyle w:val="Heading5"/>
        <w:rPr>
          <w:sz w:val="22"/>
          <w:szCs w:val="22"/>
        </w:rPr>
      </w:pPr>
      <w:bookmarkStart w:id="125" w:name="_heading=h.4508qm9t6anu" w:colFirst="0" w:colLast="0"/>
      <w:bookmarkEnd w:id="125"/>
    </w:p>
    <w:p w14:paraId="31095F39" w14:textId="69A24A7B" w:rsidR="00DE3EE8" w:rsidRPr="002B7E6B" w:rsidRDefault="00DE3EE8" w:rsidP="00E26C52">
      <w:pPr>
        <w:pStyle w:val="Heading5"/>
        <w:rPr>
          <w:sz w:val="22"/>
          <w:szCs w:val="22"/>
        </w:rPr>
      </w:pPr>
      <w:bookmarkStart w:id="126" w:name="_Toc131503868"/>
      <w:r w:rsidRPr="002B7E6B">
        <w:rPr>
          <w:sz w:val="22"/>
          <w:szCs w:val="22"/>
        </w:rPr>
        <w:t>Groundfish Tag Program</w:t>
      </w:r>
      <w:r w:rsidR="0024271A">
        <w:rPr>
          <w:sz w:val="22"/>
          <w:szCs w:val="22"/>
        </w:rPr>
        <w:t xml:space="preserve"> – </w:t>
      </w:r>
      <w:r w:rsidRPr="002B7E6B">
        <w:rPr>
          <w:sz w:val="22"/>
          <w:szCs w:val="22"/>
        </w:rPr>
        <w:t>ABL</w:t>
      </w:r>
      <w:bookmarkEnd w:id="126"/>
    </w:p>
    <w:p w14:paraId="4F96D410" w14:textId="77777777" w:rsidR="00DE3EE8" w:rsidRPr="002B7E6B" w:rsidRDefault="00DE3EE8" w:rsidP="00E26C52">
      <w:pPr>
        <w:rPr>
          <w:sz w:val="22"/>
          <w:szCs w:val="22"/>
        </w:rPr>
      </w:pPr>
    </w:p>
    <w:p w14:paraId="68525927" w14:textId="77777777" w:rsidR="00DE3EE8" w:rsidRPr="002B7E6B" w:rsidRDefault="00DE3EE8" w:rsidP="00E26C52">
      <w:pPr>
        <w:widowControl/>
        <w:spacing w:after="120"/>
        <w:rPr>
          <w:sz w:val="22"/>
          <w:szCs w:val="22"/>
        </w:rPr>
      </w:pPr>
      <w:r w:rsidRPr="002B7E6B">
        <w:rPr>
          <w:sz w:val="22"/>
          <w:szCs w:val="22"/>
        </w:rPr>
        <w:t xml:space="preserve">ABL marine Ecology and Stock Assessment staff continued to </w:t>
      </w:r>
      <w:proofErr w:type="gramStart"/>
      <w:r w:rsidRPr="002B7E6B">
        <w:rPr>
          <w:sz w:val="22"/>
          <w:szCs w:val="22"/>
        </w:rPr>
        <w:t>process groundfish tag recoveries</w:t>
      </w:r>
      <w:proofErr w:type="gramEnd"/>
      <w:r w:rsidRPr="002B7E6B">
        <w:rPr>
          <w:sz w:val="22"/>
          <w:szCs w:val="22"/>
        </w:rPr>
        <w:t xml:space="preserve"> and administration of this longstanding tag reward program and the AFSC Groundfish Tag Database during 2022. While sablefish is the primary species tagged, tags from shortspine thornyheads (SST), Greenland turbot, Pacific sleeper sharks, lingcod, spiny dogfish, Pacific cod, Pacific </w:t>
      </w:r>
      <w:proofErr w:type="gramStart"/>
      <w:r w:rsidRPr="002B7E6B">
        <w:rPr>
          <w:sz w:val="22"/>
          <w:szCs w:val="22"/>
        </w:rPr>
        <w:t>ocean</w:t>
      </w:r>
      <w:proofErr w:type="gramEnd"/>
      <w:r w:rsidRPr="002B7E6B">
        <w:rPr>
          <w:sz w:val="22"/>
          <w:szCs w:val="22"/>
        </w:rPr>
        <w:t xml:space="preserve"> perch, and rougheye rockfish are also maintained in the database. Total tag recoveries for the year were ~450 sablefish and 14 SST. Of these recovered tags, approximately 2% </w:t>
      </w:r>
      <w:proofErr w:type="gramStart"/>
      <w:r w:rsidRPr="002B7E6B">
        <w:rPr>
          <w:sz w:val="22"/>
          <w:szCs w:val="22"/>
        </w:rPr>
        <w:t>were recovered</w:t>
      </w:r>
      <w:proofErr w:type="gramEnd"/>
      <w:r w:rsidRPr="002B7E6B">
        <w:rPr>
          <w:sz w:val="22"/>
          <w:szCs w:val="22"/>
        </w:rPr>
        <w:t xml:space="preserve"> by trawl gear, 35% by pot gear, and 63% by hook and line. Twenty one percent of the recovered sablefish tags in 2022 were at liberty for over 10 years. Approximately 40% of the total 2022 recoveries were recovered within 100 nautical miles from their release location, 29% within 100 – 500 nm, 21% within 500 – 1,000 nm, and 10% were recovered over 1,000 nm from their release location. The longest time a sablefish was at liberty was approximately 42 years (15,186 days), and the greatest distance traveled by a sablefish recaptured in 2022 was 1,873 nm. This fish </w:t>
      </w:r>
      <w:proofErr w:type="gramStart"/>
      <w:r w:rsidRPr="002B7E6B">
        <w:rPr>
          <w:sz w:val="22"/>
          <w:szCs w:val="22"/>
        </w:rPr>
        <w:t>was tagged in the Aleutian Islands on 6/8/2018 and recovered off the Washington coast on 4/3/2022</w:t>
      </w:r>
      <w:proofErr w:type="gramEnd"/>
      <w:r w:rsidRPr="002B7E6B">
        <w:rPr>
          <w:sz w:val="22"/>
          <w:szCs w:val="22"/>
        </w:rPr>
        <w:t xml:space="preserve">. Two adult sablefish and one SST tagged with archival tags </w:t>
      </w:r>
      <w:proofErr w:type="gramStart"/>
      <w:r w:rsidRPr="002B7E6B">
        <w:rPr>
          <w:sz w:val="22"/>
          <w:szCs w:val="22"/>
        </w:rPr>
        <w:t>were recovered</w:t>
      </w:r>
      <w:proofErr w:type="gramEnd"/>
      <w:r w:rsidRPr="002B7E6B">
        <w:rPr>
          <w:sz w:val="22"/>
          <w:szCs w:val="22"/>
        </w:rPr>
        <w:t xml:space="preserve"> in 2022. Releases in 2022 on the AFSC groundfish longline survey totaled 5,422 adult sablefish, </w:t>
      </w:r>
      <w:proofErr w:type="gramStart"/>
      <w:r w:rsidRPr="002B7E6B">
        <w:rPr>
          <w:sz w:val="22"/>
          <w:szCs w:val="22"/>
        </w:rPr>
        <w:t>433 shortspine</w:t>
      </w:r>
      <w:proofErr w:type="gramEnd"/>
      <w:r w:rsidRPr="002B7E6B">
        <w:rPr>
          <w:sz w:val="22"/>
          <w:szCs w:val="22"/>
        </w:rPr>
        <w:t xml:space="preserve"> thornyhead, and 3 Greenland turbot. An additional 193 juvenile (age-1) sablefish were tagged during one juvenile sablefish tagging cruise in inside waters in southeast Alaska in 2022. </w:t>
      </w:r>
    </w:p>
    <w:p w14:paraId="3A332A39" w14:textId="77777777" w:rsidR="00DE3EE8" w:rsidRPr="002B7E6B" w:rsidRDefault="00DE3EE8" w:rsidP="00E26C52">
      <w:pPr>
        <w:widowControl/>
        <w:spacing w:after="120"/>
        <w:rPr>
          <w:sz w:val="22"/>
          <w:szCs w:val="22"/>
        </w:rPr>
      </w:pPr>
    </w:p>
    <w:p w14:paraId="57E7AC9D" w14:textId="77777777" w:rsidR="00DE3EE8" w:rsidRPr="002B7E6B" w:rsidRDefault="00DE3EE8" w:rsidP="00E26C52">
      <w:pPr>
        <w:widowControl/>
        <w:spacing w:after="120"/>
        <w:rPr>
          <w:sz w:val="22"/>
          <w:szCs w:val="22"/>
        </w:rPr>
      </w:pPr>
      <w:r w:rsidRPr="002B7E6B">
        <w:rPr>
          <w:sz w:val="22"/>
          <w:szCs w:val="22"/>
        </w:rPr>
        <w:t xml:space="preserve">The AFSC groundfish tag website is now available! On this site, you are able to view fish movement by species, area, year, or simply type in a specific tag number. There are also a number of tables and figures for viewing these data. All data displayed </w:t>
      </w:r>
      <w:proofErr w:type="gramStart"/>
      <w:r w:rsidRPr="002B7E6B">
        <w:rPr>
          <w:sz w:val="22"/>
          <w:szCs w:val="22"/>
        </w:rPr>
        <w:t>have been modified</w:t>
      </w:r>
      <w:proofErr w:type="gramEnd"/>
      <w:r w:rsidRPr="002B7E6B">
        <w:rPr>
          <w:sz w:val="22"/>
          <w:szCs w:val="22"/>
        </w:rPr>
        <w:t xml:space="preserve"> to meet confidentiality requirements.  </w:t>
      </w:r>
      <w:hyperlink r:id="rId76">
        <w:r w:rsidRPr="002B7E6B">
          <w:rPr>
            <w:color w:val="1155CC"/>
            <w:sz w:val="22"/>
            <w:szCs w:val="22"/>
            <w:u w:val="single"/>
          </w:rPr>
          <w:t>https://www.fisheries.noaa.gov/resource/map/alaska-groundfish-tagging-map</w:t>
        </w:r>
      </w:hyperlink>
    </w:p>
    <w:p w14:paraId="6DD5F00E" w14:textId="77777777" w:rsidR="00DE3EE8" w:rsidRPr="002B7E6B" w:rsidRDefault="00DE3EE8" w:rsidP="00E26C52">
      <w:pPr>
        <w:widowControl/>
        <w:spacing w:after="160"/>
        <w:rPr>
          <w:sz w:val="22"/>
          <w:szCs w:val="22"/>
        </w:rPr>
      </w:pPr>
      <w:r w:rsidRPr="002B7E6B">
        <w:rPr>
          <w:sz w:val="22"/>
          <w:szCs w:val="22"/>
        </w:rPr>
        <w:t xml:space="preserve">For more information, contact Katy Echave at (907) 789-6006 or </w:t>
      </w:r>
      <w:hyperlink r:id="rId77">
        <w:r w:rsidRPr="002B7E6B">
          <w:rPr>
            <w:color w:val="0563C1"/>
            <w:sz w:val="22"/>
            <w:szCs w:val="22"/>
            <w:u w:val="single"/>
          </w:rPr>
          <w:t>katy.echave@noaa.gov</w:t>
        </w:r>
      </w:hyperlink>
      <w:r w:rsidRPr="002B7E6B">
        <w:rPr>
          <w:sz w:val="22"/>
          <w:szCs w:val="22"/>
        </w:rPr>
        <w:t>.</w:t>
      </w:r>
    </w:p>
    <w:p w14:paraId="43672DF1" w14:textId="77777777" w:rsidR="00DE3EE8" w:rsidRPr="002B7E6B" w:rsidRDefault="00DE3EE8" w:rsidP="00DE3EE8">
      <w:pPr>
        <w:rPr>
          <w:sz w:val="22"/>
          <w:szCs w:val="22"/>
        </w:rPr>
      </w:pPr>
    </w:p>
    <w:p w14:paraId="685A3CE8" w14:textId="77777777" w:rsidR="00DE3EE8" w:rsidRPr="005C77E5" w:rsidRDefault="00DE3EE8" w:rsidP="005C77E5">
      <w:pPr>
        <w:pStyle w:val="Heading5"/>
      </w:pPr>
      <w:bookmarkStart w:id="127" w:name="_Toc131503869"/>
      <w:r w:rsidRPr="005C77E5">
        <w:t>Juvenile Sablefish Studies – ABL</w:t>
      </w:r>
      <w:bookmarkEnd w:id="127"/>
    </w:p>
    <w:p w14:paraId="68DF7F9F" w14:textId="77777777" w:rsidR="00DE3EE8" w:rsidRPr="002B7E6B" w:rsidRDefault="00DE3EE8" w:rsidP="00DE3EE8">
      <w:pPr>
        <w:rPr>
          <w:sz w:val="22"/>
          <w:szCs w:val="22"/>
        </w:rPr>
      </w:pPr>
    </w:p>
    <w:p w14:paraId="612FF3D1" w14:textId="77777777" w:rsidR="00DE3EE8" w:rsidRPr="002B7E6B" w:rsidRDefault="00DE3EE8" w:rsidP="00DE3EE8">
      <w:pPr>
        <w:widowControl/>
        <w:shd w:val="clear" w:color="auto" w:fill="FFFFFF"/>
        <w:rPr>
          <w:color w:val="222222"/>
          <w:sz w:val="22"/>
          <w:szCs w:val="22"/>
        </w:rPr>
      </w:pPr>
      <w:r w:rsidRPr="002B7E6B">
        <w:rPr>
          <w:color w:val="222222"/>
          <w:sz w:val="22"/>
          <w:szCs w:val="22"/>
        </w:rPr>
        <w:t xml:space="preserve">Juvenile (age-1) sablefish tagging </w:t>
      </w:r>
      <w:r w:rsidRPr="002B7E6B">
        <w:rPr>
          <w:sz w:val="22"/>
          <w:szCs w:val="22"/>
        </w:rPr>
        <w:t xml:space="preserve">studies have been conducted by the Auke Bay Laboratories in Alaska since 1984 and were continued in 2022. One hundred and ninety three juvenile sablefish </w:t>
      </w:r>
      <w:proofErr w:type="gramStart"/>
      <w:r w:rsidRPr="002B7E6B">
        <w:rPr>
          <w:sz w:val="22"/>
          <w:szCs w:val="22"/>
        </w:rPr>
        <w:t>were tagged</w:t>
      </w:r>
      <w:proofErr w:type="gramEnd"/>
      <w:r w:rsidRPr="002B7E6B">
        <w:rPr>
          <w:sz w:val="22"/>
          <w:szCs w:val="22"/>
        </w:rPr>
        <w:t xml:space="preserve"> in St. John Baptist Bay near Sitka, AK during three days (August 29, 30, and 31) of sampling. The average length of fish was 360 mm. </w:t>
      </w:r>
    </w:p>
    <w:p w14:paraId="07A978D6" w14:textId="77777777" w:rsidR="00DE3EE8" w:rsidRPr="002B7E6B" w:rsidRDefault="00DE3EE8" w:rsidP="00DE3EE8">
      <w:pPr>
        <w:widowControl/>
        <w:shd w:val="clear" w:color="auto" w:fill="FFFFFF"/>
        <w:rPr>
          <w:color w:val="222222"/>
          <w:sz w:val="22"/>
          <w:szCs w:val="22"/>
        </w:rPr>
      </w:pPr>
    </w:p>
    <w:p w14:paraId="0B8D7067" w14:textId="77777777" w:rsidR="00DE3EE8" w:rsidRPr="002B7E6B" w:rsidRDefault="00DE3EE8" w:rsidP="00DE3EE8">
      <w:pPr>
        <w:widowControl/>
        <w:spacing w:after="160"/>
        <w:rPr>
          <w:sz w:val="22"/>
          <w:szCs w:val="22"/>
        </w:rPr>
      </w:pPr>
      <w:r w:rsidRPr="002B7E6B">
        <w:rPr>
          <w:sz w:val="22"/>
          <w:szCs w:val="22"/>
        </w:rPr>
        <w:t xml:space="preserve">For more information, contact Katy Echave at (907) 789-6006 or </w:t>
      </w:r>
      <w:hyperlink r:id="rId78">
        <w:r w:rsidRPr="002B7E6B">
          <w:rPr>
            <w:color w:val="0563C1"/>
            <w:sz w:val="22"/>
            <w:szCs w:val="22"/>
            <w:u w:val="single"/>
          </w:rPr>
          <w:t>katy.echave@noaa.gov</w:t>
        </w:r>
      </w:hyperlink>
      <w:r w:rsidRPr="002B7E6B">
        <w:rPr>
          <w:sz w:val="22"/>
          <w:szCs w:val="22"/>
        </w:rPr>
        <w:t>.</w:t>
      </w:r>
    </w:p>
    <w:p w14:paraId="4C1DDDE8" w14:textId="77777777" w:rsidR="00DE3EE8" w:rsidRPr="002B7E6B" w:rsidRDefault="00DE3EE8" w:rsidP="00DE3EE8">
      <w:pPr>
        <w:widowControl/>
        <w:spacing w:after="160"/>
        <w:rPr>
          <w:sz w:val="22"/>
          <w:szCs w:val="22"/>
        </w:rPr>
      </w:pPr>
    </w:p>
    <w:p w14:paraId="30D6F9DB" w14:textId="40A45B8A" w:rsidR="00DE3EE8" w:rsidRDefault="00DE3EE8" w:rsidP="005C77E5">
      <w:pPr>
        <w:pStyle w:val="Heading5"/>
      </w:pPr>
      <w:bookmarkStart w:id="128" w:name="_Toc131503870"/>
      <w:r w:rsidRPr="002B7E6B">
        <w:t xml:space="preserve">Ontogenetic Shifts in Sablefish Diet </w:t>
      </w:r>
      <w:r w:rsidR="005C77E5">
        <w:t>–</w:t>
      </w:r>
      <w:r w:rsidRPr="002B7E6B">
        <w:t xml:space="preserve"> ABL</w:t>
      </w:r>
      <w:bookmarkEnd w:id="128"/>
    </w:p>
    <w:p w14:paraId="49E4A100" w14:textId="77777777" w:rsidR="005C77E5" w:rsidRPr="005C77E5" w:rsidRDefault="005C77E5" w:rsidP="005C77E5"/>
    <w:p w14:paraId="423C019A" w14:textId="77777777" w:rsidR="00DE3EE8" w:rsidRPr="002B7E6B" w:rsidRDefault="00DE3EE8" w:rsidP="00DE3EE8">
      <w:pPr>
        <w:widowControl/>
        <w:spacing w:after="120"/>
        <w:rPr>
          <w:sz w:val="22"/>
          <w:szCs w:val="22"/>
        </w:rPr>
      </w:pPr>
      <w:r w:rsidRPr="002B7E6B">
        <w:rPr>
          <w:sz w:val="22"/>
          <w:szCs w:val="22"/>
        </w:rPr>
        <w:t xml:space="preserve">In 2022, we continued to evaluate using a cross section of sablefish eye lenses </w:t>
      </w:r>
      <w:proofErr w:type="gramStart"/>
      <w:r w:rsidRPr="002B7E6B">
        <w:rPr>
          <w:sz w:val="22"/>
          <w:szCs w:val="22"/>
        </w:rPr>
        <w:t>to isotopically track</w:t>
      </w:r>
      <w:proofErr w:type="gramEnd"/>
      <w:r w:rsidRPr="002B7E6B">
        <w:rPr>
          <w:sz w:val="22"/>
          <w:szCs w:val="22"/>
        </w:rPr>
        <w:t xml:space="preserve"> ontogenetic shifts in diets and foraging habitats of sablefish through growth and development from pelagic juvenile life stages to benthic adults. Fish used in this study are collected during the AFSC longline surveys.  In 2022, we initiated a laboratory study </w:t>
      </w:r>
      <w:proofErr w:type="gramStart"/>
      <w:r w:rsidRPr="002B7E6B">
        <w:rPr>
          <w:sz w:val="22"/>
          <w:szCs w:val="22"/>
        </w:rPr>
        <w:t>to experimentally test</w:t>
      </w:r>
      <w:proofErr w:type="gramEnd"/>
      <w:r w:rsidRPr="002B7E6B">
        <w:rPr>
          <w:sz w:val="22"/>
          <w:szCs w:val="22"/>
        </w:rPr>
        <w:t xml:space="preserve"> thresholds for detecting </w:t>
      </w:r>
      <w:r w:rsidRPr="002B7E6B">
        <w:rPr>
          <w:sz w:val="22"/>
          <w:szCs w:val="22"/>
        </w:rPr>
        <w:lastRenderedPageBreak/>
        <w:t xml:space="preserve">diet-derived isotopic shifts and trophic enrichment in cross sections of sablefish eye lenses. This study involves using live sablefish caught as juveniles in Southeast Alaska and rearing them in the ABL wet lab using experimentally controlled diets. </w:t>
      </w:r>
    </w:p>
    <w:p w14:paraId="13164FE2" w14:textId="77777777" w:rsidR="00DE3EE8" w:rsidRPr="002B7E6B" w:rsidRDefault="00DE3EE8" w:rsidP="00DE3EE8">
      <w:pPr>
        <w:widowControl/>
        <w:rPr>
          <w:sz w:val="22"/>
          <w:szCs w:val="22"/>
        </w:rPr>
      </w:pPr>
      <w:r w:rsidRPr="002B7E6B">
        <w:rPr>
          <w:sz w:val="22"/>
          <w:szCs w:val="22"/>
        </w:rPr>
        <w:t xml:space="preserve">For more </w:t>
      </w:r>
      <w:proofErr w:type="gramStart"/>
      <w:r w:rsidRPr="002B7E6B">
        <w:rPr>
          <w:sz w:val="22"/>
          <w:szCs w:val="22"/>
        </w:rPr>
        <w:t>information</w:t>
      </w:r>
      <w:proofErr w:type="gramEnd"/>
      <w:r w:rsidRPr="002B7E6B">
        <w:rPr>
          <w:sz w:val="22"/>
          <w:szCs w:val="22"/>
        </w:rPr>
        <w:t xml:space="preserve"> contact Todd Miller, ABL, todd.miller@noaa.gov and Mariela Brooks, ABL, </w:t>
      </w:r>
      <w:hyperlink r:id="rId79">
        <w:r w:rsidRPr="002B7E6B">
          <w:rPr>
            <w:color w:val="1155CC"/>
            <w:sz w:val="22"/>
            <w:szCs w:val="22"/>
            <w:u w:val="single"/>
          </w:rPr>
          <w:t>mariela.brooks@noaa.gov</w:t>
        </w:r>
      </w:hyperlink>
      <w:r w:rsidRPr="002B7E6B">
        <w:rPr>
          <w:sz w:val="22"/>
          <w:szCs w:val="22"/>
        </w:rPr>
        <w:t>.</w:t>
      </w:r>
    </w:p>
    <w:p w14:paraId="5A0349E5" w14:textId="77777777" w:rsidR="00DE3EE8" w:rsidRPr="002B7E6B" w:rsidRDefault="00DE3EE8" w:rsidP="00DE3EE8">
      <w:pPr>
        <w:widowControl/>
        <w:rPr>
          <w:sz w:val="22"/>
          <w:szCs w:val="22"/>
        </w:rPr>
      </w:pPr>
    </w:p>
    <w:p w14:paraId="4B36CA41" w14:textId="699EACD1" w:rsidR="00DE3EE8" w:rsidRDefault="00DE3EE8" w:rsidP="005C77E5">
      <w:pPr>
        <w:pStyle w:val="Heading5"/>
      </w:pPr>
      <w:bookmarkStart w:id="129" w:name="_Toc131503871"/>
      <w:r w:rsidRPr="002B7E6B">
        <w:t xml:space="preserve">Young of the Year Sablefish Feeding Ecology and Growth </w:t>
      </w:r>
      <w:r w:rsidR="005C77E5">
        <w:t>–</w:t>
      </w:r>
      <w:r w:rsidRPr="002B7E6B">
        <w:t xml:space="preserve"> ABL</w:t>
      </w:r>
      <w:bookmarkEnd w:id="129"/>
    </w:p>
    <w:p w14:paraId="0FFA0751" w14:textId="77777777" w:rsidR="00DE3EE8" w:rsidRPr="002B7E6B" w:rsidRDefault="00DE3EE8" w:rsidP="00DE3EE8">
      <w:pPr>
        <w:widowControl/>
        <w:spacing w:before="240" w:after="240"/>
        <w:rPr>
          <w:sz w:val="22"/>
          <w:szCs w:val="22"/>
        </w:rPr>
      </w:pPr>
      <w:r w:rsidRPr="002B7E6B">
        <w:rPr>
          <w:sz w:val="22"/>
          <w:szCs w:val="22"/>
        </w:rPr>
        <w:t xml:space="preserve">As part of a PhD project at the University of Alaska Fairbanks, young of the year sablefish from 1995-2019 </w:t>
      </w:r>
      <w:proofErr w:type="gramStart"/>
      <w:r w:rsidRPr="002B7E6B">
        <w:rPr>
          <w:sz w:val="22"/>
          <w:szCs w:val="22"/>
        </w:rPr>
        <w:t>are being analyzed</w:t>
      </w:r>
      <w:proofErr w:type="gramEnd"/>
      <w:r w:rsidRPr="002B7E6B">
        <w:rPr>
          <w:sz w:val="22"/>
          <w:szCs w:val="22"/>
        </w:rPr>
        <w:t xml:space="preserve"> for their growth, diet, trophic level, and hatch date. </w:t>
      </w:r>
      <w:proofErr w:type="gramStart"/>
      <w:r w:rsidRPr="002B7E6B">
        <w:rPr>
          <w:sz w:val="22"/>
          <w:szCs w:val="22"/>
        </w:rPr>
        <w:t>The primary objectives are to 1) develop a method to reconstruct the first year of growth from using daily growth rings in lapulus otoliths, 2) relate growth to temperature and rations, 3) describe a time series of trophic ecology in the Gulf of Alaska using diet and stable isotopes, 4) relate trophic ecology to environmental conditions, 5) evaluate growth as it relates to the switch to piscivory, and 6) utilize growth, hatch date, trophic ecology, environmental conditions, to predict age-2 recruitment for the sablefish assessment.</w:t>
      </w:r>
      <w:proofErr w:type="gramEnd"/>
    </w:p>
    <w:p w14:paraId="05F770E4" w14:textId="77777777" w:rsidR="00DE3EE8" w:rsidRPr="002B7E6B" w:rsidRDefault="00DE3EE8" w:rsidP="00DE3EE8">
      <w:pPr>
        <w:widowControl/>
        <w:spacing w:after="160"/>
        <w:rPr>
          <w:sz w:val="22"/>
          <w:szCs w:val="22"/>
        </w:rPr>
      </w:pPr>
      <w:r w:rsidRPr="002B7E6B">
        <w:rPr>
          <w:sz w:val="22"/>
          <w:szCs w:val="22"/>
        </w:rPr>
        <w:t>Contact wes.strasburger@noaa.gov with questions.</w:t>
      </w:r>
    </w:p>
    <w:p w14:paraId="00B292BB" w14:textId="77777777" w:rsidR="00DE3EE8" w:rsidRPr="002B7E6B" w:rsidRDefault="00DE3EE8" w:rsidP="00DE3EE8">
      <w:pPr>
        <w:widowControl/>
        <w:spacing w:after="160"/>
        <w:rPr>
          <w:sz w:val="22"/>
          <w:szCs w:val="22"/>
        </w:rPr>
      </w:pPr>
    </w:p>
    <w:p w14:paraId="5DB3B060" w14:textId="1DDD5CDF" w:rsidR="00DE3EE8" w:rsidRDefault="00DE3EE8" w:rsidP="005C77E5">
      <w:pPr>
        <w:pStyle w:val="Heading5"/>
      </w:pPr>
      <w:bookmarkStart w:id="130" w:name="_Toc131503872"/>
      <w:r w:rsidRPr="002B7E6B">
        <w:t>Sablefish Point of No Return Studies</w:t>
      </w:r>
      <w:r w:rsidR="0024271A">
        <w:t xml:space="preserve"> – </w:t>
      </w:r>
      <w:r w:rsidRPr="002B7E6B">
        <w:t>RPP</w:t>
      </w:r>
      <w:bookmarkEnd w:id="130"/>
    </w:p>
    <w:p w14:paraId="62EE67D1" w14:textId="77777777" w:rsidR="005C77E5" w:rsidRPr="005C77E5" w:rsidRDefault="005C77E5" w:rsidP="005C77E5"/>
    <w:p w14:paraId="518245AA" w14:textId="77777777" w:rsidR="00DE3EE8" w:rsidRPr="002B7E6B" w:rsidRDefault="00DE3EE8" w:rsidP="00DE3EE8">
      <w:pPr>
        <w:rPr>
          <w:color w:val="262626"/>
          <w:sz w:val="22"/>
          <w:szCs w:val="22"/>
        </w:rPr>
      </w:pPr>
      <w:r w:rsidRPr="002B7E6B">
        <w:rPr>
          <w:color w:val="262626"/>
          <w:sz w:val="22"/>
          <w:szCs w:val="22"/>
        </w:rPr>
        <w:t xml:space="preserve">The goal of our research funded by the North Pacific Research Board is to examine factors that may influence recruitment in Sablefish, particularly focusing on prey availability and temperature. During year 1, we focused on starvation resiliency of first feeding Sablefish larvae to low prey conditions at 6°C, an </w:t>
      </w:r>
      <w:proofErr w:type="gramStart"/>
      <w:r w:rsidRPr="002B7E6B">
        <w:rPr>
          <w:color w:val="262626"/>
          <w:sz w:val="22"/>
          <w:szCs w:val="22"/>
        </w:rPr>
        <w:t>average springtime sea surface temperature</w:t>
      </w:r>
      <w:proofErr w:type="gramEnd"/>
      <w:r w:rsidRPr="002B7E6B">
        <w:rPr>
          <w:color w:val="262626"/>
          <w:sz w:val="22"/>
          <w:szCs w:val="22"/>
        </w:rPr>
        <w:t xml:space="preserve"> in the western Gulf of Alaska. Our rearing work </w:t>
      </w:r>
      <w:proofErr w:type="gramStart"/>
      <w:r w:rsidRPr="002B7E6B">
        <w:rPr>
          <w:color w:val="262626"/>
          <w:sz w:val="22"/>
          <w:szCs w:val="22"/>
        </w:rPr>
        <w:t>was initially delayed</w:t>
      </w:r>
      <w:proofErr w:type="gramEnd"/>
      <w:r w:rsidRPr="002B7E6B">
        <w:rPr>
          <w:color w:val="262626"/>
          <w:sz w:val="22"/>
          <w:szCs w:val="22"/>
        </w:rPr>
        <w:t xml:space="preserve"> by the lack of spawning individuals at the Manchester Seawater Laboratory (NWFSC) and was, ultimately, unsuccessful due to low egg survivorship for the starvation resiliency experiments. However, we did have some success because our partners in the Fisheries Behavioral and Ecology Program also obtained Sablefish eggs and were able to test tank configurations to determine how best to proceed for year 2 temperature experiments.</w:t>
      </w:r>
    </w:p>
    <w:p w14:paraId="0DB77A8E" w14:textId="77777777" w:rsidR="00DE3EE8" w:rsidRPr="002B7E6B" w:rsidRDefault="00DE3EE8" w:rsidP="00DE3EE8">
      <w:pPr>
        <w:rPr>
          <w:color w:val="262626"/>
          <w:sz w:val="22"/>
          <w:szCs w:val="22"/>
        </w:rPr>
      </w:pPr>
    </w:p>
    <w:p w14:paraId="52E54D5C" w14:textId="77777777" w:rsidR="00DE3EE8" w:rsidRPr="002B7E6B" w:rsidRDefault="00DE3EE8" w:rsidP="00DE3EE8">
      <w:pPr>
        <w:rPr>
          <w:color w:val="262626"/>
          <w:sz w:val="22"/>
          <w:szCs w:val="22"/>
        </w:rPr>
      </w:pPr>
      <w:r w:rsidRPr="002B7E6B">
        <w:rPr>
          <w:color w:val="262626"/>
          <w:sz w:val="22"/>
          <w:szCs w:val="22"/>
        </w:rPr>
        <w:t xml:space="preserve">For more information, contact Ali Deary at 518-366-6703 or </w:t>
      </w:r>
      <w:hyperlink r:id="rId80">
        <w:r w:rsidRPr="002B7E6B">
          <w:rPr>
            <w:color w:val="1155CC"/>
            <w:sz w:val="22"/>
            <w:szCs w:val="22"/>
            <w:u w:val="single"/>
          </w:rPr>
          <w:t>alison.deary@noaa.gov</w:t>
        </w:r>
      </w:hyperlink>
    </w:p>
    <w:p w14:paraId="41D5AFF8" w14:textId="77777777" w:rsidR="00DE3EE8" w:rsidRPr="002B7E6B" w:rsidRDefault="00DE3EE8" w:rsidP="00DE3EE8">
      <w:pPr>
        <w:rPr>
          <w:sz w:val="22"/>
          <w:szCs w:val="22"/>
        </w:rPr>
      </w:pPr>
    </w:p>
    <w:p w14:paraId="3DCC8600" w14:textId="106B02A2" w:rsidR="00DE3EE8" w:rsidRPr="002B7E6B" w:rsidRDefault="00DE3EE8" w:rsidP="002C1E2B">
      <w:pPr>
        <w:pStyle w:val="Heading4"/>
        <w:numPr>
          <w:ilvl w:val="3"/>
          <w:numId w:val="3"/>
        </w:numPr>
        <w:ind w:left="360"/>
        <w:rPr>
          <w:szCs w:val="22"/>
        </w:rPr>
      </w:pPr>
      <w:bookmarkStart w:id="131" w:name="_Toc131503873"/>
      <w:r w:rsidRPr="002B7E6B">
        <w:rPr>
          <w:szCs w:val="22"/>
        </w:rPr>
        <w:t>Stock Assessment</w:t>
      </w:r>
      <w:bookmarkEnd w:id="131"/>
    </w:p>
    <w:p w14:paraId="6A3D7DB9" w14:textId="77777777" w:rsidR="00DE3EE8" w:rsidRPr="002B7E6B" w:rsidRDefault="00DE3EE8" w:rsidP="00DE3EE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sz w:val="22"/>
          <w:szCs w:val="22"/>
        </w:rPr>
      </w:pPr>
    </w:p>
    <w:p w14:paraId="540D063C" w14:textId="33A96885" w:rsidR="00DE3EE8" w:rsidRPr="005C77E5" w:rsidRDefault="00DE3EE8" w:rsidP="005C77E5">
      <w:pPr>
        <w:pStyle w:val="Heading5"/>
      </w:pPr>
      <w:bookmarkStart w:id="132" w:name="_Toc131503874"/>
      <w:r w:rsidRPr="005C77E5">
        <w:t>Sablefish in the Bering Sea, Aleutian Islands, and Gulf of Alaska</w:t>
      </w:r>
      <w:r w:rsidR="0024271A">
        <w:t xml:space="preserve"> – </w:t>
      </w:r>
      <w:r w:rsidRPr="005C77E5">
        <w:t>ABL</w:t>
      </w:r>
      <w:bookmarkEnd w:id="132"/>
    </w:p>
    <w:p w14:paraId="12B51872" w14:textId="77777777" w:rsidR="00DE3EE8" w:rsidRPr="002B7E6B" w:rsidRDefault="00DE3EE8" w:rsidP="00DE3EE8">
      <w:pPr>
        <w:rPr>
          <w:sz w:val="22"/>
          <w:szCs w:val="22"/>
        </w:rPr>
      </w:pPr>
    </w:p>
    <w:p w14:paraId="48778F6D" w14:textId="345369B7" w:rsidR="00DE3EE8" w:rsidRPr="002B7E6B" w:rsidRDefault="00DE3EE8" w:rsidP="00DE3EE8">
      <w:pPr>
        <w:widowControl/>
        <w:spacing w:after="160" w:line="259" w:lineRule="auto"/>
        <w:jc w:val="both"/>
        <w:rPr>
          <w:sz w:val="22"/>
          <w:szCs w:val="22"/>
        </w:rPr>
      </w:pPr>
      <w:r w:rsidRPr="002B7E6B">
        <w:rPr>
          <w:sz w:val="22"/>
          <w:szCs w:val="22"/>
        </w:rPr>
        <w:t>No changes to the assessment model were implemented for the 2022 Alaskan sablefish (</w:t>
      </w:r>
      <w:r w:rsidRPr="002B7E6B">
        <w:rPr>
          <w:i/>
          <w:sz w:val="22"/>
          <w:szCs w:val="22"/>
        </w:rPr>
        <w:t>Anoplopoma fimbria</w:t>
      </w:r>
      <w:r w:rsidRPr="002B7E6B">
        <w:rPr>
          <w:sz w:val="22"/>
          <w:szCs w:val="22"/>
        </w:rPr>
        <w:t xml:space="preserve">) Stock Assessment and Fishery Evaluation (SAFE) Report. New data included in the assessment model were relative abundance and length data from the 2022 longline survey, length data from the fixed gear fishery for 2021, length data from the trawl fisheries for 2021, age data from the longline survey and fixed gear fishery for 2021, updated catch for 2021, and projected 2022 – 2024 catches. A NMFS Gulf of Alaska bottom trawl survey did not occur in 2022, but associated relative abundance indices and length data for the Gulf of Alaska in waters less than 500m were included in the assessment for previous years, when a trawl survey occurred. Fixed gear fishery catch-per-unit effort (CPUE) data from logbooks for 2020 and 2021 were available for the first time during the 2022 assessment, which enabled developing and integrating a complete CPUE index of abundance. Models used to estimate fishery whale depredation </w:t>
      </w:r>
      <w:proofErr w:type="gramStart"/>
      <w:r w:rsidRPr="002B7E6B">
        <w:rPr>
          <w:sz w:val="22"/>
          <w:szCs w:val="22"/>
        </w:rPr>
        <w:t>were rerun</w:t>
      </w:r>
      <w:proofErr w:type="gramEnd"/>
      <w:r w:rsidRPr="002B7E6B">
        <w:rPr>
          <w:sz w:val="22"/>
          <w:szCs w:val="22"/>
        </w:rPr>
        <w:t xml:space="preserve"> with new data, providing updated estimates for the first time since 2017, and the updated estimates </w:t>
      </w:r>
      <w:r w:rsidRPr="002B7E6B">
        <w:rPr>
          <w:sz w:val="22"/>
          <w:szCs w:val="22"/>
        </w:rPr>
        <w:lastRenderedPageBreak/>
        <w:t xml:space="preserve">were used </w:t>
      </w:r>
      <w:r w:rsidR="00B05625">
        <w:rPr>
          <w:sz w:val="22"/>
          <w:szCs w:val="22"/>
        </w:rPr>
        <w:t>to project depredation for 2022–</w:t>
      </w:r>
      <w:r w:rsidRPr="002B7E6B">
        <w:rPr>
          <w:sz w:val="22"/>
          <w:szCs w:val="22"/>
        </w:rPr>
        <w:t xml:space="preserve">2024. Data weighting within the assessment </w:t>
      </w:r>
      <w:proofErr w:type="gramStart"/>
      <w:r w:rsidRPr="002B7E6B">
        <w:rPr>
          <w:sz w:val="22"/>
          <w:szCs w:val="22"/>
        </w:rPr>
        <w:t>was also updated</w:t>
      </w:r>
      <w:proofErr w:type="gramEnd"/>
      <w:r w:rsidRPr="002B7E6B">
        <w:rPr>
          <w:sz w:val="22"/>
          <w:szCs w:val="22"/>
        </w:rPr>
        <w:t xml:space="preserve"> using the Francis approach to ensure appropriate weights for all data sources given the updated data inputs.</w:t>
      </w:r>
    </w:p>
    <w:p w14:paraId="2DC6236A" w14:textId="77777777" w:rsidR="00DE3EE8" w:rsidRPr="002B7E6B" w:rsidRDefault="00DE3EE8" w:rsidP="00DE3EE8">
      <w:pPr>
        <w:widowControl/>
        <w:spacing w:after="160" w:line="259" w:lineRule="auto"/>
        <w:jc w:val="both"/>
        <w:rPr>
          <w:sz w:val="22"/>
          <w:szCs w:val="22"/>
        </w:rPr>
      </w:pPr>
      <w:r w:rsidRPr="002B7E6B">
        <w:rPr>
          <w:sz w:val="22"/>
          <w:szCs w:val="22"/>
        </w:rPr>
        <w:t xml:space="preserve">The </w:t>
      </w:r>
      <w:proofErr w:type="gramStart"/>
      <w:r w:rsidRPr="002B7E6B">
        <w:rPr>
          <w:sz w:val="22"/>
          <w:szCs w:val="22"/>
        </w:rPr>
        <w:t>longline survey abundance index</w:t>
      </w:r>
      <w:proofErr w:type="gramEnd"/>
      <w:r w:rsidRPr="002B7E6B">
        <w:rPr>
          <w:sz w:val="22"/>
          <w:szCs w:val="22"/>
        </w:rPr>
        <w:t xml:space="preserve"> (relative population numbers, RPNs) increased 17% from 2021 to 2022 following a 9% increase from 2020 to 2021. Similarly, the </w:t>
      </w:r>
      <w:proofErr w:type="gramStart"/>
      <w:r w:rsidRPr="002B7E6B">
        <w:rPr>
          <w:sz w:val="22"/>
          <w:szCs w:val="22"/>
        </w:rPr>
        <w:t>trawl survey biomass index</w:t>
      </w:r>
      <w:proofErr w:type="gramEnd"/>
      <w:r w:rsidRPr="002B7E6B">
        <w:rPr>
          <w:sz w:val="22"/>
          <w:szCs w:val="22"/>
        </w:rPr>
        <w:t xml:space="preserve"> has increased nearly five-fold since 2013, including a 40% increase from 2019 to 2021. The age and length composition data continue to indicate strong recent year classes in 2014, 2016, 2017, 2018, and 2019. Based on the strength of these recent year classes, age-2+ biomass has almost tripled from a time series low of 228,000 t in 2015 to 665,000 t in 2022, sablefish population levels have not been estimated to be this large since the early 1970s. Although growth in SSB has lagged compared to total biomass, given that recent year classes are not fully mature, SSB has still increased by 60% from the time series low of 84,000 t in 2017 to 134,000 t in 2022. The updated point estimate of </w:t>
      </w:r>
      <w:proofErr w:type="gramStart"/>
      <w:r w:rsidRPr="002B7E6B">
        <w:rPr>
          <w:i/>
          <w:sz w:val="22"/>
          <w:szCs w:val="22"/>
        </w:rPr>
        <w:t>B</w:t>
      </w:r>
      <w:r w:rsidRPr="002B7E6B">
        <w:rPr>
          <w:i/>
          <w:sz w:val="22"/>
          <w:szCs w:val="22"/>
          <w:vertAlign w:val="subscript"/>
        </w:rPr>
        <w:t>40%</w:t>
      </w:r>
      <w:proofErr w:type="gramEnd"/>
      <w:r w:rsidRPr="002B7E6B">
        <w:rPr>
          <w:i/>
          <w:sz w:val="22"/>
          <w:szCs w:val="22"/>
        </w:rPr>
        <w:t xml:space="preserve">, </w:t>
      </w:r>
      <w:r w:rsidRPr="002B7E6B">
        <w:rPr>
          <w:sz w:val="22"/>
          <w:szCs w:val="22"/>
        </w:rPr>
        <w:t>is 122,238 t. Thus, the current SSB is at 44% of the unfished SSB (i.e., SSB</w:t>
      </w:r>
      <w:r w:rsidRPr="002B7E6B">
        <w:rPr>
          <w:sz w:val="22"/>
          <w:szCs w:val="22"/>
          <w:vertAlign w:val="subscript"/>
        </w:rPr>
        <w:t>0</w:t>
      </w:r>
      <w:r w:rsidRPr="002B7E6B">
        <w:rPr>
          <w:sz w:val="22"/>
          <w:szCs w:val="22"/>
        </w:rPr>
        <w:t xml:space="preserve">) in 2022, while projected female spawning biomass (combined areas) for 2023 is 159,788 t (i.e., equivalent to </w:t>
      </w:r>
      <w:proofErr w:type="gramStart"/>
      <w:r w:rsidRPr="002B7E6B">
        <w:rPr>
          <w:i/>
          <w:sz w:val="22"/>
          <w:szCs w:val="22"/>
        </w:rPr>
        <w:t>B</w:t>
      </w:r>
      <w:r w:rsidRPr="002B7E6B">
        <w:rPr>
          <w:i/>
          <w:sz w:val="22"/>
          <w:szCs w:val="22"/>
          <w:vertAlign w:val="subscript"/>
        </w:rPr>
        <w:t>52%</w:t>
      </w:r>
      <w:proofErr w:type="gramEnd"/>
      <w:r w:rsidRPr="002B7E6B">
        <w:rPr>
          <w:sz w:val="22"/>
          <w:szCs w:val="22"/>
        </w:rPr>
        <w:t xml:space="preserve">). The maximum permissible 2023 ABC (combined areas) based on the NPFMC harvest control rule is 40,861 t. After accounting for whale depredation in the fishery, the whale adjusted ABC for 2023 is 40,502 t. The recommended 2023 ABC represents a 17% increase from the 2022 ABC, and a quadrupling of the quota since 2016, when the lowest ABC on record (11,795 t) </w:t>
      </w:r>
      <w:proofErr w:type="gramStart"/>
      <w:r w:rsidRPr="002B7E6B">
        <w:rPr>
          <w:sz w:val="22"/>
          <w:szCs w:val="22"/>
        </w:rPr>
        <w:t>was enacted</w:t>
      </w:r>
      <w:proofErr w:type="gramEnd"/>
      <w:r w:rsidRPr="002B7E6B">
        <w:rPr>
          <w:sz w:val="22"/>
          <w:szCs w:val="22"/>
        </w:rPr>
        <w:t xml:space="preserve">. </w:t>
      </w:r>
    </w:p>
    <w:p w14:paraId="254952AE" w14:textId="77777777" w:rsidR="00DE3EE8" w:rsidRPr="002B7E6B" w:rsidRDefault="00DE3EE8" w:rsidP="00DE3EE8">
      <w:pPr>
        <w:widowControl/>
        <w:spacing w:after="160" w:line="259" w:lineRule="auto"/>
        <w:jc w:val="both"/>
        <w:rPr>
          <w:sz w:val="22"/>
          <w:szCs w:val="22"/>
        </w:rPr>
      </w:pPr>
      <w:r w:rsidRPr="002B7E6B">
        <w:rPr>
          <w:sz w:val="22"/>
          <w:szCs w:val="22"/>
        </w:rPr>
        <w:t xml:space="preserve">It is necessary to apportion the total ABC to management regions because a single area stock assessment model </w:t>
      </w:r>
      <w:proofErr w:type="gramStart"/>
      <w:r w:rsidRPr="002B7E6B">
        <w:rPr>
          <w:sz w:val="22"/>
          <w:szCs w:val="22"/>
        </w:rPr>
        <w:t>is utilized</w:t>
      </w:r>
      <w:proofErr w:type="gramEnd"/>
      <w:r w:rsidRPr="002B7E6B">
        <w:rPr>
          <w:sz w:val="22"/>
          <w:szCs w:val="22"/>
        </w:rPr>
        <w:t xml:space="preserve">. Based on biological rationale, the NPFMC SSC adopted a five-year </w:t>
      </w:r>
      <w:proofErr w:type="gramStart"/>
      <w:r w:rsidRPr="002B7E6B">
        <w:rPr>
          <w:sz w:val="22"/>
          <w:szCs w:val="22"/>
        </w:rPr>
        <w:t>average survey apportionment method</w:t>
      </w:r>
      <w:proofErr w:type="gramEnd"/>
      <w:r w:rsidRPr="002B7E6B">
        <w:rPr>
          <w:sz w:val="22"/>
          <w:szCs w:val="22"/>
        </w:rPr>
        <w:t xml:space="preserve"> in 2020, which uses a five-year moving average of the longline survey proportions of biomass in each region to apportion the Alaska-wide ABC to each management region. This method tracks biomass across management regions to the best of our current ability (i.e., by using estimates of regional biomass from the yearly longline survey that targets sablefish in prime adult habitat), while still buffering against variability caused by annual measurement error. The SSC also instituted a four-year stair step approach to move from the fixed apportionment used prior to 2020 towards the five-year average survey apportionment. In 2022, a 75% stair step from the 2020 fixed apportionment values towards the 2022 five-year </w:t>
      </w:r>
      <w:proofErr w:type="gramStart"/>
      <w:r w:rsidRPr="002B7E6B">
        <w:rPr>
          <w:sz w:val="22"/>
          <w:szCs w:val="22"/>
        </w:rPr>
        <w:t>average survey apportionment values</w:t>
      </w:r>
      <w:proofErr w:type="gramEnd"/>
      <w:r w:rsidRPr="002B7E6B">
        <w:rPr>
          <w:sz w:val="22"/>
          <w:szCs w:val="22"/>
        </w:rPr>
        <w:t xml:space="preserve"> was implemented.</w:t>
      </w:r>
    </w:p>
    <w:p w14:paraId="08F5A765" w14:textId="1989E276" w:rsidR="00DE3EE8" w:rsidRDefault="00DE3EE8" w:rsidP="00DE3EE8">
      <w:pPr>
        <w:widowControl/>
        <w:spacing w:line="259" w:lineRule="auto"/>
        <w:jc w:val="both"/>
        <w:rPr>
          <w:sz w:val="22"/>
          <w:szCs w:val="22"/>
        </w:rPr>
      </w:pPr>
      <w:r w:rsidRPr="002B7E6B">
        <w:rPr>
          <w:sz w:val="22"/>
          <w:szCs w:val="22"/>
        </w:rPr>
        <w:t xml:space="preserve">Estimation uncertainty remains large for recent year classes, but continued high productivity over the last decade is evident.  Yet, the lack of sablefish greater than 10 years of age (i.e., the age when sablefish are greater than 90% mature) remains concerning for such an extremely long-lived species and needs to </w:t>
      </w:r>
      <w:proofErr w:type="gramStart"/>
      <w:r w:rsidRPr="002B7E6B">
        <w:rPr>
          <w:sz w:val="22"/>
          <w:szCs w:val="22"/>
        </w:rPr>
        <w:t>be carefully monitored</w:t>
      </w:r>
      <w:proofErr w:type="gramEnd"/>
      <w:r w:rsidRPr="002B7E6B">
        <w:rPr>
          <w:sz w:val="22"/>
          <w:szCs w:val="22"/>
        </w:rPr>
        <w:t>. As recent year classes grow towards full maturity, the population age structure is beginning to expand. It is important that each of these cohorts can survive in large numbers to fully mature ages to ensure long-term productivity.</w:t>
      </w:r>
    </w:p>
    <w:p w14:paraId="59C18329" w14:textId="77777777" w:rsidR="005C77E5" w:rsidRPr="002B7E6B" w:rsidRDefault="005C77E5" w:rsidP="00DE3EE8">
      <w:pPr>
        <w:widowControl/>
        <w:spacing w:line="259" w:lineRule="auto"/>
        <w:jc w:val="both"/>
        <w:rPr>
          <w:sz w:val="22"/>
          <w:szCs w:val="22"/>
        </w:rPr>
      </w:pPr>
    </w:p>
    <w:p w14:paraId="53237A6C" w14:textId="77777777" w:rsidR="00DE3EE8" w:rsidRPr="002B7E6B" w:rsidRDefault="00DE3EE8" w:rsidP="00DE3EE8">
      <w:pPr>
        <w:widowControl/>
        <w:spacing w:after="160"/>
        <w:rPr>
          <w:sz w:val="22"/>
          <w:szCs w:val="22"/>
        </w:rPr>
      </w:pPr>
      <w:r w:rsidRPr="002B7E6B">
        <w:rPr>
          <w:sz w:val="22"/>
          <w:szCs w:val="22"/>
        </w:rPr>
        <w:t xml:space="preserve">For more </w:t>
      </w:r>
      <w:proofErr w:type="gramStart"/>
      <w:r w:rsidRPr="002B7E6B">
        <w:rPr>
          <w:sz w:val="22"/>
          <w:szCs w:val="22"/>
        </w:rPr>
        <w:t>information</w:t>
      </w:r>
      <w:proofErr w:type="gramEnd"/>
      <w:r w:rsidRPr="002B7E6B">
        <w:rPr>
          <w:sz w:val="22"/>
          <w:szCs w:val="22"/>
        </w:rPr>
        <w:t xml:space="preserve"> contact Dan Goethel (</w:t>
      </w:r>
      <w:hyperlink r:id="rId81">
        <w:r w:rsidRPr="002B7E6B">
          <w:rPr>
            <w:color w:val="1155CC"/>
            <w:sz w:val="22"/>
            <w:szCs w:val="22"/>
            <w:u w:val="single"/>
          </w:rPr>
          <w:t>daniel.goethel@noaa.gov</w:t>
        </w:r>
      </w:hyperlink>
      <w:r w:rsidRPr="002B7E6B">
        <w:rPr>
          <w:sz w:val="22"/>
          <w:szCs w:val="22"/>
        </w:rPr>
        <w:t>).</w:t>
      </w:r>
    </w:p>
    <w:p w14:paraId="131C6BEF" w14:textId="77777777" w:rsidR="00DE3EE8" w:rsidRPr="002B7E6B" w:rsidRDefault="00DE3EE8" w:rsidP="00DE3EE8">
      <w:pPr>
        <w:widowControl/>
        <w:spacing w:after="160"/>
        <w:rPr>
          <w:sz w:val="22"/>
          <w:szCs w:val="22"/>
        </w:rPr>
      </w:pPr>
    </w:p>
    <w:p w14:paraId="44657C7A" w14:textId="14966486" w:rsidR="00DE3EE8" w:rsidRDefault="00DE3EE8" w:rsidP="005C77E5">
      <w:pPr>
        <w:pStyle w:val="Heading5"/>
      </w:pPr>
      <w:bookmarkStart w:id="133" w:name="_Toc131503875"/>
      <w:r w:rsidRPr="002B7E6B">
        <w:t xml:space="preserve">Sablefish Spatial Dynamics and Harvest Strategies </w:t>
      </w:r>
      <w:r w:rsidR="005C77E5">
        <w:t>–</w:t>
      </w:r>
      <w:r w:rsidRPr="002B7E6B">
        <w:t xml:space="preserve"> ABL</w:t>
      </w:r>
      <w:bookmarkEnd w:id="133"/>
    </w:p>
    <w:p w14:paraId="0EE4997D" w14:textId="77777777" w:rsidR="005C77E5" w:rsidRPr="005C77E5" w:rsidRDefault="005C77E5" w:rsidP="005C77E5"/>
    <w:p w14:paraId="04652732" w14:textId="77777777" w:rsidR="00DE3EE8" w:rsidRPr="002B7E6B" w:rsidRDefault="00DE3EE8" w:rsidP="00DE3EE8">
      <w:pPr>
        <w:widowControl/>
        <w:spacing w:line="259" w:lineRule="auto"/>
        <w:jc w:val="both"/>
        <w:rPr>
          <w:sz w:val="22"/>
          <w:szCs w:val="22"/>
        </w:rPr>
      </w:pPr>
      <w:bookmarkStart w:id="134" w:name="_heading=h.gjdgxs" w:colFirst="0" w:colLast="0"/>
      <w:bookmarkEnd w:id="134"/>
      <w:r w:rsidRPr="002B7E6B">
        <w:rPr>
          <w:sz w:val="22"/>
          <w:szCs w:val="22"/>
        </w:rPr>
        <w:t xml:space="preserve">The projected maximum AK-wide sablefish ABC would represent the third largest catch on record, coinciding with the extreme catch levels of the early 1970s. Following the high catches during the 1970s and associated periods of poor recruitment, biomass and SSB declined rapidly. However, the ABC </w:t>
      </w:r>
      <w:proofErr w:type="gramStart"/>
      <w:r w:rsidRPr="002B7E6B">
        <w:rPr>
          <w:sz w:val="22"/>
          <w:szCs w:val="22"/>
        </w:rPr>
        <w:t>has not been fully harvested</w:t>
      </w:r>
      <w:proofErr w:type="gramEnd"/>
      <w:r w:rsidRPr="002B7E6B">
        <w:rPr>
          <w:sz w:val="22"/>
          <w:szCs w:val="22"/>
        </w:rPr>
        <w:t xml:space="preserve"> in recent years, which may provide an additional precautionary buffer for the sablefish population. Moreover, given concerns regarding the contracted age structure, alternate metrics of spawning potential, which better emphasize fully mature age classes (e.g., the biomass of ages &gt; 10), could help maintain a stronger spawning portfolio as recent cohorts mature. Maintaining a diverse spawning portfolio </w:t>
      </w:r>
      <w:r w:rsidRPr="002B7E6B">
        <w:rPr>
          <w:sz w:val="22"/>
          <w:szCs w:val="22"/>
        </w:rPr>
        <w:lastRenderedPageBreak/>
        <w:t xml:space="preserve">would help improve the resilience of the sablefish resource. Similarly, given that sablefish are such a long-lived species along with the cyclic nature of sablefish dynamics, with historically rare, large recruitment events, exploration of a capped (i.e., implementing a maximum cap on the ABC) management procedure (or an ‘inventory’ management strategy) for sablefish may be worthwhile. Compared to using a maximum yearly catch strategy, capped HCRs could aid in stabilizing long-term sablefish dynamics (i.e., help to prevent long-term cyclical declines as the resource transitions between high and low recruitment regimes). Development has begun on a closed-loop simulation framework based on sablefish, which will explore alternate SSB metrics and harvest strategies. Similarly, better understanding spatial dynamics of sablefish and developing management region-specific estimates of exploitation could be beneficial for monitoring the potential for localized depletion across the Alaska region. A post-doctoral researcher (Craig Marsh) has begun work on a </w:t>
      </w:r>
      <w:proofErr w:type="gramStart"/>
      <w:r w:rsidRPr="002B7E6B">
        <w:rPr>
          <w:sz w:val="22"/>
          <w:szCs w:val="22"/>
        </w:rPr>
        <w:t>spatially-explicit</w:t>
      </w:r>
      <w:proofErr w:type="gramEnd"/>
      <w:r w:rsidRPr="002B7E6B">
        <w:rPr>
          <w:sz w:val="22"/>
          <w:szCs w:val="22"/>
        </w:rPr>
        <w:t xml:space="preserve"> assessment model for Alaskan sablefish, which estimates regional productivity, movement across the spatial domain, and estimates population status within each management unit. Results of the spatial model </w:t>
      </w:r>
      <w:proofErr w:type="gramStart"/>
      <w:r w:rsidRPr="002B7E6B">
        <w:rPr>
          <w:sz w:val="22"/>
          <w:szCs w:val="22"/>
        </w:rPr>
        <w:t>will be utilized</w:t>
      </w:r>
      <w:proofErr w:type="gramEnd"/>
      <w:r w:rsidRPr="002B7E6B">
        <w:rPr>
          <w:sz w:val="22"/>
          <w:szCs w:val="22"/>
        </w:rPr>
        <w:t xml:space="preserve"> as a companion to the single region assessment in coming years and demonstrates promise as a potential management tool in the future.</w:t>
      </w:r>
    </w:p>
    <w:p w14:paraId="379D5898" w14:textId="77777777" w:rsidR="00DE3EE8" w:rsidRPr="002B7E6B" w:rsidRDefault="00DE3EE8" w:rsidP="00DE3EE8">
      <w:pPr>
        <w:rPr>
          <w:sz w:val="22"/>
          <w:szCs w:val="22"/>
        </w:rPr>
      </w:pPr>
    </w:p>
    <w:p w14:paraId="2A5C983C" w14:textId="77777777" w:rsidR="00DE3EE8" w:rsidRPr="002B7E6B" w:rsidRDefault="00DE3EE8" w:rsidP="00DE3EE8">
      <w:pPr>
        <w:pStyle w:val="Heading3"/>
        <w:keepNext w:val="0"/>
        <w:keepLines w:val="0"/>
        <w:numPr>
          <w:ilvl w:val="0"/>
          <w:numId w:val="3"/>
        </w:numPr>
        <w:spacing w:before="0" w:after="0"/>
        <w:ind w:left="360"/>
        <w:rPr>
          <w:rFonts w:cs="Times New Roman"/>
          <w:sz w:val="22"/>
          <w:szCs w:val="22"/>
        </w:rPr>
      </w:pPr>
      <w:bookmarkStart w:id="135" w:name="_Toc131503876"/>
      <w:r w:rsidRPr="002B7E6B">
        <w:rPr>
          <w:rFonts w:cs="Times New Roman"/>
          <w:sz w:val="22"/>
          <w:szCs w:val="22"/>
        </w:rPr>
        <w:t>Lingcod</w:t>
      </w:r>
      <w:bookmarkEnd w:id="135"/>
    </w:p>
    <w:p w14:paraId="3D49078B" w14:textId="77777777" w:rsidR="00DE3EE8" w:rsidRPr="002B7E6B" w:rsidRDefault="00DE3EE8" w:rsidP="00DE3EE8">
      <w:pPr>
        <w:rPr>
          <w:sz w:val="22"/>
          <w:szCs w:val="22"/>
        </w:rPr>
      </w:pPr>
    </w:p>
    <w:p w14:paraId="35B33FDB" w14:textId="77777777" w:rsidR="00DE3EE8" w:rsidRPr="002B7E6B" w:rsidRDefault="00DE3EE8" w:rsidP="00DE3EE8">
      <w:pPr>
        <w:rPr>
          <w:sz w:val="22"/>
          <w:szCs w:val="22"/>
        </w:rPr>
      </w:pPr>
      <w:r w:rsidRPr="002B7E6B">
        <w:rPr>
          <w:sz w:val="22"/>
          <w:szCs w:val="22"/>
        </w:rPr>
        <w:t xml:space="preserve">There are no </w:t>
      </w:r>
      <w:proofErr w:type="gramStart"/>
      <w:r w:rsidRPr="002B7E6B">
        <w:rPr>
          <w:sz w:val="22"/>
          <w:szCs w:val="22"/>
        </w:rPr>
        <w:t>federally-managed</w:t>
      </w:r>
      <w:proofErr w:type="gramEnd"/>
      <w:r w:rsidRPr="002B7E6B">
        <w:rPr>
          <w:sz w:val="22"/>
          <w:szCs w:val="22"/>
        </w:rPr>
        <w:t xml:space="preserve"> lingcod fisheries in Alaska waters. Recreational and small-scale commercial fisheries </w:t>
      </w:r>
      <w:proofErr w:type="gramStart"/>
      <w:r w:rsidRPr="002B7E6B">
        <w:rPr>
          <w:sz w:val="22"/>
          <w:szCs w:val="22"/>
        </w:rPr>
        <w:t>are managed</w:t>
      </w:r>
      <w:proofErr w:type="gramEnd"/>
      <w:r w:rsidRPr="002B7E6B">
        <w:rPr>
          <w:sz w:val="22"/>
          <w:szCs w:val="22"/>
        </w:rPr>
        <w:t xml:space="preserve"> by the Alaska Department of Fish &amp; Game.</w:t>
      </w:r>
    </w:p>
    <w:p w14:paraId="38A57EAA" w14:textId="77777777" w:rsidR="00DE3EE8" w:rsidRPr="002B7E6B" w:rsidRDefault="00DE3EE8" w:rsidP="00DE3EE8">
      <w:pPr>
        <w:rPr>
          <w:sz w:val="22"/>
          <w:szCs w:val="22"/>
        </w:rPr>
      </w:pPr>
    </w:p>
    <w:p w14:paraId="3FF90BE3" w14:textId="06F168BE" w:rsidR="00DE3EE8" w:rsidRPr="002B7E6B" w:rsidRDefault="00DE3EE8" w:rsidP="00DE3EE8">
      <w:pPr>
        <w:pStyle w:val="Heading3"/>
        <w:keepNext w:val="0"/>
        <w:keepLines w:val="0"/>
        <w:numPr>
          <w:ilvl w:val="0"/>
          <w:numId w:val="3"/>
        </w:numPr>
        <w:spacing w:before="0" w:after="0"/>
        <w:ind w:left="360"/>
        <w:rPr>
          <w:rFonts w:cs="Times New Roman"/>
          <w:sz w:val="22"/>
          <w:szCs w:val="22"/>
        </w:rPr>
      </w:pPr>
      <w:bookmarkStart w:id="136" w:name="_Toc131503877"/>
      <w:r w:rsidRPr="002B7E6B">
        <w:rPr>
          <w:rFonts w:cs="Times New Roman"/>
          <w:sz w:val="22"/>
          <w:szCs w:val="22"/>
        </w:rPr>
        <w:t xml:space="preserve">Atka </w:t>
      </w:r>
      <w:proofErr w:type="gramStart"/>
      <w:r w:rsidRPr="002B7E6B">
        <w:rPr>
          <w:rFonts w:cs="Times New Roman"/>
          <w:sz w:val="22"/>
          <w:szCs w:val="22"/>
        </w:rPr>
        <w:t>Mackerel</w:t>
      </w:r>
      <w:bookmarkEnd w:id="136"/>
      <w:proofErr w:type="gramEnd"/>
    </w:p>
    <w:p w14:paraId="5049CBEB" w14:textId="77777777" w:rsidR="00DE3EE8" w:rsidRPr="002B7E6B" w:rsidRDefault="00DE3EE8" w:rsidP="00DE3EE8">
      <w:pPr>
        <w:rPr>
          <w:sz w:val="22"/>
          <w:szCs w:val="22"/>
        </w:rPr>
      </w:pPr>
    </w:p>
    <w:p w14:paraId="3A20E903" w14:textId="4171B14B" w:rsidR="00DE3EE8" w:rsidRPr="002B7E6B" w:rsidRDefault="00DE3EE8" w:rsidP="002C1E2B">
      <w:pPr>
        <w:pStyle w:val="Heading4"/>
        <w:numPr>
          <w:ilvl w:val="3"/>
          <w:numId w:val="3"/>
        </w:numPr>
        <w:ind w:left="360"/>
        <w:rPr>
          <w:szCs w:val="22"/>
        </w:rPr>
      </w:pPr>
      <w:bookmarkStart w:id="137" w:name="_Toc131503878"/>
      <w:r w:rsidRPr="002B7E6B">
        <w:rPr>
          <w:szCs w:val="22"/>
        </w:rPr>
        <w:t>Research</w:t>
      </w:r>
      <w:bookmarkEnd w:id="137"/>
    </w:p>
    <w:p w14:paraId="1B97EE7C" w14:textId="77777777" w:rsidR="00DE3EE8" w:rsidRPr="002B7E6B" w:rsidRDefault="00DE3EE8" w:rsidP="00DE3EE8">
      <w:pPr>
        <w:rPr>
          <w:sz w:val="22"/>
          <w:szCs w:val="22"/>
        </w:rPr>
      </w:pPr>
    </w:p>
    <w:p w14:paraId="2EA4CF15" w14:textId="5CE7A712" w:rsidR="00DE3EE8" w:rsidRDefault="00DE3EE8" w:rsidP="00017EC4">
      <w:pPr>
        <w:pStyle w:val="Heading5"/>
      </w:pPr>
      <w:bookmarkStart w:id="138" w:name="_Toc131503879"/>
      <w:r w:rsidRPr="002B7E6B">
        <w:t xml:space="preserve">Condition and Diet </w:t>
      </w:r>
      <w:r w:rsidR="00017EC4">
        <w:t>–</w:t>
      </w:r>
      <w:r w:rsidRPr="002B7E6B">
        <w:t xml:space="preserve"> ABL</w:t>
      </w:r>
      <w:bookmarkEnd w:id="138"/>
    </w:p>
    <w:p w14:paraId="3165E7D8" w14:textId="77777777" w:rsidR="00017EC4" w:rsidRPr="00017EC4" w:rsidRDefault="00017EC4" w:rsidP="00017EC4"/>
    <w:p w14:paraId="03A92FC6" w14:textId="77777777" w:rsidR="00DE3EE8" w:rsidRPr="002B7E6B" w:rsidRDefault="00DE3EE8" w:rsidP="00DE3EE8">
      <w:pPr>
        <w:widowControl/>
        <w:spacing w:after="120"/>
        <w:rPr>
          <w:sz w:val="22"/>
          <w:szCs w:val="22"/>
        </w:rPr>
      </w:pPr>
      <w:r w:rsidRPr="002B7E6B">
        <w:rPr>
          <w:sz w:val="22"/>
          <w:szCs w:val="22"/>
        </w:rPr>
        <w:t xml:space="preserve">In 2022, we assessed the condition and diets of juvenile groundfish including walleye pollock, Pacific cod, and Atka mackerel during fall in the northern and southeastern Bering Sea. Annual changes in juvenile body condition can affect survival and recruitment, with particular attention on fall condition and over-winter survival effects. </w:t>
      </w:r>
    </w:p>
    <w:p w14:paraId="0C9A7BED" w14:textId="77777777" w:rsidR="00DE3EE8" w:rsidRPr="002B7E6B" w:rsidRDefault="00DE3EE8" w:rsidP="00DE3EE8">
      <w:pPr>
        <w:widowControl/>
        <w:rPr>
          <w:sz w:val="22"/>
          <w:szCs w:val="22"/>
        </w:rPr>
      </w:pPr>
      <w:r w:rsidRPr="002B7E6B">
        <w:rPr>
          <w:sz w:val="22"/>
          <w:szCs w:val="22"/>
        </w:rPr>
        <w:t xml:space="preserve">For more </w:t>
      </w:r>
      <w:proofErr w:type="gramStart"/>
      <w:r w:rsidRPr="002B7E6B">
        <w:rPr>
          <w:sz w:val="22"/>
          <w:szCs w:val="22"/>
        </w:rPr>
        <w:t>information</w:t>
      </w:r>
      <w:proofErr w:type="gramEnd"/>
      <w:r w:rsidRPr="002B7E6B">
        <w:rPr>
          <w:sz w:val="22"/>
          <w:szCs w:val="22"/>
        </w:rPr>
        <w:t xml:space="preserve"> contact Rob Suryan, ABL, rob.suryan@noaa.gov.</w:t>
      </w:r>
    </w:p>
    <w:p w14:paraId="1D90E108" w14:textId="77777777" w:rsidR="00DE3EE8" w:rsidRPr="002B7E6B" w:rsidRDefault="00DE3EE8" w:rsidP="00DE3EE8">
      <w:pPr>
        <w:rPr>
          <w:sz w:val="22"/>
          <w:szCs w:val="22"/>
        </w:rPr>
      </w:pPr>
    </w:p>
    <w:p w14:paraId="5A15B0A5" w14:textId="3993CD4C" w:rsidR="00DE3EE8" w:rsidRPr="002B7E6B" w:rsidRDefault="00DE3EE8" w:rsidP="002C1E2B">
      <w:pPr>
        <w:pStyle w:val="Heading4"/>
        <w:numPr>
          <w:ilvl w:val="3"/>
          <w:numId w:val="3"/>
        </w:numPr>
        <w:ind w:left="360"/>
        <w:rPr>
          <w:szCs w:val="22"/>
        </w:rPr>
      </w:pPr>
      <w:bookmarkStart w:id="139" w:name="_Toc131503880"/>
      <w:r w:rsidRPr="002B7E6B">
        <w:rPr>
          <w:szCs w:val="22"/>
        </w:rPr>
        <w:t>Stock Assessment</w:t>
      </w:r>
      <w:bookmarkEnd w:id="139"/>
    </w:p>
    <w:p w14:paraId="0D268163" w14:textId="77777777" w:rsidR="00DE3EE8" w:rsidRPr="002B7E6B" w:rsidRDefault="00DE3EE8" w:rsidP="00DE3EE8">
      <w:pPr>
        <w:rPr>
          <w:sz w:val="22"/>
          <w:szCs w:val="22"/>
        </w:rPr>
      </w:pPr>
    </w:p>
    <w:p w14:paraId="193E6578" w14:textId="565A91C5" w:rsidR="00DE3EE8" w:rsidRPr="00AB0D0C" w:rsidRDefault="00DE3EE8" w:rsidP="00AB0D0C">
      <w:pPr>
        <w:pStyle w:val="Heading5"/>
      </w:pPr>
      <w:bookmarkStart w:id="140" w:name="_Toc131503881"/>
      <w:r w:rsidRPr="00AB0D0C">
        <w:t>Bering Sea and Aleutian Islands</w:t>
      </w:r>
      <w:r w:rsidR="0024271A" w:rsidRPr="00AB0D0C">
        <w:t xml:space="preserve"> – </w:t>
      </w:r>
      <w:r w:rsidRPr="00AB0D0C">
        <w:t>REFM</w:t>
      </w:r>
      <w:bookmarkEnd w:id="140"/>
    </w:p>
    <w:p w14:paraId="15998952" w14:textId="77777777" w:rsidR="00AB0D0C" w:rsidRPr="00AB0D0C" w:rsidRDefault="00AB0D0C" w:rsidP="00AB0D0C">
      <w:pPr>
        <w:outlineLvl w:val="4"/>
        <w:rPr>
          <w:b/>
          <w:bCs/>
          <w:sz w:val="22"/>
          <w:szCs w:val="22"/>
        </w:rPr>
      </w:pPr>
    </w:p>
    <w:p w14:paraId="3E35CACF" w14:textId="23CB5A21" w:rsidR="00AB0D0C" w:rsidRPr="00AB0D0C" w:rsidRDefault="00AB0D0C" w:rsidP="00AB0D0C">
      <w:pPr>
        <w:spacing w:after="240"/>
        <w:rPr>
          <w:sz w:val="22"/>
          <w:szCs w:val="22"/>
        </w:rPr>
      </w:pPr>
      <w:r w:rsidRPr="00AB0D0C">
        <w:rPr>
          <w:noProof/>
          <w:sz w:val="22"/>
          <w:szCs w:val="22"/>
        </w:rPr>
        <w:lastRenderedPageBreak/>
        <w:drawing>
          <wp:inline distT="0" distB="0" distL="0" distR="0" wp14:anchorId="28C1C426" wp14:editId="2C8EC185">
            <wp:extent cx="5943600" cy="35623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3562350"/>
                    </a:xfrm>
                    <a:prstGeom prst="rect">
                      <a:avLst/>
                    </a:prstGeom>
                  </pic:spPr>
                </pic:pic>
              </a:graphicData>
            </a:graphic>
          </wp:inline>
        </w:drawing>
      </w:r>
      <w:r w:rsidRPr="00AB0D0C">
        <w:rPr>
          <w:sz w:val="22"/>
          <w:szCs w:val="22"/>
        </w:rPr>
        <w:t xml:space="preserve">The BSAI Atka mackerel assessment uses the Assessment Model for Alaska (AMAK), a statistical catch-at-age-model. No changes to the base model </w:t>
      </w:r>
      <w:proofErr w:type="gramStart"/>
      <w:r w:rsidRPr="00AB0D0C">
        <w:rPr>
          <w:sz w:val="22"/>
          <w:szCs w:val="22"/>
        </w:rPr>
        <w:t>were made</w:t>
      </w:r>
      <w:proofErr w:type="gramEnd"/>
      <w:r w:rsidRPr="00AB0D0C">
        <w:rPr>
          <w:sz w:val="22"/>
          <w:szCs w:val="22"/>
        </w:rPr>
        <w:t xml:space="preserve"> this year.</w:t>
      </w:r>
      <w:r>
        <w:rPr>
          <w:sz w:val="22"/>
          <w:szCs w:val="22"/>
        </w:rPr>
        <w:t xml:space="preserve"> </w:t>
      </w:r>
      <w:r w:rsidRPr="00AB0D0C">
        <w:rPr>
          <w:sz w:val="22"/>
          <w:szCs w:val="22"/>
        </w:rPr>
        <w:t xml:space="preserve">The assessment methodology remained unchanged in 2022. Data updates included the final 2021 catch data were and an estimate of total catch for 2002 </w:t>
      </w:r>
      <w:proofErr w:type="gramStart"/>
      <w:r w:rsidRPr="00AB0D0C">
        <w:rPr>
          <w:sz w:val="22"/>
          <w:szCs w:val="22"/>
        </w:rPr>
        <w:t>was assumed</w:t>
      </w:r>
      <w:proofErr w:type="gramEnd"/>
      <w:r w:rsidRPr="00AB0D0C">
        <w:rPr>
          <w:sz w:val="22"/>
          <w:szCs w:val="22"/>
        </w:rPr>
        <w:t xml:space="preserve"> equal to the total allowable catch (TAC, 66,481 t). The 2021 </w:t>
      </w:r>
      <w:proofErr w:type="gramStart"/>
      <w:r w:rsidRPr="00AB0D0C">
        <w:rPr>
          <w:sz w:val="22"/>
          <w:szCs w:val="22"/>
        </w:rPr>
        <w:t>fishery age composition data</w:t>
      </w:r>
      <w:proofErr w:type="gramEnd"/>
      <w:r w:rsidRPr="00AB0D0C">
        <w:rPr>
          <w:sz w:val="22"/>
          <w:szCs w:val="22"/>
        </w:rPr>
        <w:t xml:space="preserve"> were also included in the assessment model. An important assumption made when setting the ABC and OFL values was that approximately 85% of the BSAI-wide ABC will be taken under the revised Steller Sea Lion Reasonable and Prudent Alternatives (SSL RPAs), which was implemented in 2015. This percentage </w:t>
      </w:r>
      <w:proofErr w:type="gramStart"/>
      <w:r w:rsidRPr="00AB0D0C">
        <w:rPr>
          <w:sz w:val="22"/>
          <w:szCs w:val="22"/>
        </w:rPr>
        <w:t>was applied</w:t>
      </w:r>
      <w:proofErr w:type="gramEnd"/>
      <w:r w:rsidRPr="00AB0D0C">
        <w:rPr>
          <w:sz w:val="22"/>
          <w:szCs w:val="22"/>
        </w:rPr>
        <w:t xml:space="preserve"> to the 2023 and 2024 maximum permissible ABCs, and those reduced amounts were assumed to be caught in order to estimate the 2023 and 2024 ABCs and OFL values. </w:t>
      </w:r>
    </w:p>
    <w:p w14:paraId="30B22DA2" w14:textId="77777777" w:rsidR="00AB0D0C" w:rsidRPr="00AB0D0C" w:rsidRDefault="00AB0D0C" w:rsidP="00AB0D0C">
      <w:pPr>
        <w:spacing w:after="240"/>
        <w:rPr>
          <w:sz w:val="22"/>
          <w:szCs w:val="22"/>
        </w:rPr>
      </w:pPr>
      <w:r w:rsidRPr="00AB0D0C">
        <w:rPr>
          <w:color w:val="000000"/>
          <w:sz w:val="22"/>
          <w:szCs w:val="22"/>
        </w:rPr>
        <w:t>For more information, contact Sandra.Lowe@noaa.gov.</w:t>
      </w:r>
    </w:p>
    <w:p w14:paraId="1FF27828" w14:textId="77777777" w:rsidR="00DE3EE8" w:rsidRPr="002B7E6B" w:rsidRDefault="00DE3EE8" w:rsidP="00DE3EE8">
      <w:pPr>
        <w:rPr>
          <w:sz w:val="22"/>
          <w:szCs w:val="22"/>
        </w:rPr>
      </w:pPr>
    </w:p>
    <w:p w14:paraId="33F861D6" w14:textId="7BF2DF54" w:rsidR="00DE3EE8" w:rsidRPr="00017EC4" w:rsidRDefault="00DE3EE8" w:rsidP="00017EC4">
      <w:pPr>
        <w:pStyle w:val="Heading5"/>
      </w:pPr>
      <w:bookmarkStart w:id="141" w:name="_Toc131503882"/>
      <w:r w:rsidRPr="00017EC4">
        <w:t>Gulf of Alaska</w:t>
      </w:r>
      <w:r w:rsidR="00B05625" w:rsidRPr="002B7E6B">
        <w:rPr>
          <w:sz w:val="22"/>
          <w:szCs w:val="22"/>
        </w:rPr>
        <w:t xml:space="preserve"> – </w:t>
      </w:r>
      <w:r w:rsidRPr="00017EC4">
        <w:t>REFM</w:t>
      </w:r>
      <w:bookmarkEnd w:id="141"/>
    </w:p>
    <w:p w14:paraId="5ACE1745" w14:textId="0573EF31" w:rsidR="00DE3EE8" w:rsidRDefault="00DE3EE8" w:rsidP="00DE3EE8">
      <w:pPr>
        <w:rPr>
          <w:sz w:val="22"/>
          <w:szCs w:val="22"/>
        </w:rPr>
      </w:pPr>
    </w:p>
    <w:tbl>
      <w:tblPr>
        <w:tblW w:w="9221" w:type="dxa"/>
        <w:tblLook w:val="04A0" w:firstRow="1" w:lastRow="0" w:firstColumn="1" w:lastColumn="0" w:noHBand="0" w:noVBand="1"/>
      </w:tblPr>
      <w:tblGrid>
        <w:gridCol w:w="1515"/>
        <w:gridCol w:w="1646"/>
        <w:gridCol w:w="1515"/>
        <w:gridCol w:w="1515"/>
        <w:gridCol w:w="1515"/>
        <w:gridCol w:w="1515"/>
      </w:tblGrid>
      <w:tr w:rsidR="00AB0D0C" w:rsidRPr="00AB0D0C" w14:paraId="4DDD1FC1" w14:textId="77777777" w:rsidTr="00B92709">
        <w:trPr>
          <w:trHeight w:val="253"/>
        </w:trPr>
        <w:tc>
          <w:tcPr>
            <w:tcW w:w="1515" w:type="dxa"/>
            <w:tcBorders>
              <w:top w:val="single" w:sz="4" w:space="0" w:color="auto"/>
              <w:left w:val="single" w:sz="4" w:space="0" w:color="auto"/>
              <w:bottom w:val="single" w:sz="4" w:space="0" w:color="auto"/>
              <w:right w:val="nil"/>
            </w:tcBorders>
            <w:shd w:val="clear" w:color="000000" w:fill="FFFFFF"/>
            <w:noWrap/>
            <w:vAlign w:val="bottom"/>
            <w:hideMark/>
          </w:tcPr>
          <w:p w14:paraId="06AECA3F" w14:textId="77777777" w:rsidR="00AB0D0C" w:rsidRPr="00AB0D0C" w:rsidRDefault="00AB0D0C" w:rsidP="00B92709">
            <w:pPr>
              <w:jc w:val="center"/>
              <w:rPr>
                <w:color w:val="000000"/>
                <w:sz w:val="22"/>
                <w:szCs w:val="22"/>
              </w:rPr>
            </w:pPr>
            <w:r w:rsidRPr="00AB0D0C">
              <w:rPr>
                <w:color w:val="000000"/>
                <w:sz w:val="22"/>
                <w:szCs w:val="22"/>
              </w:rPr>
              <w:t>Year</w:t>
            </w:r>
          </w:p>
        </w:tc>
        <w:tc>
          <w:tcPr>
            <w:tcW w:w="1646" w:type="dxa"/>
            <w:tcBorders>
              <w:top w:val="single" w:sz="4" w:space="0" w:color="auto"/>
              <w:left w:val="nil"/>
              <w:bottom w:val="single" w:sz="4" w:space="0" w:color="auto"/>
              <w:right w:val="nil"/>
            </w:tcBorders>
            <w:shd w:val="clear" w:color="000000" w:fill="FFFFFF"/>
            <w:noWrap/>
            <w:vAlign w:val="bottom"/>
            <w:hideMark/>
          </w:tcPr>
          <w:p w14:paraId="7A917906" w14:textId="77777777" w:rsidR="00AB0D0C" w:rsidRPr="00AB0D0C" w:rsidRDefault="00AB0D0C" w:rsidP="00B92709">
            <w:pPr>
              <w:jc w:val="center"/>
              <w:rPr>
                <w:color w:val="000000"/>
                <w:sz w:val="22"/>
                <w:szCs w:val="22"/>
              </w:rPr>
            </w:pPr>
            <w:r w:rsidRPr="00AB0D0C">
              <w:rPr>
                <w:color w:val="000000"/>
                <w:sz w:val="22"/>
                <w:szCs w:val="22"/>
              </w:rPr>
              <w:t>Biomass</w:t>
            </w:r>
          </w:p>
        </w:tc>
        <w:tc>
          <w:tcPr>
            <w:tcW w:w="1515" w:type="dxa"/>
            <w:tcBorders>
              <w:top w:val="single" w:sz="4" w:space="0" w:color="auto"/>
              <w:left w:val="nil"/>
              <w:bottom w:val="single" w:sz="4" w:space="0" w:color="auto"/>
              <w:right w:val="nil"/>
            </w:tcBorders>
            <w:shd w:val="clear" w:color="000000" w:fill="FFFFFF"/>
            <w:noWrap/>
            <w:vAlign w:val="bottom"/>
            <w:hideMark/>
          </w:tcPr>
          <w:p w14:paraId="39DCC67A" w14:textId="77777777" w:rsidR="00AB0D0C" w:rsidRPr="00AB0D0C" w:rsidRDefault="00AB0D0C" w:rsidP="00B92709">
            <w:pPr>
              <w:jc w:val="center"/>
              <w:rPr>
                <w:color w:val="000000"/>
                <w:sz w:val="22"/>
                <w:szCs w:val="22"/>
              </w:rPr>
            </w:pPr>
            <w:r w:rsidRPr="00AB0D0C">
              <w:rPr>
                <w:color w:val="000000"/>
                <w:sz w:val="22"/>
                <w:szCs w:val="22"/>
              </w:rPr>
              <w:t>OFL</w:t>
            </w:r>
          </w:p>
        </w:tc>
        <w:tc>
          <w:tcPr>
            <w:tcW w:w="1515" w:type="dxa"/>
            <w:tcBorders>
              <w:top w:val="single" w:sz="4" w:space="0" w:color="auto"/>
              <w:left w:val="nil"/>
              <w:bottom w:val="single" w:sz="4" w:space="0" w:color="auto"/>
              <w:right w:val="nil"/>
            </w:tcBorders>
            <w:shd w:val="clear" w:color="000000" w:fill="FFFFFF"/>
            <w:noWrap/>
            <w:vAlign w:val="bottom"/>
            <w:hideMark/>
          </w:tcPr>
          <w:p w14:paraId="65B7145A" w14:textId="77777777" w:rsidR="00AB0D0C" w:rsidRPr="00AB0D0C" w:rsidRDefault="00AB0D0C" w:rsidP="00B92709">
            <w:pPr>
              <w:jc w:val="center"/>
              <w:rPr>
                <w:color w:val="000000"/>
                <w:sz w:val="22"/>
                <w:szCs w:val="22"/>
              </w:rPr>
            </w:pPr>
            <w:r w:rsidRPr="00AB0D0C">
              <w:rPr>
                <w:color w:val="000000"/>
                <w:sz w:val="22"/>
                <w:szCs w:val="22"/>
              </w:rPr>
              <w:t>ABC</w:t>
            </w:r>
          </w:p>
        </w:tc>
        <w:tc>
          <w:tcPr>
            <w:tcW w:w="1515" w:type="dxa"/>
            <w:tcBorders>
              <w:top w:val="single" w:sz="4" w:space="0" w:color="auto"/>
              <w:left w:val="nil"/>
              <w:bottom w:val="single" w:sz="4" w:space="0" w:color="auto"/>
              <w:right w:val="nil"/>
            </w:tcBorders>
            <w:shd w:val="clear" w:color="000000" w:fill="FFFFFF"/>
            <w:noWrap/>
            <w:vAlign w:val="bottom"/>
            <w:hideMark/>
          </w:tcPr>
          <w:p w14:paraId="3B94BF53" w14:textId="77777777" w:rsidR="00AB0D0C" w:rsidRPr="00AB0D0C" w:rsidRDefault="00AB0D0C" w:rsidP="00B92709">
            <w:pPr>
              <w:jc w:val="center"/>
              <w:rPr>
                <w:color w:val="000000"/>
                <w:sz w:val="22"/>
                <w:szCs w:val="22"/>
              </w:rPr>
            </w:pPr>
            <w:r w:rsidRPr="00AB0D0C">
              <w:rPr>
                <w:color w:val="000000"/>
                <w:sz w:val="22"/>
                <w:szCs w:val="22"/>
              </w:rPr>
              <w:t>TAC</w:t>
            </w:r>
          </w:p>
        </w:tc>
        <w:tc>
          <w:tcPr>
            <w:tcW w:w="1515" w:type="dxa"/>
            <w:tcBorders>
              <w:top w:val="single" w:sz="4" w:space="0" w:color="auto"/>
              <w:left w:val="nil"/>
              <w:bottom w:val="single" w:sz="4" w:space="0" w:color="auto"/>
              <w:right w:val="single" w:sz="4" w:space="0" w:color="auto"/>
            </w:tcBorders>
            <w:shd w:val="clear" w:color="000000" w:fill="FFFFFF"/>
            <w:noWrap/>
            <w:vAlign w:val="bottom"/>
            <w:hideMark/>
          </w:tcPr>
          <w:p w14:paraId="547CABF1" w14:textId="77777777" w:rsidR="00AB0D0C" w:rsidRPr="00AB0D0C" w:rsidRDefault="00AB0D0C" w:rsidP="00B92709">
            <w:pPr>
              <w:jc w:val="center"/>
              <w:rPr>
                <w:color w:val="000000"/>
                <w:sz w:val="22"/>
                <w:szCs w:val="22"/>
              </w:rPr>
            </w:pPr>
            <w:r w:rsidRPr="00AB0D0C">
              <w:rPr>
                <w:color w:val="000000"/>
                <w:sz w:val="22"/>
                <w:szCs w:val="22"/>
              </w:rPr>
              <w:t>Catch</w:t>
            </w:r>
          </w:p>
        </w:tc>
      </w:tr>
      <w:tr w:rsidR="00AB0D0C" w:rsidRPr="00AB0D0C" w14:paraId="53A34EFF" w14:textId="77777777" w:rsidTr="00B92709">
        <w:trPr>
          <w:trHeight w:val="253"/>
        </w:trPr>
        <w:tc>
          <w:tcPr>
            <w:tcW w:w="1515" w:type="dxa"/>
            <w:tcBorders>
              <w:top w:val="nil"/>
              <w:left w:val="single" w:sz="4" w:space="0" w:color="auto"/>
              <w:bottom w:val="nil"/>
              <w:right w:val="nil"/>
            </w:tcBorders>
            <w:shd w:val="clear" w:color="000000" w:fill="FFFFFF"/>
            <w:noWrap/>
            <w:vAlign w:val="bottom"/>
            <w:hideMark/>
          </w:tcPr>
          <w:p w14:paraId="37181BD6" w14:textId="77777777" w:rsidR="00AB0D0C" w:rsidRPr="00AB0D0C" w:rsidRDefault="00AB0D0C" w:rsidP="00B92709">
            <w:pPr>
              <w:jc w:val="center"/>
              <w:rPr>
                <w:color w:val="000000"/>
                <w:sz w:val="22"/>
                <w:szCs w:val="22"/>
              </w:rPr>
            </w:pPr>
            <w:r w:rsidRPr="00AB0D0C">
              <w:rPr>
                <w:color w:val="000000"/>
                <w:sz w:val="22"/>
                <w:szCs w:val="22"/>
              </w:rPr>
              <w:t>2021</w:t>
            </w:r>
          </w:p>
        </w:tc>
        <w:tc>
          <w:tcPr>
            <w:tcW w:w="1646" w:type="dxa"/>
            <w:tcBorders>
              <w:top w:val="nil"/>
              <w:left w:val="nil"/>
              <w:bottom w:val="nil"/>
              <w:right w:val="nil"/>
            </w:tcBorders>
            <w:shd w:val="clear" w:color="000000" w:fill="FFFFFF"/>
            <w:noWrap/>
            <w:vAlign w:val="bottom"/>
            <w:hideMark/>
          </w:tcPr>
          <w:p w14:paraId="32F0A9B9" w14:textId="77777777" w:rsidR="00AB0D0C" w:rsidRPr="00AB0D0C" w:rsidRDefault="00AB0D0C" w:rsidP="00B92709">
            <w:pPr>
              <w:jc w:val="center"/>
              <w:rPr>
                <w:color w:val="000000"/>
                <w:sz w:val="22"/>
                <w:szCs w:val="22"/>
              </w:rPr>
            </w:pPr>
            <w:r w:rsidRPr="00AB0D0C">
              <w:rPr>
                <w:color w:val="000000"/>
                <w:sz w:val="22"/>
                <w:szCs w:val="22"/>
              </w:rPr>
              <w:t> </w:t>
            </w:r>
          </w:p>
        </w:tc>
        <w:tc>
          <w:tcPr>
            <w:tcW w:w="1515" w:type="dxa"/>
            <w:tcBorders>
              <w:top w:val="nil"/>
              <w:left w:val="nil"/>
              <w:bottom w:val="nil"/>
              <w:right w:val="nil"/>
            </w:tcBorders>
            <w:shd w:val="clear" w:color="000000" w:fill="FFFFFF"/>
            <w:noWrap/>
            <w:vAlign w:val="bottom"/>
            <w:hideMark/>
          </w:tcPr>
          <w:p w14:paraId="55ABF4E6" w14:textId="77777777" w:rsidR="00AB0D0C" w:rsidRPr="00AB0D0C" w:rsidRDefault="00AB0D0C" w:rsidP="00B92709">
            <w:pPr>
              <w:jc w:val="center"/>
              <w:rPr>
                <w:color w:val="000000"/>
                <w:sz w:val="22"/>
                <w:szCs w:val="22"/>
              </w:rPr>
            </w:pPr>
            <w:r w:rsidRPr="00AB0D0C">
              <w:rPr>
                <w:color w:val="000000"/>
                <w:sz w:val="22"/>
                <w:szCs w:val="22"/>
              </w:rPr>
              <w:t>6,200</w:t>
            </w:r>
          </w:p>
        </w:tc>
        <w:tc>
          <w:tcPr>
            <w:tcW w:w="1515" w:type="dxa"/>
            <w:tcBorders>
              <w:top w:val="nil"/>
              <w:left w:val="nil"/>
              <w:bottom w:val="nil"/>
              <w:right w:val="nil"/>
            </w:tcBorders>
            <w:shd w:val="clear" w:color="000000" w:fill="FFFFFF"/>
            <w:noWrap/>
            <w:vAlign w:val="bottom"/>
            <w:hideMark/>
          </w:tcPr>
          <w:p w14:paraId="40DEFB77" w14:textId="77777777" w:rsidR="00AB0D0C" w:rsidRPr="00AB0D0C" w:rsidRDefault="00AB0D0C" w:rsidP="00B92709">
            <w:pPr>
              <w:jc w:val="center"/>
              <w:rPr>
                <w:color w:val="000000"/>
                <w:sz w:val="22"/>
                <w:szCs w:val="22"/>
              </w:rPr>
            </w:pPr>
            <w:r w:rsidRPr="00AB0D0C">
              <w:rPr>
                <w:color w:val="000000"/>
                <w:sz w:val="22"/>
                <w:szCs w:val="22"/>
              </w:rPr>
              <w:t>4,700</w:t>
            </w:r>
          </w:p>
        </w:tc>
        <w:tc>
          <w:tcPr>
            <w:tcW w:w="1515" w:type="dxa"/>
            <w:tcBorders>
              <w:top w:val="nil"/>
              <w:left w:val="nil"/>
              <w:bottom w:val="nil"/>
              <w:right w:val="nil"/>
            </w:tcBorders>
            <w:shd w:val="clear" w:color="000000" w:fill="FFFFFF"/>
            <w:noWrap/>
            <w:vAlign w:val="bottom"/>
            <w:hideMark/>
          </w:tcPr>
          <w:p w14:paraId="4561CAE3" w14:textId="77777777" w:rsidR="00AB0D0C" w:rsidRPr="00AB0D0C" w:rsidRDefault="00AB0D0C" w:rsidP="00B92709">
            <w:pPr>
              <w:jc w:val="center"/>
              <w:rPr>
                <w:color w:val="000000"/>
                <w:sz w:val="22"/>
                <w:szCs w:val="22"/>
              </w:rPr>
            </w:pPr>
            <w:r w:rsidRPr="00AB0D0C">
              <w:rPr>
                <w:color w:val="000000"/>
                <w:sz w:val="22"/>
                <w:szCs w:val="22"/>
              </w:rPr>
              <w:t>3,000</w:t>
            </w:r>
          </w:p>
        </w:tc>
        <w:tc>
          <w:tcPr>
            <w:tcW w:w="1515" w:type="dxa"/>
            <w:tcBorders>
              <w:top w:val="nil"/>
              <w:left w:val="nil"/>
              <w:bottom w:val="nil"/>
              <w:right w:val="single" w:sz="4" w:space="0" w:color="auto"/>
            </w:tcBorders>
            <w:shd w:val="clear" w:color="000000" w:fill="FFFFFF"/>
            <w:noWrap/>
            <w:vAlign w:val="bottom"/>
            <w:hideMark/>
          </w:tcPr>
          <w:p w14:paraId="53B14B51" w14:textId="77777777" w:rsidR="00AB0D0C" w:rsidRPr="00AB0D0C" w:rsidRDefault="00AB0D0C" w:rsidP="00B92709">
            <w:pPr>
              <w:jc w:val="center"/>
              <w:rPr>
                <w:color w:val="000000"/>
                <w:sz w:val="22"/>
                <w:szCs w:val="22"/>
              </w:rPr>
            </w:pPr>
            <w:r w:rsidRPr="00AB0D0C">
              <w:rPr>
                <w:color w:val="000000"/>
                <w:sz w:val="22"/>
                <w:szCs w:val="22"/>
              </w:rPr>
              <w:t>939</w:t>
            </w:r>
          </w:p>
        </w:tc>
      </w:tr>
      <w:tr w:rsidR="00AB0D0C" w:rsidRPr="00AB0D0C" w14:paraId="6FD49A2A" w14:textId="77777777" w:rsidTr="00B92709">
        <w:trPr>
          <w:trHeight w:val="253"/>
        </w:trPr>
        <w:tc>
          <w:tcPr>
            <w:tcW w:w="1515" w:type="dxa"/>
            <w:tcBorders>
              <w:top w:val="nil"/>
              <w:left w:val="single" w:sz="4" w:space="0" w:color="auto"/>
              <w:bottom w:val="nil"/>
              <w:right w:val="nil"/>
            </w:tcBorders>
            <w:shd w:val="clear" w:color="000000" w:fill="FFFFFF"/>
            <w:noWrap/>
            <w:vAlign w:val="bottom"/>
            <w:hideMark/>
          </w:tcPr>
          <w:p w14:paraId="3B1A6E0B" w14:textId="77777777" w:rsidR="00AB0D0C" w:rsidRPr="00AB0D0C" w:rsidRDefault="00AB0D0C" w:rsidP="00B92709">
            <w:pPr>
              <w:jc w:val="center"/>
              <w:rPr>
                <w:color w:val="000000"/>
                <w:sz w:val="22"/>
                <w:szCs w:val="22"/>
              </w:rPr>
            </w:pPr>
            <w:r w:rsidRPr="00AB0D0C">
              <w:rPr>
                <w:color w:val="000000"/>
                <w:sz w:val="22"/>
                <w:szCs w:val="22"/>
              </w:rPr>
              <w:t>2022</w:t>
            </w:r>
          </w:p>
        </w:tc>
        <w:tc>
          <w:tcPr>
            <w:tcW w:w="1646" w:type="dxa"/>
            <w:tcBorders>
              <w:top w:val="nil"/>
              <w:left w:val="nil"/>
              <w:bottom w:val="nil"/>
              <w:right w:val="nil"/>
            </w:tcBorders>
            <w:shd w:val="clear" w:color="000000" w:fill="FFFFFF"/>
            <w:noWrap/>
            <w:vAlign w:val="bottom"/>
            <w:hideMark/>
          </w:tcPr>
          <w:p w14:paraId="7FFC7AED" w14:textId="77777777" w:rsidR="00AB0D0C" w:rsidRPr="00AB0D0C" w:rsidRDefault="00AB0D0C" w:rsidP="00B92709">
            <w:pPr>
              <w:jc w:val="center"/>
              <w:rPr>
                <w:color w:val="000000"/>
                <w:sz w:val="22"/>
                <w:szCs w:val="22"/>
              </w:rPr>
            </w:pPr>
            <w:r w:rsidRPr="00AB0D0C">
              <w:rPr>
                <w:color w:val="000000"/>
                <w:sz w:val="22"/>
                <w:szCs w:val="22"/>
              </w:rPr>
              <w:t> </w:t>
            </w:r>
          </w:p>
        </w:tc>
        <w:tc>
          <w:tcPr>
            <w:tcW w:w="1515" w:type="dxa"/>
            <w:tcBorders>
              <w:top w:val="nil"/>
              <w:left w:val="nil"/>
              <w:bottom w:val="nil"/>
              <w:right w:val="nil"/>
            </w:tcBorders>
            <w:shd w:val="clear" w:color="000000" w:fill="FFFFFF"/>
            <w:noWrap/>
            <w:vAlign w:val="bottom"/>
            <w:hideMark/>
          </w:tcPr>
          <w:p w14:paraId="1404DB9F" w14:textId="77777777" w:rsidR="00AB0D0C" w:rsidRPr="00AB0D0C" w:rsidRDefault="00AB0D0C" w:rsidP="00B92709">
            <w:pPr>
              <w:jc w:val="center"/>
              <w:rPr>
                <w:color w:val="000000"/>
                <w:sz w:val="22"/>
                <w:szCs w:val="22"/>
              </w:rPr>
            </w:pPr>
            <w:r w:rsidRPr="00AB0D0C">
              <w:rPr>
                <w:color w:val="000000"/>
                <w:sz w:val="22"/>
                <w:szCs w:val="22"/>
              </w:rPr>
              <w:t>6,200</w:t>
            </w:r>
          </w:p>
        </w:tc>
        <w:tc>
          <w:tcPr>
            <w:tcW w:w="1515" w:type="dxa"/>
            <w:tcBorders>
              <w:top w:val="nil"/>
              <w:left w:val="nil"/>
              <w:bottom w:val="nil"/>
              <w:right w:val="nil"/>
            </w:tcBorders>
            <w:shd w:val="clear" w:color="000000" w:fill="FFFFFF"/>
            <w:noWrap/>
            <w:vAlign w:val="bottom"/>
            <w:hideMark/>
          </w:tcPr>
          <w:p w14:paraId="196A309D" w14:textId="77777777" w:rsidR="00AB0D0C" w:rsidRPr="00AB0D0C" w:rsidRDefault="00AB0D0C" w:rsidP="00B92709">
            <w:pPr>
              <w:jc w:val="center"/>
              <w:rPr>
                <w:color w:val="000000"/>
                <w:sz w:val="22"/>
                <w:szCs w:val="22"/>
              </w:rPr>
            </w:pPr>
            <w:r w:rsidRPr="00AB0D0C">
              <w:rPr>
                <w:color w:val="000000"/>
                <w:sz w:val="22"/>
                <w:szCs w:val="22"/>
              </w:rPr>
              <w:t>4,700</w:t>
            </w:r>
          </w:p>
        </w:tc>
        <w:tc>
          <w:tcPr>
            <w:tcW w:w="1515" w:type="dxa"/>
            <w:tcBorders>
              <w:top w:val="nil"/>
              <w:left w:val="nil"/>
              <w:bottom w:val="nil"/>
              <w:right w:val="nil"/>
            </w:tcBorders>
            <w:shd w:val="clear" w:color="000000" w:fill="FFFFFF"/>
            <w:noWrap/>
            <w:vAlign w:val="bottom"/>
            <w:hideMark/>
          </w:tcPr>
          <w:p w14:paraId="19D7C650" w14:textId="77777777" w:rsidR="00AB0D0C" w:rsidRPr="00AB0D0C" w:rsidRDefault="00AB0D0C" w:rsidP="00B92709">
            <w:pPr>
              <w:jc w:val="center"/>
              <w:rPr>
                <w:color w:val="000000"/>
                <w:sz w:val="22"/>
                <w:szCs w:val="22"/>
              </w:rPr>
            </w:pPr>
            <w:r w:rsidRPr="00AB0D0C">
              <w:rPr>
                <w:color w:val="000000"/>
                <w:sz w:val="22"/>
                <w:szCs w:val="22"/>
              </w:rPr>
              <w:t>3,000</w:t>
            </w:r>
          </w:p>
        </w:tc>
        <w:tc>
          <w:tcPr>
            <w:tcW w:w="1515" w:type="dxa"/>
            <w:tcBorders>
              <w:top w:val="nil"/>
              <w:left w:val="nil"/>
              <w:bottom w:val="nil"/>
              <w:right w:val="single" w:sz="4" w:space="0" w:color="auto"/>
            </w:tcBorders>
            <w:shd w:val="clear" w:color="000000" w:fill="FFFFFF"/>
            <w:noWrap/>
            <w:vAlign w:val="bottom"/>
            <w:hideMark/>
          </w:tcPr>
          <w:p w14:paraId="05DFA549" w14:textId="77777777" w:rsidR="00AB0D0C" w:rsidRPr="00AB0D0C" w:rsidRDefault="00AB0D0C" w:rsidP="00B92709">
            <w:pPr>
              <w:jc w:val="center"/>
              <w:rPr>
                <w:color w:val="000000"/>
                <w:sz w:val="22"/>
                <w:szCs w:val="22"/>
              </w:rPr>
            </w:pPr>
            <w:r w:rsidRPr="00AB0D0C">
              <w:rPr>
                <w:color w:val="000000"/>
                <w:sz w:val="22"/>
                <w:szCs w:val="22"/>
              </w:rPr>
              <w:t>880</w:t>
            </w:r>
          </w:p>
        </w:tc>
      </w:tr>
      <w:tr w:rsidR="00AB0D0C" w:rsidRPr="00AB0D0C" w14:paraId="01139656" w14:textId="77777777" w:rsidTr="00B92709">
        <w:trPr>
          <w:trHeight w:val="253"/>
        </w:trPr>
        <w:tc>
          <w:tcPr>
            <w:tcW w:w="1515" w:type="dxa"/>
            <w:tcBorders>
              <w:top w:val="nil"/>
              <w:left w:val="single" w:sz="4" w:space="0" w:color="auto"/>
              <w:bottom w:val="nil"/>
              <w:right w:val="nil"/>
            </w:tcBorders>
            <w:shd w:val="clear" w:color="000000" w:fill="FFFFFF"/>
            <w:noWrap/>
            <w:vAlign w:val="bottom"/>
            <w:hideMark/>
          </w:tcPr>
          <w:p w14:paraId="4A2B2363" w14:textId="77777777" w:rsidR="00AB0D0C" w:rsidRPr="00AB0D0C" w:rsidRDefault="00AB0D0C" w:rsidP="00B92709">
            <w:pPr>
              <w:jc w:val="center"/>
              <w:rPr>
                <w:color w:val="000000"/>
                <w:sz w:val="22"/>
                <w:szCs w:val="22"/>
              </w:rPr>
            </w:pPr>
            <w:r w:rsidRPr="00AB0D0C">
              <w:rPr>
                <w:color w:val="000000"/>
                <w:sz w:val="22"/>
                <w:szCs w:val="22"/>
              </w:rPr>
              <w:t>2023</w:t>
            </w:r>
          </w:p>
        </w:tc>
        <w:tc>
          <w:tcPr>
            <w:tcW w:w="1646" w:type="dxa"/>
            <w:tcBorders>
              <w:top w:val="nil"/>
              <w:left w:val="nil"/>
              <w:bottom w:val="nil"/>
              <w:right w:val="nil"/>
            </w:tcBorders>
            <w:shd w:val="clear" w:color="000000" w:fill="FFFFFF"/>
            <w:noWrap/>
            <w:vAlign w:val="bottom"/>
            <w:hideMark/>
          </w:tcPr>
          <w:p w14:paraId="73F9569E" w14:textId="77777777" w:rsidR="00AB0D0C" w:rsidRPr="00AB0D0C" w:rsidRDefault="00AB0D0C" w:rsidP="00B92709">
            <w:pPr>
              <w:jc w:val="center"/>
              <w:rPr>
                <w:color w:val="000000"/>
                <w:sz w:val="22"/>
                <w:szCs w:val="22"/>
              </w:rPr>
            </w:pPr>
            <w:r w:rsidRPr="00AB0D0C">
              <w:rPr>
                <w:color w:val="000000"/>
                <w:sz w:val="22"/>
                <w:szCs w:val="22"/>
              </w:rPr>
              <w:t> </w:t>
            </w:r>
          </w:p>
        </w:tc>
        <w:tc>
          <w:tcPr>
            <w:tcW w:w="1515" w:type="dxa"/>
            <w:tcBorders>
              <w:top w:val="nil"/>
              <w:left w:val="nil"/>
              <w:bottom w:val="nil"/>
              <w:right w:val="nil"/>
            </w:tcBorders>
            <w:shd w:val="clear" w:color="000000" w:fill="FFFFFF"/>
            <w:noWrap/>
            <w:vAlign w:val="bottom"/>
            <w:hideMark/>
          </w:tcPr>
          <w:p w14:paraId="3F7CDA71" w14:textId="77777777" w:rsidR="00AB0D0C" w:rsidRPr="00AB0D0C" w:rsidRDefault="00AB0D0C" w:rsidP="00B92709">
            <w:pPr>
              <w:jc w:val="center"/>
              <w:rPr>
                <w:color w:val="000000"/>
                <w:sz w:val="22"/>
                <w:szCs w:val="22"/>
              </w:rPr>
            </w:pPr>
            <w:r w:rsidRPr="00AB0D0C">
              <w:rPr>
                <w:color w:val="000000"/>
                <w:sz w:val="22"/>
                <w:szCs w:val="22"/>
              </w:rPr>
              <w:t>6,200</w:t>
            </w:r>
          </w:p>
        </w:tc>
        <w:tc>
          <w:tcPr>
            <w:tcW w:w="1515" w:type="dxa"/>
            <w:tcBorders>
              <w:top w:val="nil"/>
              <w:left w:val="nil"/>
              <w:bottom w:val="nil"/>
              <w:right w:val="nil"/>
            </w:tcBorders>
            <w:shd w:val="clear" w:color="000000" w:fill="FFFFFF"/>
            <w:noWrap/>
            <w:vAlign w:val="bottom"/>
            <w:hideMark/>
          </w:tcPr>
          <w:p w14:paraId="33D50262" w14:textId="77777777" w:rsidR="00AB0D0C" w:rsidRPr="00AB0D0C" w:rsidRDefault="00AB0D0C" w:rsidP="00B92709">
            <w:pPr>
              <w:jc w:val="center"/>
              <w:rPr>
                <w:color w:val="000000"/>
                <w:sz w:val="22"/>
                <w:szCs w:val="22"/>
              </w:rPr>
            </w:pPr>
            <w:r w:rsidRPr="00AB0D0C">
              <w:rPr>
                <w:color w:val="000000"/>
                <w:sz w:val="22"/>
                <w:szCs w:val="22"/>
              </w:rPr>
              <w:t>4,700</w:t>
            </w:r>
          </w:p>
        </w:tc>
        <w:tc>
          <w:tcPr>
            <w:tcW w:w="1515" w:type="dxa"/>
            <w:tcBorders>
              <w:top w:val="nil"/>
              <w:left w:val="nil"/>
              <w:bottom w:val="nil"/>
              <w:right w:val="nil"/>
            </w:tcBorders>
            <w:shd w:val="clear" w:color="000000" w:fill="FFFFFF"/>
            <w:noWrap/>
            <w:vAlign w:val="bottom"/>
            <w:hideMark/>
          </w:tcPr>
          <w:p w14:paraId="0DC94192" w14:textId="77777777" w:rsidR="00AB0D0C" w:rsidRPr="00AB0D0C" w:rsidRDefault="00AB0D0C" w:rsidP="00B92709">
            <w:pPr>
              <w:jc w:val="center"/>
              <w:rPr>
                <w:color w:val="000000"/>
                <w:sz w:val="22"/>
                <w:szCs w:val="22"/>
              </w:rPr>
            </w:pPr>
            <w:r w:rsidRPr="00AB0D0C">
              <w:rPr>
                <w:color w:val="000000"/>
                <w:sz w:val="22"/>
                <w:szCs w:val="22"/>
              </w:rPr>
              <w:t> </w:t>
            </w:r>
          </w:p>
        </w:tc>
        <w:tc>
          <w:tcPr>
            <w:tcW w:w="1515" w:type="dxa"/>
            <w:tcBorders>
              <w:top w:val="nil"/>
              <w:left w:val="nil"/>
              <w:bottom w:val="nil"/>
              <w:right w:val="single" w:sz="4" w:space="0" w:color="auto"/>
            </w:tcBorders>
            <w:shd w:val="clear" w:color="000000" w:fill="FFFFFF"/>
            <w:noWrap/>
            <w:vAlign w:val="bottom"/>
            <w:hideMark/>
          </w:tcPr>
          <w:p w14:paraId="7CE53AF4" w14:textId="77777777" w:rsidR="00AB0D0C" w:rsidRPr="00AB0D0C" w:rsidRDefault="00AB0D0C" w:rsidP="00B92709">
            <w:pPr>
              <w:jc w:val="center"/>
              <w:rPr>
                <w:color w:val="000000"/>
                <w:sz w:val="22"/>
                <w:szCs w:val="22"/>
              </w:rPr>
            </w:pPr>
            <w:r w:rsidRPr="00AB0D0C">
              <w:rPr>
                <w:color w:val="000000"/>
                <w:sz w:val="22"/>
                <w:szCs w:val="22"/>
              </w:rPr>
              <w:t> </w:t>
            </w:r>
          </w:p>
        </w:tc>
      </w:tr>
      <w:tr w:rsidR="00AB0D0C" w:rsidRPr="00AB0D0C" w14:paraId="094CBAE8" w14:textId="77777777" w:rsidTr="00B92709">
        <w:trPr>
          <w:trHeight w:val="253"/>
        </w:trPr>
        <w:tc>
          <w:tcPr>
            <w:tcW w:w="1515" w:type="dxa"/>
            <w:tcBorders>
              <w:top w:val="nil"/>
              <w:left w:val="single" w:sz="4" w:space="0" w:color="auto"/>
              <w:bottom w:val="single" w:sz="4" w:space="0" w:color="auto"/>
              <w:right w:val="nil"/>
            </w:tcBorders>
            <w:shd w:val="clear" w:color="000000" w:fill="FFFFFF"/>
            <w:noWrap/>
            <w:vAlign w:val="bottom"/>
            <w:hideMark/>
          </w:tcPr>
          <w:p w14:paraId="677AFFBC" w14:textId="77777777" w:rsidR="00AB0D0C" w:rsidRPr="00AB0D0C" w:rsidRDefault="00AB0D0C" w:rsidP="00B92709">
            <w:pPr>
              <w:jc w:val="center"/>
              <w:rPr>
                <w:color w:val="000000"/>
                <w:sz w:val="22"/>
                <w:szCs w:val="22"/>
              </w:rPr>
            </w:pPr>
            <w:r w:rsidRPr="00AB0D0C">
              <w:rPr>
                <w:color w:val="000000"/>
                <w:sz w:val="22"/>
                <w:szCs w:val="22"/>
              </w:rPr>
              <w:t>2024</w:t>
            </w:r>
          </w:p>
        </w:tc>
        <w:tc>
          <w:tcPr>
            <w:tcW w:w="1646" w:type="dxa"/>
            <w:tcBorders>
              <w:top w:val="nil"/>
              <w:left w:val="nil"/>
              <w:bottom w:val="single" w:sz="4" w:space="0" w:color="auto"/>
              <w:right w:val="nil"/>
            </w:tcBorders>
            <w:shd w:val="clear" w:color="000000" w:fill="FFFFFF"/>
            <w:noWrap/>
            <w:vAlign w:val="bottom"/>
            <w:hideMark/>
          </w:tcPr>
          <w:p w14:paraId="74B1CCBA" w14:textId="77777777" w:rsidR="00AB0D0C" w:rsidRPr="00AB0D0C" w:rsidRDefault="00AB0D0C" w:rsidP="00B92709">
            <w:pPr>
              <w:jc w:val="center"/>
              <w:rPr>
                <w:color w:val="000000"/>
                <w:sz w:val="22"/>
                <w:szCs w:val="22"/>
              </w:rPr>
            </w:pPr>
            <w:r w:rsidRPr="00AB0D0C">
              <w:rPr>
                <w:color w:val="000000"/>
                <w:sz w:val="22"/>
                <w:szCs w:val="22"/>
              </w:rPr>
              <w:t> </w:t>
            </w:r>
          </w:p>
        </w:tc>
        <w:tc>
          <w:tcPr>
            <w:tcW w:w="1515" w:type="dxa"/>
            <w:tcBorders>
              <w:top w:val="nil"/>
              <w:left w:val="nil"/>
              <w:bottom w:val="single" w:sz="4" w:space="0" w:color="auto"/>
              <w:right w:val="nil"/>
            </w:tcBorders>
            <w:shd w:val="clear" w:color="000000" w:fill="FFFFFF"/>
            <w:noWrap/>
            <w:vAlign w:val="bottom"/>
            <w:hideMark/>
          </w:tcPr>
          <w:p w14:paraId="6407E36B" w14:textId="77777777" w:rsidR="00AB0D0C" w:rsidRPr="00AB0D0C" w:rsidRDefault="00AB0D0C" w:rsidP="00B92709">
            <w:pPr>
              <w:jc w:val="center"/>
              <w:rPr>
                <w:color w:val="000000"/>
                <w:sz w:val="22"/>
                <w:szCs w:val="22"/>
              </w:rPr>
            </w:pPr>
            <w:r w:rsidRPr="00AB0D0C">
              <w:rPr>
                <w:color w:val="000000"/>
                <w:sz w:val="22"/>
                <w:szCs w:val="22"/>
              </w:rPr>
              <w:t>6,200</w:t>
            </w:r>
          </w:p>
        </w:tc>
        <w:tc>
          <w:tcPr>
            <w:tcW w:w="1515" w:type="dxa"/>
            <w:tcBorders>
              <w:top w:val="nil"/>
              <w:left w:val="nil"/>
              <w:bottom w:val="single" w:sz="4" w:space="0" w:color="auto"/>
              <w:right w:val="nil"/>
            </w:tcBorders>
            <w:shd w:val="clear" w:color="000000" w:fill="FFFFFF"/>
            <w:noWrap/>
            <w:vAlign w:val="bottom"/>
            <w:hideMark/>
          </w:tcPr>
          <w:p w14:paraId="1DAC76C9" w14:textId="77777777" w:rsidR="00AB0D0C" w:rsidRPr="00AB0D0C" w:rsidRDefault="00AB0D0C" w:rsidP="00B92709">
            <w:pPr>
              <w:jc w:val="center"/>
              <w:rPr>
                <w:color w:val="000000"/>
                <w:sz w:val="22"/>
                <w:szCs w:val="22"/>
              </w:rPr>
            </w:pPr>
            <w:r w:rsidRPr="00AB0D0C">
              <w:rPr>
                <w:color w:val="000000"/>
                <w:sz w:val="22"/>
                <w:szCs w:val="22"/>
              </w:rPr>
              <w:t>4,700</w:t>
            </w:r>
          </w:p>
        </w:tc>
        <w:tc>
          <w:tcPr>
            <w:tcW w:w="1515" w:type="dxa"/>
            <w:tcBorders>
              <w:top w:val="nil"/>
              <w:left w:val="nil"/>
              <w:bottom w:val="single" w:sz="4" w:space="0" w:color="auto"/>
              <w:right w:val="nil"/>
            </w:tcBorders>
            <w:shd w:val="clear" w:color="000000" w:fill="FFFFFF"/>
            <w:noWrap/>
            <w:vAlign w:val="bottom"/>
            <w:hideMark/>
          </w:tcPr>
          <w:p w14:paraId="7C55BA9B" w14:textId="77777777" w:rsidR="00AB0D0C" w:rsidRPr="00AB0D0C" w:rsidRDefault="00AB0D0C" w:rsidP="00B92709">
            <w:pPr>
              <w:jc w:val="center"/>
              <w:rPr>
                <w:color w:val="000000"/>
                <w:sz w:val="22"/>
                <w:szCs w:val="22"/>
              </w:rPr>
            </w:pPr>
            <w:r w:rsidRPr="00AB0D0C">
              <w:rPr>
                <w:color w:val="000000"/>
                <w:sz w:val="22"/>
                <w:szCs w:val="22"/>
              </w:rPr>
              <w:t> </w:t>
            </w:r>
          </w:p>
        </w:tc>
        <w:tc>
          <w:tcPr>
            <w:tcW w:w="1515" w:type="dxa"/>
            <w:tcBorders>
              <w:top w:val="nil"/>
              <w:left w:val="nil"/>
              <w:bottom w:val="single" w:sz="4" w:space="0" w:color="auto"/>
              <w:right w:val="single" w:sz="4" w:space="0" w:color="auto"/>
            </w:tcBorders>
            <w:shd w:val="clear" w:color="000000" w:fill="FFFFFF"/>
            <w:noWrap/>
            <w:vAlign w:val="bottom"/>
            <w:hideMark/>
          </w:tcPr>
          <w:p w14:paraId="7FE4D859" w14:textId="77777777" w:rsidR="00AB0D0C" w:rsidRPr="00AB0D0C" w:rsidRDefault="00AB0D0C" w:rsidP="00B92709">
            <w:pPr>
              <w:jc w:val="center"/>
              <w:rPr>
                <w:color w:val="000000"/>
                <w:sz w:val="22"/>
                <w:szCs w:val="22"/>
              </w:rPr>
            </w:pPr>
            <w:r w:rsidRPr="00AB0D0C">
              <w:rPr>
                <w:color w:val="000000"/>
                <w:sz w:val="22"/>
                <w:szCs w:val="22"/>
              </w:rPr>
              <w:t> </w:t>
            </w:r>
          </w:p>
        </w:tc>
      </w:tr>
    </w:tbl>
    <w:p w14:paraId="5FAB1166" w14:textId="77777777" w:rsidR="00AB0D0C" w:rsidRPr="00AB0D0C" w:rsidRDefault="00AB0D0C" w:rsidP="00AB0D0C">
      <w:pPr>
        <w:outlineLvl w:val="4"/>
        <w:rPr>
          <w:b/>
          <w:bCs/>
          <w:sz w:val="22"/>
          <w:szCs w:val="22"/>
        </w:rPr>
      </w:pPr>
      <w:r w:rsidRPr="00AB0D0C">
        <w:rPr>
          <w:b/>
          <w:bCs/>
          <w:sz w:val="22"/>
          <w:szCs w:val="22"/>
        </w:rPr>
        <w:t xml:space="preserve"> </w:t>
      </w:r>
    </w:p>
    <w:p w14:paraId="40C75BF5" w14:textId="77777777" w:rsidR="00AB0D0C" w:rsidRPr="00AB0D0C" w:rsidRDefault="00AB0D0C" w:rsidP="00AB0D0C">
      <w:pPr>
        <w:spacing w:after="240"/>
        <w:rPr>
          <w:sz w:val="22"/>
          <w:szCs w:val="22"/>
        </w:rPr>
      </w:pPr>
      <w:r w:rsidRPr="00AB0D0C">
        <w:rPr>
          <w:sz w:val="22"/>
          <w:szCs w:val="22"/>
        </w:rPr>
        <w:t xml:space="preserve">In accordance with the approved schedule, no assessment </w:t>
      </w:r>
      <w:proofErr w:type="gramStart"/>
      <w:r w:rsidRPr="00AB0D0C">
        <w:rPr>
          <w:sz w:val="22"/>
          <w:szCs w:val="22"/>
        </w:rPr>
        <w:t>was conducted</w:t>
      </w:r>
      <w:proofErr w:type="gramEnd"/>
      <w:r w:rsidRPr="00AB0D0C">
        <w:rPr>
          <w:sz w:val="22"/>
          <w:szCs w:val="22"/>
        </w:rPr>
        <w:t xml:space="preserve"> for Atka mackerel this year. However, a full stock assessment </w:t>
      </w:r>
      <w:proofErr w:type="gramStart"/>
      <w:r w:rsidRPr="00AB0D0C">
        <w:rPr>
          <w:sz w:val="22"/>
          <w:szCs w:val="22"/>
        </w:rPr>
        <w:t>will be conducted</w:t>
      </w:r>
      <w:proofErr w:type="gramEnd"/>
      <w:r w:rsidRPr="00AB0D0C">
        <w:rPr>
          <w:sz w:val="22"/>
          <w:szCs w:val="22"/>
        </w:rPr>
        <w:t xml:space="preserve"> in 2023. </w:t>
      </w:r>
      <w:r w:rsidRPr="00AB0D0C">
        <w:rPr>
          <w:color w:val="212121"/>
          <w:sz w:val="22"/>
          <w:szCs w:val="22"/>
        </w:rPr>
        <w:t>Until then, the values generated from the previous stock assessment (</w:t>
      </w:r>
      <w:r w:rsidRPr="00AB0D0C">
        <w:rPr>
          <w:color w:val="0000FF"/>
          <w:sz w:val="22"/>
          <w:szCs w:val="22"/>
        </w:rPr>
        <w:t>https://apps-afsc.fisheries.noaa.gov/refm/docs/2021/GOAatka.pdf</w:t>
      </w:r>
      <w:r w:rsidRPr="00AB0D0C">
        <w:rPr>
          <w:color w:val="212121"/>
          <w:sz w:val="22"/>
          <w:szCs w:val="22"/>
        </w:rPr>
        <w:t xml:space="preserve">) </w:t>
      </w:r>
      <w:proofErr w:type="gramStart"/>
      <w:r w:rsidRPr="00AB0D0C">
        <w:rPr>
          <w:color w:val="212121"/>
          <w:sz w:val="22"/>
          <w:szCs w:val="22"/>
        </w:rPr>
        <w:t>will be rolled over</w:t>
      </w:r>
      <w:proofErr w:type="gramEnd"/>
      <w:r w:rsidRPr="00AB0D0C">
        <w:rPr>
          <w:color w:val="212121"/>
          <w:sz w:val="22"/>
          <w:szCs w:val="22"/>
        </w:rPr>
        <w:t xml:space="preserve"> for 2023 specifications.</w:t>
      </w:r>
    </w:p>
    <w:p w14:paraId="3B1FA10B" w14:textId="77777777" w:rsidR="00AB0D0C" w:rsidRPr="00AB0D0C" w:rsidRDefault="00AB0D0C" w:rsidP="00AB0D0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sz w:val="22"/>
          <w:szCs w:val="22"/>
        </w:rPr>
      </w:pPr>
    </w:p>
    <w:p w14:paraId="4771F112" w14:textId="77777777" w:rsidR="00AB0D0C" w:rsidRPr="00AB0D0C" w:rsidRDefault="00AB0D0C" w:rsidP="00AB0D0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sz w:val="22"/>
          <w:szCs w:val="22"/>
        </w:rPr>
      </w:pPr>
      <w:r w:rsidRPr="00AB0D0C">
        <w:rPr>
          <w:sz w:val="22"/>
          <w:szCs w:val="22"/>
        </w:rPr>
        <w:lastRenderedPageBreak/>
        <w:t>For more information, contact Sandra.Lowe@noaa.gov.</w:t>
      </w:r>
    </w:p>
    <w:p w14:paraId="4BABD044" w14:textId="77777777" w:rsidR="00AB0D0C" w:rsidRPr="002B7E6B" w:rsidRDefault="00AB0D0C" w:rsidP="00DE3EE8">
      <w:pPr>
        <w:rPr>
          <w:sz w:val="22"/>
          <w:szCs w:val="22"/>
        </w:rPr>
      </w:pPr>
    </w:p>
    <w:p w14:paraId="4C9DAB1E" w14:textId="77777777" w:rsidR="00DE3EE8" w:rsidRPr="002B7E6B" w:rsidRDefault="00DE3EE8" w:rsidP="00DE3EE8">
      <w:pPr>
        <w:pStyle w:val="Heading3"/>
        <w:keepNext w:val="0"/>
        <w:keepLines w:val="0"/>
        <w:numPr>
          <w:ilvl w:val="0"/>
          <w:numId w:val="3"/>
        </w:numPr>
        <w:spacing w:before="0" w:after="0"/>
        <w:ind w:left="0" w:firstLine="0"/>
        <w:rPr>
          <w:rFonts w:cs="Times New Roman"/>
          <w:sz w:val="22"/>
          <w:szCs w:val="22"/>
        </w:rPr>
      </w:pPr>
      <w:bookmarkStart w:id="142" w:name="_Toc131503883"/>
      <w:r w:rsidRPr="002B7E6B">
        <w:rPr>
          <w:rFonts w:cs="Times New Roman"/>
          <w:sz w:val="22"/>
          <w:szCs w:val="22"/>
        </w:rPr>
        <w:t>Flatfish</w:t>
      </w:r>
      <w:bookmarkEnd w:id="142"/>
    </w:p>
    <w:p w14:paraId="57BA7364" w14:textId="77777777" w:rsidR="00DE3EE8" w:rsidRPr="002B7E6B" w:rsidRDefault="00DE3EE8" w:rsidP="00DE3EE8">
      <w:pPr>
        <w:rPr>
          <w:sz w:val="22"/>
          <w:szCs w:val="22"/>
        </w:rPr>
      </w:pPr>
    </w:p>
    <w:p w14:paraId="26E9A6D6" w14:textId="63EA8FE6" w:rsidR="00DE3EE8" w:rsidRPr="002B7E6B" w:rsidRDefault="00DE3EE8" w:rsidP="002C1E2B">
      <w:pPr>
        <w:pStyle w:val="Heading4"/>
        <w:numPr>
          <w:ilvl w:val="3"/>
          <w:numId w:val="3"/>
        </w:numPr>
        <w:ind w:left="360"/>
        <w:rPr>
          <w:szCs w:val="22"/>
        </w:rPr>
      </w:pPr>
      <w:bookmarkStart w:id="143" w:name="_Toc131503884"/>
      <w:r w:rsidRPr="002B7E6B">
        <w:rPr>
          <w:szCs w:val="22"/>
        </w:rPr>
        <w:t>Research</w:t>
      </w:r>
      <w:bookmarkEnd w:id="143"/>
    </w:p>
    <w:p w14:paraId="6CB21B9C" w14:textId="77777777" w:rsidR="00DE3EE8" w:rsidRPr="002B7E6B" w:rsidRDefault="00DE3EE8" w:rsidP="00DE3EE8">
      <w:pPr>
        <w:rPr>
          <w:sz w:val="22"/>
          <w:szCs w:val="22"/>
        </w:rPr>
      </w:pPr>
    </w:p>
    <w:p w14:paraId="07DA0E89" w14:textId="77777777" w:rsidR="00DE3EE8" w:rsidRPr="002B7E6B" w:rsidRDefault="00DE3EE8" w:rsidP="00DE3EE8">
      <w:pPr>
        <w:rPr>
          <w:sz w:val="22"/>
          <w:szCs w:val="22"/>
        </w:rPr>
      </w:pPr>
    </w:p>
    <w:p w14:paraId="536C4FBF" w14:textId="6428186C" w:rsidR="00DE3EE8" w:rsidRPr="002B7E6B" w:rsidRDefault="00DE3EE8" w:rsidP="002C1E2B">
      <w:pPr>
        <w:pStyle w:val="Heading4"/>
        <w:numPr>
          <w:ilvl w:val="3"/>
          <w:numId w:val="3"/>
        </w:numPr>
        <w:ind w:left="360"/>
        <w:rPr>
          <w:szCs w:val="22"/>
        </w:rPr>
      </w:pPr>
      <w:bookmarkStart w:id="144" w:name="_Toc131503885"/>
      <w:r w:rsidRPr="002B7E6B">
        <w:rPr>
          <w:szCs w:val="22"/>
        </w:rPr>
        <w:t>Assessment</w:t>
      </w:r>
      <w:bookmarkEnd w:id="144"/>
    </w:p>
    <w:p w14:paraId="7D3C3224" w14:textId="77777777" w:rsidR="00DE3EE8" w:rsidRPr="002B7E6B" w:rsidRDefault="00DE3EE8" w:rsidP="00DE3EE8">
      <w:pPr>
        <w:rPr>
          <w:sz w:val="22"/>
          <w:szCs w:val="22"/>
        </w:rPr>
      </w:pPr>
    </w:p>
    <w:p w14:paraId="095C9487" w14:textId="198BB1E0" w:rsidR="00DE3EE8" w:rsidRDefault="00DE3EE8" w:rsidP="00017EC4">
      <w:pPr>
        <w:pStyle w:val="Heading5"/>
      </w:pPr>
      <w:bookmarkStart w:id="145" w:name="_Toc131503886"/>
      <w:r w:rsidRPr="00017EC4">
        <w:t>Yellowfin sole</w:t>
      </w:r>
      <w:r w:rsidR="0024271A">
        <w:t xml:space="preserve"> – </w:t>
      </w:r>
      <w:r w:rsidRPr="00017EC4">
        <w:t xml:space="preserve">Bering Sea and Aleutian Islands </w:t>
      </w:r>
      <w:r w:rsidR="00017EC4">
        <w:t>–</w:t>
      </w:r>
      <w:r w:rsidR="00B05625">
        <w:t xml:space="preserve"> </w:t>
      </w:r>
      <w:r w:rsidRPr="00017EC4">
        <w:t>REFM</w:t>
      </w:r>
      <w:bookmarkEnd w:id="145"/>
    </w:p>
    <w:p w14:paraId="358AE682" w14:textId="77777777" w:rsidR="00AB0D0C" w:rsidRPr="00AB0D0C" w:rsidRDefault="00AB0D0C" w:rsidP="00AB0D0C">
      <w:pPr>
        <w:rPr>
          <w:color w:val="000000"/>
          <w:sz w:val="22"/>
          <w:szCs w:val="22"/>
        </w:rPr>
      </w:pPr>
    </w:p>
    <w:tbl>
      <w:tblPr>
        <w:tblW w:w="9446" w:type="dxa"/>
        <w:tblLook w:val="04A0" w:firstRow="1" w:lastRow="0" w:firstColumn="1" w:lastColumn="0" w:noHBand="0" w:noVBand="1"/>
      </w:tblPr>
      <w:tblGrid>
        <w:gridCol w:w="1047"/>
        <w:gridCol w:w="1317"/>
        <w:gridCol w:w="1614"/>
        <w:gridCol w:w="1367"/>
        <w:gridCol w:w="1367"/>
        <w:gridCol w:w="1367"/>
        <w:gridCol w:w="1367"/>
      </w:tblGrid>
      <w:tr w:rsidR="00AB0D0C" w:rsidRPr="00AB0D0C" w14:paraId="0BE979B2" w14:textId="77777777" w:rsidTr="00B92709">
        <w:trPr>
          <w:trHeight w:val="565"/>
        </w:trPr>
        <w:tc>
          <w:tcPr>
            <w:tcW w:w="10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CB9DE0C" w14:textId="77777777" w:rsidR="00AB0D0C" w:rsidRPr="00AB0D0C" w:rsidRDefault="00AB0D0C" w:rsidP="00B92709">
            <w:pPr>
              <w:jc w:val="center"/>
              <w:rPr>
                <w:color w:val="000000"/>
                <w:sz w:val="22"/>
                <w:szCs w:val="22"/>
              </w:rPr>
            </w:pPr>
            <w:r w:rsidRPr="00AB0D0C">
              <w:rPr>
                <w:color w:val="000000"/>
                <w:sz w:val="22"/>
                <w:szCs w:val="22"/>
              </w:rPr>
              <w:t>Area</w:t>
            </w:r>
          </w:p>
        </w:tc>
        <w:tc>
          <w:tcPr>
            <w:tcW w:w="1317" w:type="dxa"/>
            <w:tcBorders>
              <w:top w:val="single" w:sz="4" w:space="0" w:color="auto"/>
              <w:left w:val="nil"/>
              <w:bottom w:val="single" w:sz="4" w:space="0" w:color="auto"/>
              <w:right w:val="single" w:sz="4" w:space="0" w:color="auto"/>
            </w:tcBorders>
            <w:shd w:val="clear" w:color="000000" w:fill="FFFFFF"/>
            <w:vAlign w:val="center"/>
            <w:hideMark/>
          </w:tcPr>
          <w:p w14:paraId="71883D82" w14:textId="77777777" w:rsidR="00AB0D0C" w:rsidRPr="00AB0D0C" w:rsidRDefault="00AB0D0C" w:rsidP="00B92709">
            <w:pPr>
              <w:jc w:val="center"/>
              <w:rPr>
                <w:color w:val="000000"/>
                <w:sz w:val="22"/>
                <w:szCs w:val="22"/>
              </w:rPr>
            </w:pPr>
            <w:r w:rsidRPr="00AB0D0C">
              <w:rPr>
                <w:color w:val="000000"/>
                <w:sz w:val="22"/>
                <w:szCs w:val="22"/>
              </w:rPr>
              <w:t>Year</w:t>
            </w:r>
          </w:p>
        </w:tc>
        <w:tc>
          <w:tcPr>
            <w:tcW w:w="1614" w:type="dxa"/>
            <w:tcBorders>
              <w:top w:val="single" w:sz="4" w:space="0" w:color="auto"/>
              <w:left w:val="nil"/>
              <w:bottom w:val="single" w:sz="4" w:space="0" w:color="auto"/>
              <w:right w:val="single" w:sz="4" w:space="0" w:color="auto"/>
            </w:tcBorders>
            <w:shd w:val="clear" w:color="000000" w:fill="FFFFFF"/>
            <w:hideMark/>
          </w:tcPr>
          <w:p w14:paraId="12ACAB8D" w14:textId="77777777" w:rsidR="00AB0D0C" w:rsidRPr="00AB0D0C" w:rsidRDefault="00AB0D0C" w:rsidP="00B92709">
            <w:pPr>
              <w:jc w:val="center"/>
              <w:rPr>
                <w:color w:val="000000"/>
                <w:sz w:val="22"/>
                <w:szCs w:val="22"/>
              </w:rPr>
            </w:pPr>
            <w:r w:rsidRPr="00AB0D0C">
              <w:rPr>
                <w:color w:val="000000"/>
                <w:sz w:val="22"/>
                <w:szCs w:val="22"/>
              </w:rPr>
              <w:t>Age 6+ Biomass</w:t>
            </w:r>
          </w:p>
        </w:tc>
        <w:tc>
          <w:tcPr>
            <w:tcW w:w="1367" w:type="dxa"/>
            <w:tcBorders>
              <w:top w:val="single" w:sz="4" w:space="0" w:color="auto"/>
              <w:left w:val="nil"/>
              <w:bottom w:val="single" w:sz="4" w:space="0" w:color="auto"/>
              <w:right w:val="single" w:sz="4" w:space="0" w:color="auto"/>
            </w:tcBorders>
            <w:shd w:val="clear" w:color="000000" w:fill="FFFFFF"/>
            <w:vAlign w:val="center"/>
            <w:hideMark/>
          </w:tcPr>
          <w:p w14:paraId="053DF580" w14:textId="77777777" w:rsidR="00AB0D0C" w:rsidRPr="00AB0D0C" w:rsidRDefault="00AB0D0C" w:rsidP="00B92709">
            <w:pPr>
              <w:jc w:val="center"/>
              <w:rPr>
                <w:color w:val="000000"/>
                <w:sz w:val="22"/>
                <w:szCs w:val="22"/>
              </w:rPr>
            </w:pPr>
            <w:r w:rsidRPr="00AB0D0C">
              <w:rPr>
                <w:color w:val="000000"/>
                <w:sz w:val="22"/>
                <w:szCs w:val="22"/>
              </w:rPr>
              <w:t>OFL</w:t>
            </w:r>
          </w:p>
        </w:tc>
        <w:tc>
          <w:tcPr>
            <w:tcW w:w="1367" w:type="dxa"/>
            <w:tcBorders>
              <w:top w:val="single" w:sz="4" w:space="0" w:color="auto"/>
              <w:left w:val="nil"/>
              <w:bottom w:val="single" w:sz="4" w:space="0" w:color="auto"/>
              <w:right w:val="single" w:sz="4" w:space="0" w:color="auto"/>
            </w:tcBorders>
            <w:shd w:val="clear" w:color="000000" w:fill="FFFFFF"/>
            <w:vAlign w:val="center"/>
            <w:hideMark/>
          </w:tcPr>
          <w:p w14:paraId="34FFE899" w14:textId="77777777" w:rsidR="00AB0D0C" w:rsidRPr="00AB0D0C" w:rsidRDefault="00AB0D0C" w:rsidP="00B92709">
            <w:pPr>
              <w:jc w:val="center"/>
              <w:rPr>
                <w:color w:val="000000"/>
                <w:sz w:val="22"/>
                <w:szCs w:val="22"/>
              </w:rPr>
            </w:pPr>
            <w:r w:rsidRPr="00AB0D0C">
              <w:rPr>
                <w:color w:val="000000"/>
                <w:sz w:val="22"/>
                <w:szCs w:val="22"/>
              </w:rPr>
              <w:t>ABC</w:t>
            </w:r>
          </w:p>
        </w:tc>
        <w:tc>
          <w:tcPr>
            <w:tcW w:w="1367" w:type="dxa"/>
            <w:tcBorders>
              <w:top w:val="single" w:sz="4" w:space="0" w:color="auto"/>
              <w:left w:val="nil"/>
              <w:bottom w:val="single" w:sz="4" w:space="0" w:color="auto"/>
              <w:right w:val="single" w:sz="4" w:space="0" w:color="auto"/>
            </w:tcBorders>
            <w:shd w:val="clear" w:color="000000" w:fill="FFFFFF"/>
            <w:vAlign w:val="center"/>
            <w:hideMark/>
          </w:tcPr>
          <w:p w14:paraId="588AF8CB" w14:textId="77777777" w:rsidR="00AB0D0C" w:rsidRPr="00AB0D0C" w:rsidRDefault="00AB0D0C" w:rsidP="00B92709">
            <w:pPr>
              <w:jc w:val="center"/>
              <w:rPr>
                <w:color w:val="000000"/>
                <w:sz w:val="22"/>
                <w:szCs w:val="22"/>
              </w:rPr>
            </w:pPr>
            <w:r w:rsidRPr="00AB0D0C">
              <w:rPr>
                <w:color w:val="000000"/>
                <w:sz w:val="22"/>
                <w:szCs w:val="22"/>
              </w:rPr>
              <w:t>TAC</w:t>
            </w:r>
          </w:p>
        </w:tc>
        <w:tc>
          <w:tcPr>
            <w:tcW w:w="1367" w:type="dxa"/>
            <w:tcBorders>
              <w:top w:val="single" w:sz="4" w:space="0" w:color="auto"/>
              <w:left w:val="nil"/>
              <w:bottom w:val="single" w:sz="4" w:space="0" w:color="auto"/>
              <w:right w:val="single" w:sz="4" w:space="0" w:color="auto"/>
            </w:tcBorders>
            <w:shd w:val="clear" w:color="000000" w:fill="FFFFFF"/>
            <w:vAlign w:val="center"/>
            <w:hideMark/>
          </w:tcPr>
          <w:p w14:paraId="66775AF6" w14:textId="77777777" w:rsidR="00AB0D0C" w:rsidRPr="00AB0D0C" w:rsidRDefault="00AB0D0C" w:rsidP="00B92709">
            <w:pPr>
              <w:jc w:val="center"/>
              <w:rPr>
                <w:color w:val="000000"/>
                <w:sz w:val="22"/>
                <w:szCs w:val="22"/>
              </w:rPr>
            </w:pPr>
            <w:r w:rsidRPr="00AB0D0C">
              <w:rPr>
                <w:color w:val="000000"/>
                <w:sz w:val="22"/>
                <w:szCs w:val="22"/>
              </w:rPr>
              <w:t>Catch</w:t>
            </w:r>
          </w:p>
        </w:tc>
      </w:tr>
      <w:tr w:rsidR="00AB0D0C" w:rsidRPr="00AB0D0C" w14:paraId="4E2F3239" w14:textId="77777777" w:rsidTr="00B92709">
        <w:trPr>
          <w:trHeight w:val="282"/>
        </w:trPr>
        <w:tc>
          <w:tcPr>
            <w:tcW w:w="1047" w:type="dxa"/>
            <w:tcBorders>
              <w:top w:val="nil"/>
              <w:left w:val="single" w:sz="4" w:space="0" w:color="auto"/>
              <w:bottom w:val="single" w:sz="4" w:space="0" w:color="auto"/>
              <w:right w:val="single" w:sz="4" w:space="0" w:color="auto"/>
            </w:tcBorders>
            <w:shd w:val="clear" w:color="000000" w:fill="FFFFFF"/>
            <w:hideMark/>
          </w:tcPr>
          <w:p w14:paraId="16EE4B7A" w14:textId="77777777" w:rsidR="00AB0D0C" w:rsidRPr="00AB0D0C" w:rsidRDefault="00AB0D0C" w:rsidP="00B92709">
            <w:pPr>
              <w:jc w:val="center"/>
              <w:rPr>
                <w:color w:val="000000"/>
                <w:sz w:val="22"/>
                <w:szCs w:val="22"/>
              </w:rPr>
            </w:pPr>
            <w:r w:rsidRPr="00AB0D0C">
              <w:rPr>
                <w:color w:val="000000"/>
                <w:sz w:val="22"/>
                <w:szCs w:val="22"/>
              </w:rPr>
              <w:t>BSAI</w:t>
            </w:r>
          </w:p>
        </w:tc>
        <w:tc>
          <w:tcPr>
            <w:tcW w:w="1317" w:type="dxa"/>
            <w:tcBorders>
              <w:top w:val="nil"/>
              <w:left w:val="nil"/>
              <w:bottom w:val="single" w:sz="4" w:space="0" w:color="auto"/>
              <w:right w:val="single" w:sz="4" w:space="0" w:color="auto"/>
            </w:tcBorders>
            <w:shd w:val="clear" w:color="000000" w:fill="FFFFFF"/>
            <w:noWrap/>
            <w:hideMark/>
          </w:tcPr>
          <w:p w14:paraId="4ED2486F" w14:textId="77777777" w:rsidR="00AB0D0C" w:rsidRPr="00AB0D0C" w:rsidRDefault="00AB0D0C" w:rsidP="00B92709">
            <w:pPr>
              <w:jc w:val="center"/>
              <w:rPr>
                <w:color w:val="000000"/>
                <w:sz w:val="22"/>
                <w:szCs w:val="22"/>
              </w:rPr>
            </w:pPr>
            <w:r w:rsidRPr="00AB0D0C">
              <w:rPr>
                <w:color w:val="000000"/>
                <w:sz w:val="22"/>
                <w:szCs w:val="22"/>
              </w:rPr>
              <w:t>2021</w:t>
            </w:r>
          </w:p>
        </w:tc>
        <w:tc>
          <w:tcPr>
            <w:tcW w:w="1614" w:type="dxa"/>
            <w:tcBorders>
              <w:top w:val="nil"/>
              <w:left w:val="nil"/>
              <w:bottom w:val="single" w:sz="4" w:space="0" w:color="auto"/>
              <w:right w:val="single" w:sz="4" w:space="0" w:color="auto"/>
            </w:tcBorders>
            <w:shd w:val="clear" w:color="000000" w:fill="FFFFFF"/>
            <w:noWrap/>
            <w:vAlign w:val="bottom"/>
            <w:hideMark/>
          </w:tcPr>
          <w:p w14:paraId="74319E3E" w14:textId="77777777" w:rsidR="00AB0D0C" w:rsidRPr="00AB0D0C" w:rsidRDefault="00AB0D0C" w:rsidP="00B92709">
            <w:pPr>
              <w:jc w:val="center"/>
              <w:rPr>
                <w:color w:val="000000"/>
                <w:sz w:val="22"/>
                <w:szCs w:val="22"/>
              </w:rPr>
            </w:pPr>
            <w:r w:rsidRPr="00AB0D0C">
              <w:rPr>
                <w:color w:val="000000"/>
                <w:sz w:val="22"/>
                <w:szCs w:val="22"/>
              </w:rPr>
              <w:t>2,755,870</w:t>
            </w:r>
          </w:p>
        </w:tc>
        <w:tc>
          <w:tcPr>
            <w:tcW w:w="1367" w:type="dxa"/>
            <w:tcBorders>
              <w:top w:val="nil"/>
              <w:left w:val="nil"/>
              <w:bottom w:val="single" w:sz="4" w:space="0" w:color="auto"/>
              <w:right w:val="single" w:sz="4" w:space="0" w:color="auto"/>
            </w:tcBorders>
            <w:shd w:val="clear" w:color="000000" w:fill="FFFFFF"/>
            <w:noWrap/>
            <w:hideMark/>
          </w:tcPr>
          <w:p w14:paraId="2E909B26" w14:textId="77777777" w:rsidR="00AB0D0C" w:rsidRPr="00AB0D0C" w:rsidRDefault="00AB0D0C" w:rsidP="00B92709">
            <w:pPr>
              <w:jc w:val="center"/>
              <w:rPr>
                <w:color w:val="000000"/>
                <w:sz w:val="22"/>
                <w:szCs w:val="22"/>
              </w:rPr>
            </w:pPr>
            <w:r w:rsidRPr="00AB0D0C">
              <w:rPr>
                <w:color w:val="000000"/>
                <w:sz w:val="22"/>
                <w:szCs w:val="22"/>
              </w:rPr>
              <w:t>341,571</w:t>
            </w:r>
          </w:p>
        </w:tc>
        <w:tc>
          <w:tcPr>
            <w:tcW w:w="1367" w:type="dxa"/>
            <w:tcBorders>
              <w:top w:val="nil"/>
              <w:left w:val="nil"/>
              <w:bottom w:val="single" w:sz="4" w:space="0" w:color="auto"/>
              <w:right w:val="single" w:sz="4" w:space="0" w:color="auto"/>
            </w:tcBorders>
            <w:shd w:val="clear" w:color="000000" w:fill="FFFFFF"/>
            <w:noWrap/>
            <w:hideMark/>
          </w:tcPr>
          <w:p w14:paraId="7C9CC68F" w14:textId="77777777" w:rsidR="00AB0D0C" w:rsidRPr="00AB0D0C" w:rsidRDefault="00AB0D0C" w:rsidP="00B92709">
            <w:pPr>
              <w:jc w:val="center"/>
              <w:rPr>
                <w:color w:val="000000"/>
                <w:sz w:val="22"/>
                <w:szCs w:val="22"/>
              </w:rPr>
            </w:pPr>
            <w:r w:rsidRPr="00AB0D0C">
              <w:rPr>
                <w:color w:val="000000"/>
                <w:sz w:val="22"/>
                <w:szCs w:val="22"/>
              </w:rPr>
              <w:t>313,477</w:t>
            </w:r>
          </w:p>
        </w:tc>
        <w:tc>
          <w:tcPr>
            <w:tcW w:w="1367" w:type="dxa"/>
            <w:tcBorders>
              <w:top w:val="nil"/>
              <w:left w:val="nil"/>
              <w:bottom w:val="single" w:sz="4" w:space="0" w:color="auto"/>
              <w:right w:val="single" w:sz="4" w:space="0" w:color="auto"/>
            </w:tcBorders>
            <w:shd w:val="clear" w:color="000000" w:fill="FFFFFF"/>
            <w:noWrap/>
            <w:hideMark/>
          </w:tcPr>
          <w:p w14:paraId="257A6046" w14:textId="77777777" w:rsidR="00AB0D0C" w:rsidRPr="00AB0D0C" w:rsidRDefault="00AB0D0C" w:rsidP="00B92709">
            <w:pPr>
              <w:jc w:val="center"/>
              <w:rPr>
                <w:color w:val="000000"/>
                <w:sz w:val="22"/>
                <w:szCs w:val="22"/>
              </w:rPr>
            </w:pPr>
            <w:r w:rsidRPr="00AB0D0C">
              <w:rPr>
                <w:color w:val="000000"/>
                <w:sz w:val="22"/>
                <w:szCs w:val="22"/>
              </w:rPr>
              <w:t>200,000</w:t>
            </w:r>
          </w:p>
        </w:tc>
        <w:tc>
          <w:tcPr>
            <w:tcW w:w="1367" w:type="dxa"/>
            <w:tcBorders>
              <w:top w:val="nil"/>
              <w:left w:val="nil"/>
              <w:bottom w:val="single" w:sz="4" w:space="0" w:color="auto"/>
              <w:right w:val="single" w:sz="4" w:space="0" w:color="auto"/>
            </w:tcBorders>
            <w:shd w:val="clear" w:color="000000" w:fill="FFFFFF"/>
            <w:noWrap/>
            <w:hideMark/>
          </w:tcPr>
          <w:p w14:paraId="62CC2EE0" w14:textId="77777777" w:rsidR="00AB0D0C" w:rsidRPr="00AB0D0C" w:rsidRDefault="00AB0D0C" w:rsidP="00B92709">
            <w:pPr>
              <w:jc w:val="center"/>
              <w:rPr>
                <w:color w:val="000000"/>
                <w:sz w:val="22"/>
                <w:szCs w:val="22"/>
              </w:rPr>
            </w:pPr>
            <w:r w:rsidRPr="00AB0D0C">
              <w:rPr>
                <w:color w:val="000000"/>
                <w:sz w:val="22"/>
                <w:szCs w:val="22"/>
              </w:rPr>
              <w:t>108,788</w:t>
            </w:r>
          </w:p>
        </w:tc>
      </w:tr>
      <w:tr w:rsidR="00AB0D0C" w:rsidRPr="00AB0D0C" w14:paraId="2D33D41F" w14:textId="77777777" w:rsidTr="00B92709">
        <w:trPr>
          <w:trHeight w:val="282"/>
        </w:trPr>
        <w:tc>
          <w:tcPr>
            <w:tcW w:w="1047" w:type="dxa"/>
            <w:tcBorders>
              <w:top w:val="nil"/>
              <w:left w:val="single" w:sz="4" w:space="0" w:color="auto"/>
              <w:bottom w:val="single" w:sz="4" w:space="0" w:color="auto"/>
              <w:right w:val="single" w:sz="4" w:space="0" w:color="auto"/>
            </w:tcBorders>
            <w:shd w:val="clear" w:color="000000" w:fill="FFFFFF"/>
            <w:vAlign w:val="bottom"/>
            <w:hideMark/>
          </w:tcPr>
          <w:p w14:paraId="03A68F4D" w14:textId="77777777" w:rsidR="00AB0D0C" w:rsidRPr="00AB0D0C" w:rsidRDefault="00AB0D0C" w:rsidP="00B92709">
            <w:pPr>
              <w:jc w:val="center"/>
              <w:rPr>
                <w:sz w:val="22"/>
                <w:szCs w:val="22"/>
              </w:rPr>
            </w:pPr>
          </w:p>
        </w:tc>
        <w:tc>
          <w:tcPr>
            <w:tcW w:w="1317" w:type="dxa"/>
            <w:tcBorders>
              <w:top w:val="nil"/>
              <w:left w:val="nil"/>
              <w:bottom w:val="single" w:sz="4" w:space="0" w:color="auto"/>
              <w:right w:val="single" w:sz="4" w:space="0" w:color="auto"/>
            </w:tcBorders>
            <w:shd w:val="clear" w:color="000000" w:fill="FFFFFF"/>
            <w:noWrap/>
            <w:hideMark/>
          </w:tcPr>
          <w:p w14:paraId="27D4213D" w14:textId="77777777" w:rsidR="00AB0D0C" w:rsidRPr="00AB0D0C" w:rsidRDefault="00AB0D0C" w:rsidP="00B92709">
            <w:pPr>
              <w:jc w:val="center"/>
              <w:rPr>
                <w:color w:val="000000"/>
                <w:sz w:val="22"/>
                <w:szCs w:val="22"/>
              </w:rPr>
            </w:pPr>
            <w:r w:rsidRPr="00AB0D0C">
              <w:rPr>
                <w:color w:val="000000"/>
                <w:sz w:val="22"/>
                <w:szCs w:val="22"/>
              </w:rPr>
              <w:t>2022</w:t>
            </w:r>
          </w:p>
        </w:tc>
        <w:tc>
          <w:tcPr>
            <w:tcW w:w="1614" w:type="dxa"/>
            <w:tcBorders>
              <w:top w:val="nil"/>
              <w:left w:val="nil"/>
              <w:bottom w:val="single" w:sz="4" w:space="0" w:color="auto"/>
              <w:right w:val="single" w:sz="4" w:space="0" w:color="auto"/>
            </w:tcBorders>
            <w:shd w:val="clear" w:color="000000" w:fill="FFFFFF"/>
            <w:noWrap/>
            <w:vAlign w:val="bottom"/>
            <w:hideMark/>
          </w:tcPr>
          <w:p w14:paraId="100BF7B5" w14:textId="77777777" w:rsidR="00AB0D0C" w:rsidRPr="00AB0D0C" w:rsidRDefault="00AB0D0C" w:rsidP="00B92709">
            <w:pPr>
              <w:jc w:val="center"/>
              <w:rPr>
                <w:color w:val="000000"/>
                <w:sz w:val="22"/>
                <w:szCs w:val="22"/>
              </w:rPr>
            </w:pPr>
            <w:r w:rsidRPr="00AB0D0C">
              <w:rPr>
                <w:color w:val="000000"/>
                <w:sz w:val="22"/>
                <w:szCs w:val="22"/>
              </w:rPr>
              <w:t>2,479,370</w:t>
            </w:r>
          </w:p>
        </w:tc>
        <w:tc>
          <w:tcPr>
            <w:tcW w:w="1367" w:type="dxa"/>
            <w:tcBorders>
              <w:top w:val="nil"/>
              <w:left w:val="nil"/>
              <w:bottom w:val="single" w:sz="4" w:space="0" w:color="auto"/>
              <w:right w:val="single" w:sz="4" w:space="0" w:color="auto"/>
            </w:tcBorders>
            <w:shd w:val="clear" w:color="000000" w:fill="FFFFFF"/>
            <w:noWrap/>
            <w:hideMark/>
          </w:tcPr>
          <w:p w14:paraId="362A865D" w14:textId="77777777" w:rsidR="00AB0D0C" w:rsidRPr="00AB0D0C" w:rsidRDefault="00AB0D0C" w:rsidP="00B92709">
            <w:pPr>
              <w:jc w:val="center"/>
              <w:rPr>
                <w:color w:val="000000"/>
                <w:sz w:val="22"/>
                <w:szCs w:val="22"/>
              </w:rPr>
            </w:pPr>
            <w:r w:rsidRPr="00AB0D0C">
              <w:rPr>
                <w:color w:val="000000"/>
                <w:sz w:val="22"/>
                <w:szCs w:val="22"/>
              </w:rPr>
              <w:t>377,071</w:t>
            </w:r>
          </w:p>
        </w:tc>
        <w:tc>
          <w:tcPr>
            <w:tcW w:w="1367" w:type="dxa"/>
            <w:tcBorders>
              <w:top w:val="nil"/>
              <w:left w:val="nil"/>
              <w:bottom w:val="single" w:sz="4" w:space="0" w:color="auto"/>
              <w:right w:val="single" w:sz="4" w:space="0" w:color="auto"/>
            </w:tcBorders>
            <w:shd w:val="clear" w:color="000000" w:fill="FFFFFF"/>
            <w:noWrap/>
            <w:hideMark/>
          </w:tcPr>
          <w:p w14:paraId="18716CB0" w14:textId="77777777" w:rsidR="00AB0D0C" w:rsidRPr="00AB0D0C" w:rsidRDefault="00AB0D0C" w:rsidP="00B92709">
            <w:pPr>
              <w:jc w:val="center"/>
              <w:rPr>
                <w:color w:val="000000"/>
                <w:sz w:val="22"/>
                <w:szCs w:val="22"/>
              </w:rPr>
            </w:pPr>
            <w:r w:rsidRPr="00AB0D0C">
              <w:rPr>
                <w:color w:val="000000"/>
                <w:sz w:val="22"/>
                <w:szCs w:val="22"/>
              </w:rPr>
              <w:t>354,014</w:t>
            </w:r>
          </w:p>
        </w:tc>
        <w:tc>
          <w:tcPr>
            <w:tcW w:w="1367" w:type="dxa"/>
            <w:tcBorders>
              <w:top w:val="nil"/>
              <w:left w:val="nil"/>
              <w:bottom w:val="single" w:sz="4" w:space="0" w:color="auto"/>
              <w:right w:val="single" w:sz="4" w:space="0" w:color="auto"/>
            </w:tcBorders>
            <w:shd w:val="clear" w:color="000000" w:fill="FFFFFF"/>
            <w:noWrap/>
            <w:hideMark/>
          </w:tcPr>
          <w:p w14:paraId="526359AD" w14:textId="77777777" w:rsidR="00AB0D0C" w:rsidRPr="00AB0D0C" w:rsidRDefault="00AB0D0C" w:rsidP="00B92709">
            <w:pPr>
              <w:jc w:val="center"/>
              <w:rPr>
                <w:color w:val="000000"/>
                <w:sz w:val="22"/>
                <w:szCs w:val="22"/>
              </w:rPr>
            </w:pPr>
            <w:r w:rsidRPr="00AB0D0C">
              <w:rPr>
                <w:color w:val="000000"/>
                <w:sz w:val="22"/>
                <w:szCs w:val="22"/>
              </w:rPr>
              <w:t>250,000</w:t>
            </w:r>
          </w:p>
        </w:tc>
        <w:tc>
          <w:tcPr>
            <w:tcW w:w="1367" w:type="dxa"/>
            <w:tcBorders>
              <w:top w:val="nil"/>
              <w:left w:val="nil"/>
              <w:bottom w:val="single" w:sz="4" w:space="0" w:color="auto"/>
              <w:right w:val="single" w:sz="4" w:space="0" w:color="auto"/>
            </w:tcBorders>
            <w:shd w:val="clear" w:color="000000" w:fill="FFFFFF"/>
            <w:noWrap/>
            <w:hideMark/>
          </w:tcPr>
          <w:p w14:paraId="48743576" w14:textId="77777777" w:rsidR="00AB0D0C" w:rsidRPr="00AB0D0C" w:rsidRDefault="00AB0D0C" w:rsidP="00B92709">
            <w:pPr>
              <w:jc w:val="center"/>
              <w:rPr>
                <w:color w:val="000000"/>
                <w:sz w:val="22"/>
                <w:szCs w:val="22"/>
              </w:rPr>
            </w:pPr>
            <w:r w:rsidRPr="00AB0D0C">
              <w:rPr>
                <w:color w:val="000000"/>
                <w:sz w:val="22"/>
                <w:szCs w:val="22"/>
              </w:rPr>
              <w:t>149,869</w:t>
            </w:r>
          </w:p>
        </w:tc>
      </w:tr>
      <w:tr w:rsidR="00AB0D0C" w:rsidRPr="00AB0D0C" w14:paraId="5BF3DBB1" w14:textId="77777777" w:rsidTr="00B92709">
        <w:trPr>
          <w:trHeight w:val="282"/>
        </w:trPr>
        <w:tc>
          <w:tcPr>
            <w:tcW w:w="1047" w:type="dxa"/>
            <w:tcBorders>
              <w:top w:val="nil"/>
              <w:left w:val="single" w:sz="4" w:space="0" w:color="auto"/>
              <w:bottom w:val="single" w:sz="4" w:space="0" w:color="auto"/>
              <w:right w:val="single" w:sz="4" w:space="0" w:color="auto"/>
            </w:tcBorders>
            <w:shd w:val="clear" w:color="000000" w:fill="FFFFFF"/>
            <w:vAlign w:val="bottom"/>
            <w:hideMark/>
          </w:tcPr>
          <w:p w14:paraId="385D8473" w14:textId="77777777" w:rsidR="00AB0D0C" w:rsidRPr="00AB0D0C" w:rsidRDefault="00AB0D0C" w:rsidP="00B92709">
            <w:pPr>
              <w:jc w:val="center"/>
              <w:rPr>
                <w:sz w:val="22"/>
                <w:szCs w:val="22"/>
              </w:rPr>
            </w:pPr>
          </w:p>
        </w:tc>
        <w:tc>
          <w:tcPr>
            <w:tcW w:w="1317" w:type="dxa"/>
            <w:tcBorders>
              <w:top w:val="nil"/>
              <w:left w:val="nil"/>
              <w:bottom w:val="single" w:sz="4" w:space="0" w:color="auto"/>
              <w:right w:val="single" w:sz="4" w:space="0" w:color="auto"/>
            </w:tcBorders>
            <w:shd w:val="clear" w:color="000000" w:fill="FFFFFF"/>
            <w:noWrap/>
            <w:hideMark/>
          </w:tcPr>
          <w:p w14:paraId="76AF0BC9" w14:textId="77777777" w:rsidR="00AB0D0C" w:rsidRPr="00AB0D0C" w:rsidRDefault="00AB0D0C" w:rsidP="00B92709">
            <w:pPr>
              <w:jc w:val="center"/>
              <w:rPr>
                <w:color w:val="000000"/>
                <w:sz w:val="22"/>
                <w:szCs w:val="22"/>
              </w:rPr>
            </w:pPr>
            <w:r w:rsidRPr="00AB0D0C">
              <w:rPr>
                <w:color w:val="000000"/>
                <w:sz w:val="22"/>
                <w:szCs w:val="22"/>
              </w:rPr>
              <w:t>2023</w:t>
            </w:r>
          </w:p>
        </w:tc>
        <w:tc>
          <w:tcPr>
            <w:tcW w:w="1614" w:type="dxa"/>
            <w:tcBorders>
              <w:top w:val="nil"/>
              <w:left w:val="nil"/>
              <w:bottom w:val="single" w:sz="4" w:space="0" w:color="auto"/>
              <w:right w:val="single" w:sz="4" w:space="0" w:color="auto"/>
            </w:tcBorders>
            <w:shd w:val="clear" w:color="000000" w:fill="FFFFFF"/>
            <w:noWrap/>
            <w:vAlign w:val="bottom"/>
            <w:hideMark/>
          </w:tcPr>
          <w:p w14:paraId="34642052" w14:textId="77777777" w:rsidR="00AB0D0C" w:rsidRPr="00AB0D0C" w:rsidRDefault="00AB0D0C" w:rsidP="00B92709">
            <w:pPr>
              <w:jc w:val="center"/>
              <w:rPr>
                <w:color w:val="000000"/>
                <w:sz w:val="22"/>
                <w:szCs w:val="22"/>
              </w:rPr>
            </w:pPr>
            <w:r w:rsidRPr="00AB0D0C">
              <w:rPr>
                <w:color w:val="000000"/>
                <w:sz w:val="22"/>
                <w:szCs w:val="22"/>
              </w:rPr>
              <w:t>3,321,640</w:t>
            </w:r>
          </w:p>
        </w:tc>
        <w:tc>
          <w:tcPr>
            <w:tcW w:w="1367" w:type="dxa"/>
            <w:tcBorders>
              <w:top w:val="nil"/>
              <w:left w:val="nil"/>
              <w:bottom w:val="single" w:sz="4" w:space="0" w:color="auto"/>
              <w:right w:val="single" w:sz="4" w:space="0" w:color="auto"/>
            </w:tcBorders>
            <w:shd w:val="clear" w:color="000000" w:fill="FFFFFF"/>
            <w:noWrap/>
            <w:hideMark/>
          </w:tcPr>
          <w:p w14:paraId="0038BED6" w14:textId="77777777" w:rsidR="00AB0D0C" w:rsidRPr="00AB0D0C" w:rsidRDefault="00AB0D0C" w:rsidP="00B92709">
            <w:pPr>
              <w:jc w:val="center"/>
              <w:rPr>
                <w:color w:val="000000"/>
                <w:sz w:val="22"/>
                <w:szCs w:val="22"/>
              </w:rPr>
            </w:pPr>
            <w:r w:rsidRPr="00AB0D0C">
              <w:rPr>
                <w:color w:val="000000"/>
                <w:sz w:val="22"/>
                <w:szCs w:val="22"/>
              </w:rPr>
              <w:t>404,882</w:t>
            </w:r>
          </w:p>
        </w:tc>
        <w:tc>
          <w:tcPr>
            <w:tcW w:w="1367" w:type="dxa"/>
            <w:tcBorders>
              <w:top w:val="nil"/>
              <w:left w:val="nil"/>
              <w:bottom w:val="single" w:sz="4" w:space="0" w:color="auto"/>
              <w:right w:val="single" w:sz="4" w:space="0" w:color="auto"/>
            </w:tcBorders>
            <w:shd w:val="clear" w:color="000000" w:fill="FFFFFF"/>
            <w:noWrap/>
            <w:hideMark/>
          </w:tcPr>
          <w:p w14:paraId="1BFDD171" w14:textId="77777777" w:rsidR="00AB0D0C" w:rsidRPr="00AB0D0C" w:rsidRDefault="00AB0D0C" w:rsidP="00B92709">
            <w:pPr>
              <w:jc w:val="center"/>
              <w:rPr>
                <w:color w:val="000000"/>
                <w:sz w:val="22"/>
                <w:szCs w:val="22"/>
              </w:rPr>
            </w:pPr>
            <w:r w:rsidRPr="00AB0D0C">
              <w:rPr>
                <w:color w:val="000000"/>
                <w:sz w:val="22"/>
                <w:szCs w:val="22"/>
              </w:rPr>
              <w:t>378,499</w:t>
            </w:r>
          </w:p>
        </w:tc>
        <w:tc>
          <w:tcPr>
            <w:tcW w:w="1367" w:type="dxa"/>
            <w:tcBorders>
              <w:top w:val="nil"/>
              <w:left w:val="nil"/>
              <w:bottom w:val="single" w:sz="4" w:space="0" w:color="auto"/>
              <w:right w:val="single" w:sz="4" w:space="0" w:color="auto"/>
            </w:tcBorders>
            <w:shd w:val="clear" w:color="000000" w:fill="FFFFFF"/>
            <w:hideMark/>
          </w:tcPr>
          <w:p w14:paraId="73588A48" w14:textId="77777777" w:rsidR="00AB0D0C" w:rsidRPr="00AB0D0C" w:rsidRDefault="00AB0D0C" w:rsidP="00B92709">
            <w:pPr>
              <w:jc w:val="center"/>
              <w:rPr>
                <w:color w:val="000000"/>
                <w:sz w:val="22"/>
                <w:szCs w:val="22"/>
              </w:rPr>
            </w:pPr>
            <w:r w:rsidRPr="00AB0D0C">
              <w:rPr>
                <w:color w:val="000000"/>
                <w:sz w:val="22"/>
                <w:szCs w:val="22"/>
              </w:rPr>
              <w:t>n/a</w:t>
            </w:r>
          </w:p>
        </w:tc>
        <w:tc>
          <w:tcPr>
            <w:tcW w:w="1367" w:type="dxa"/>
            <w:tcBorders>
              <w:top w:val="nil"/>
              <w:left w:val="nil"/>
              <w:bottom w:val="single" w:sz="4" w:space="0" w:color="auto"/>
              <w:right w:val="single" w:sz="4" w:space="0" w:color="auto"/>
            </w:tcBorders>
            <w:shd w:val="clear" w:color="000000" w:fill="FFFFFF"/>
            <w:hideMark/>
          </w:tcPr>
          <w:p w14:paraId="26BDD728" w14:textId="77777777" w:rsidR="00AB0D0C" w:rsidRPr="00AB0D0C" w:rsidRDefault="00AB0D0C" w:rsidP="00B92709">
            <w:pPr>
              <w:jc w:val="center"/>
              <w:rPr>
                <w:color w:val="000000"/>
                <w:sz w:val="22"/>
                <w:szCs w:val="22"/>
              </w:rPr>
            </w:pPr>
            <w:r w:rsidRPr="00AB0D0C">
              <w:rPr>
                <w:color w:val="000000"/>
                <w:sz w:val="22"/>
                <w:szCs w:val="22"/>
              </w:rPr>
              <w:t>n/a</w:t>
            </w:r>
          </w:p>
        </w:tc>
      </w:tr>
      <w:tr w:rsidR="00AB0D0C" w:rsidRPr="00AB0D0C" w14:paraId="222A530F" w14:textId="77777777" w:rsidTr="00B92709">
        <w:trPr>
          <w:trHeight w:val="282"/>
        </w:trPr>
        <w:tc>
          <w:tcPr>
            <w:tcW w:w="1047" w:type="dxa"/>
            <w:tcBorders>
              <w:top w:val="nil"/>
              <w:left w:val="single" w:sz="4" w:space="0" w:color="auto"/>
              <w:bottom w:val="single" w:sz="4" w:space="0" w:color="auto"/>
              <w:right w:val="single" w:sz="4" w:space="0" w:color="auto"/>
            </w:tcBorders>
            <w:shd w:val="clear" w:color="000000" w:fill="FFFFFF"/>
            <w:vAlign w:val="bottom"/>
            <w:hideMark/>
          </w:tcPr>
          <w:p w14:paraId="353FFE0D" w14:textId="77777777" w:rsidR="00AB0D0C" w:rsidRPr="00AB0D0C" w:rsidRDefault="00AB0D0C" w:rsidP="00B92709">
            <w:pPr>
              <w:jc w:val="center"/>
              <w:rPr>
                <w:sz w:val="22"/>
                <w:szCs w:val="22"/>
              </w:rPr>
            </w:pPr>
          </w:p>
        </w:tc>
        <w:tc>
          <w:tcPr>
            <w:tcW w:w="1317" w:type="dxa"/>
            <w:tcBorders>
              <w:top w:val="nil"/>
              <w:left w:val="nil"/>
              <w:bottom w:val="single" w:sz="4" w:space="0" w:color="auto"/>
              <w:right w:val="single" w:sz="4" w:space="0" w:color="auto"/>
            </w:tcBorders>
            <w:shd w:val="clear" w:color="000000" w:fill="FFFFFF"/>
            <w:noWrap/>
            <w:hideMark/>
          </w:tcPr>
          <w:p w14:paraId="73021003" w14:textId="77777777" w:rsidR="00AB0D0C" w:rsidRPr="00AB0D0C" w:rsidRDefault="00AB0D0C" w:rsidP="00B92709">
            <w:pPr>
              <w:jc w:val="center"/>
              <w:rPr>
                <w:color w:val="000000"/>
                <w:sz w:val="22"/>
                <w:szCs w:val="22"/>
              </w:rPr>
            </w:pPr>
            <w:r w:rsidRPr="00AB0D0C">
              <w:rPr>
                <w:color w:val="000000"/>
                <w:sz w:val="22"/>
                <w:szCs w:val="22"/>
              </w:rPr>
              <w:t>2024</w:t>
            </w:r>
          </w:p>
        </w:tc>
        <w:tc>
          <w:tcPr>
            <w:tcW w:w="1614" w:type="dxa"/>
            <w:tcBorders>
              <w:top w:val="nil"/>
              <w:left w:val="nil"/>
              <w:bottom w:val="single" w:sz="4" w:space="0" w:color="auto"/>
              <w:right w:val="single" w:sz="4" w:space="0" w:color="auto"/>
            </w:tcBorders>
            <w:shd w:val="clear" w:color="000000" w:fill="FFFFFF"/>
            <w:noWrap/>
            <w:vAlign w:val="bottom"/>
            <w:hideMark/>
          </w:tcPr>
          <w:p w14:paraId="312D3462" w14:textId="77777777" w:rsidR="00AB0D0C" w:rsidRPr="00AB0D0C" w:rsidRDefault="00AB0D0C" w:rsidP="00B92709">
            <w:pPr>
              <w:jc w:val="center"/>
              <w:rPr>
                <w:color w:val="000000"/>
                <w:sz w:val="22"/>
                <w:szCs w:val="22"/>
              </w:rPr>
            </w:pPr>
            <w:r w:rsidRPr="00AB0D0C">
              <w:rPr>
                <w:color w:val="000000"/>
                <w:sz w:val="22"/>
                <w:szCs w:val="22"/>
              </w:rPr>
              <w:t>4,062,230</w:t>
            </w:r>
          </w:p>
        </w:tc>
        <w:tc>
          <w:tcPr>
            <w:tcW w:w="1367" w:type="dxa"/>
            <w:tcBorders>
              <w:top w:val="nil"/>
              <w:left w:val="nil"/>
              <w:bottom w:val="single" w:sz="4" w:space="0" w:color="auto"/>
              <w:right w:val="single" w:sz="4" w:space="0" w:color="auto"/>
            </w:tcBorders>
            <w:shd w:val="clear" w:color="000000" w:fill="FFFFFF"/>
            <w:noWrap/>
            <w:hideMark/>
          </w:tcPr>
          <w:p w14:paraId="2E3F5FA8" w14:textId="77777777" w:rsidR="00AB0D0C" w:rsidRPr="00AB0D0C" w:rsidRDefault="00AB0D0C" w:rsidP="00B92709">
            <w:pPr>
              <w:jc w:val="center"/>
              <w:rPr>
                <w:color w:val="000000"/>
                <w:sz w:val="22"/>
                <w:szCs w:val="22"/>
              </w:rPr>
            </w:pPr>
            <w:r w:rsidRPr="00AB0D0C">
              <w:rPr>
                <w:color w:val="000000"/>
                <w:sz w:val="22"/>
                <w:szCs w:val="22"/>
              </w:rPr>
              <w:t>495,155</w:t>
            </w:r>
          </w:p>
        </w:tc>
        <w:tc>
          <w:tcPr>
            <w:tcW w:w="1367" w:type="dxa"/>
            <w:tcBorders>
              <w:top w:val="nil"/>
              <w:left w:val="nil"/>
              <w:bottom w:val="single" w:sz="4" w:space="0" w:color="auto"/>
              <w:right w:val="single" w:sz="4" w:space="0" w:color="auto"/>
            </w:tcBorders>
            <w:shd w:val="clear" w:color="000000" w:fill="FFFFFF"/>
            <w:noWrap/>
            <w:hideMark/>
          </w:tcPr>
          <w:p w14:paraId="50457185" w14:textId="77777777" w:rsidR="00AB0D0C" w:rsidRPr="00AB0D0C" w:rsidRDefault="00AB0D0C" w:rsidP="00B92709">
            <w:pPr>
              <w:jc w:val="center"/>
              <w:rPr>
                <w:color w:val="000000"/>
                <w:sz w:val="22"/>
                <w:szCs w:val="22"/>
              </w:rPr>
            </w:pPr>
            <w:r w:rsidRPr="00AB0D0C">
              <w:rPr>
                <w:color w:val="000000"/>
                <w:sz w:val="22"/>
                <w:szCs w:val="22"/>
              </w:rPr>
              <w:t>462,890</w:t>
            </w:r>
          </w:p>
        </w:tc>
        <w:tc>
          <w:tcPr>
            <w:tcW w:w="1367" w:type="dxa"/>
            <w:tcBorders>
              <w:top w:val="nil"/>
              <w:left w:val="nil"/>
              <w:bottom w:val="single" w:sz="4" w:space="0" w:color="auto"/>
              <w:right w:val="single" w:sz="4" w:space="0" w:color="auto"/>
            </w:tcBorders>
            <w:shd w:val="clear" w:color="000000" w:fill="FFFFFF"/>
            <w:hideMark/>
          </w:tcPr>
          <w:p w14:paraId="1320CBB8" w14:textId="77777777" w:rsidR="00AB0D0C" w:rsidRPr="00AB0D0C" w:rsidRDefault="00AB0D0C" w:rsidP="00B92709">
            <w:pPr>
              <w:jc w:val="center"/>
              <w:rPr>
                <w:color w:val="000000"/>
                <w:sz w:val="22"/>
                <w:szCs w:val="22"/>
              </w:rPr>
            </w:pPr>
            <w:r w:rsidRPr="00AB0D0C">
              <w:rPr>
                <w:color w:val="000000"/>
                <w:sz w:val="22"/>
                <w:szCs w:val="22"/>
              </w:rPr>
              <w:t>n/a</w:t>
            </w:r>
          </w:p>
        </w:tc>
        <w:tc>
          <w:tcPr>
            <w:tcW w:w="1367" w:type="dxa"/>
            <w:tcBorders>
              <w:top w:val="nil"/>
              <w:left w:val="nil"/>
              <w:bottom w:val="single" w:sz="4" w:space="0" w:color="auto"/>
              <w:right w:val="single" w:sz="4" w:space="0" w:color="auto"/>
            </w:tcBorders>
            <w:shd w:val="clear" w:color="000000" w:fill="FFFFFF"/>
            <w:hideMark/>
          </w:tcPr>
          <w:p w14:paraId="6C34017F" w14:textId="77777777" w:rsidR="00AB0D0C" w:rsidRPr="00AB0D0C" w:rsidRDefault="00AB0D0C" w:rsidP="00B92709">
            <w:pPr>
              <w:jc w:val="center"/>
              <w:rPr>
                <w:color w:val="000000"/>
                <w:sz w:val="22"/>
                <w:szCs w:val="22"/>
              </w:rPr>
            </w:pPr>
            <w:r w:rsidRPr="00AB0D0C">
              <w:rPr>
                <w:color w:val="000000"/>
                <w:sz w:val="22"/>
                <w:szCs w:val="22"/>
              </w:rPr>
              <w:t>n/a</w:t>
            </w:r>
          </w:p>
        </w:tc>
      </w:tr>
    </w:tbl>
    <w:p w14:paraId="4CC12BE8" w14:textId="77777777" w:rsidR="00AB0D0C" w:rsidRPr="00AB0D0C" w:rsidRDefault="00AB0D0C" w:rsidP="00AB0D0C">
      <w:pPr>
        <w:rPr>
          <w:color w:val="000000"/>
          <w:sz w:val="22"/>
          <w:szCs w:val="22"/>
        </w:rPr>
      </w:pPr>
      <w:r w:rsidRPr="00AB0D0C">
        <w:rPr>
          <w:color w:val="000000"/>
          <w:sz w:val="22"/>
          <w:szCs w:val="22"/>
        </w:rPr>
        <w:t xml:space="preserve"> </w:t>
      </w:r>
    </w:p>
    <w:p w14:paraId="29BE4BBC" w14:textId="77777777" w:rsidR="00AB0D0C" w:rsidRPr="00AB0D0C" w:rsidRDefault="00AB0D0C" w:rsidP="00AB0D0C">
      <w:pPr>
        <w:rPr>
          <w:sz w:val="22"/>
          <w:szCs w:val="22"/>
        </w:rPr>
      </w:pPr>
      <w:r w:rsidRPr="00AB0D0C">
        <w:rPr>
          <w:color w:val="000000"/>
          <w:sz w:val="22"/>
          <w:szCs w:val="22"/>
        </w:rPr>
        <w:t xml:space="preserve">The EBS yellowfin sole fishery is the largest flatfish fishery in the world. This stock </w:t>
      </w:r>
      <w:proofErr w:type="gramStart"/>
      <w:r w:rsidRPr="00AB0D0C">
        <w:rPr>
          <w:color w:val="000000"/>
          <w:sz w:val="22"/>
          <w:szCs w:val="22"/>
        </w:rPr>
        <w:t>is assessed</w:t>
      </w:r>
      <w:proofErr w:type="gramEnd"/>
      <w:r w:rsidRPr="00AB0D0C">
        <w:rPr>
          <w:color w:val="000000"/>
          <w:sz w:val="22"/>
          <w:szCs w:val="22"/>
        </w:rPr>
        <w:t xml:space="preserve"> using an age-structured population dynamics model implemented in the software program AD Model Builder. Survey catchability (</w:t>
      </w:r>
      <w:r w:rsidRPr="00AB0D0C">
        <w:rPr>
          <w:i/>
          <w:iCs/>
          <w:color w:val="000000"/>
          <w:sz w:val="22"/>
          <w:szCs w:val="22"/>
        </w:rPr>
        <w:t>q</w:t>
      </w:r>
      <w:r w:rsidRPr="00AB0D0C">
        <w:rPr>
          <w:color w:val="000000"/>
          <w:sz w:val="22"/>
          <w:szCs w:val="22"/>
        </w:rPr>
        <w:t xml:space="preserve">) </w:t>
      </w:r>
      <w:proofErr w:type="gramStart"/>
      <w:r w:rsidRPr="00AB0D0C">
        <w:rPr>
          <w:color w:val="000000"/>
          <w:sz w:val="22"/>
          <w:szCs w:val="22"/>
        </w:rPr>
        <w:t>has been shown to be linked</w:t>
      </w:r>
      <w:proofErr w:type="gramEnd"/>
      <w:r w:rsidRPr="00AB0D0C">
        <w:rPr>
          <w:color w:val="000000"/>
          <w:sz w:val="22"/>
          <w:szCs w:val="22"/>
        </w:rPr>
        <w:t xml:space="preserve"> to bottom water temperatures, so in the model </w:t>
      </w:r>
      <w:r w:rsidRPr="00AB0D0C">
        <w:rPr>
          <w:i/>
          <w:iCs/>
          <w:color w:val="000000"/>
          <w:sz w:val="22"/>
          <w:szCs w:val="22"/>
        </w:rPr>
        <w:t>q</w:t>
      </w:r>
      <w:r w:rsidRPr="00AB0D0C">
        <w:rPr>
          <w:color w:val="000000"/>
          <w:sz w:val="22"/>
          <w:szCs w:val="22"/>
        </w:rPr>
        <w:t xml:space="preserve"> is estimated as a function of an included bottom temperature index. </w:t>
      </w:r>
      <w:r w:rsidRPr="00AB0D0C">
        <w:rPr>
          <w:sz w:val="22"/>
          <w:szCs w:val="22"/>
        </w:rPr>
        <w:t xml:space="preserve">Three models </w:t>
      </w:r>
      <w:proofErr w:type="gramStart"/>
      <w:r w:rsidRPr="00AB0D0C">
        <w:rPr>
          <w:sz w:val="22"/>
          <w:szCs w:val="22"/>
        </w:rPr>
        <w:t>were presented</w:t>
      </w:r>
      <w:proofErr w:type="gramEnd"/>
      <w:r w:rsidRPr="00AB0D0C">
        <w:rPr>
          <w:sz w:val="22"/>
          <w:szCs w:val="22"/>
        </w:rPr>
        <w:t xml:space="preserve"> in 2022. Model 18.2 was the accepted model in 2021 and </w:t>
      </w:r>
      <w:r w:rsidRPr="00AB0D0C">
        <w:rPr>
          <w:color w:val="000000"/>
          <w:sz w:val="22"/>
          <w:szCs w:val="22"/>
        </w:rPr>
        <w:t xml:space="preserve">retained natural mortality fixed at 0.12 while allowing the model to estimate male natural mortality. </w:t>
      </w:r>
      <w:r w:rsidRPr="00AB0D0C">
        <w:rPr>
          <w:sz w:val="22"/>
          <w:szCs w:val="22"/>
        </w:rPr>
        <w:t xml:space="preserve">Model 22.0 is the same as Model 18.2 except a single-sex survey selectivity </w:t>
      </w:r>
      <w:proofErr w:type="gramStart"/>
      <w:r w:rsidRPr="00AB0D0C">
        <w:rPr>
          <w:sz w:val="22"/>
          <w:szCs w:val="22"/>
        </w:rPr>
        <w:t>was used</w:t>
      </w:r>
      <w:proofErr w:type="gramEnd"/>
      <w:r w:rsidRPr="00AB0D0C">
        <w:rPr>
          <w:sz w:val="22"/>
          <w:szCs w:val="22"/>
        </w:rPr>
        <w:t xml:space="preserve"> rather than a separate survey selectivity for males and females. Model 22.1 is the same as Model 22.0 except that the survey index data and age compositions (1982-2022) are based on model-based indices (VAST) for the combined Northern Bering Sea and eastern Bering Sea survey region. Model 22.1 </w:t>
      </w:r>
      <w:proofErr w:type="gramStart"/>
      <w:r w:rsidRPr="00AB0D0C">
        <w:rPr>
          <w:sz w:val="22"/>
          <w:szCs w:val="22"/>
        </w:rPr>
        <w:t>was used</w:t>
      </w:r>
      <w:proofErr w:type="gramEnd"/>
      <w:r w:rsidRPr="00AB0D0C">
        <w:rPr>
          <w:sz w:val="22"/>
          <w:szCs w:val="22"/>
        </w:rPr>
        <w:t xml:space="preserve"> for setting 2023 and 2024 harvest specifications.</w:t>
      </w:r>
    </w:p>
    <w:p w14:paraId="046C26B8" w14:textId="77777777" w:rsidR="00AB0D0C" w:rsidRPr="00AB0D0C" w:rsidRDefault="00AB0D0C" w:rsidP="00AB0D0C">
      <w:pPr>
        <w:rPr>
          <w:sz w:val="22"/>
          <w:szCs w:val="22"/>
        </w:rPr>
      </w:pPr>
    </w:p>
    <w:p w14:paraId="441615E5" w14:textId="77777777" w:rsidR="00AB0D0C" w:rsidRPr="00AB0D0C" w:rsidRDefault="00AB0D0C" w:rsidP="00AB0D0C">
      <w:pPr>
        <w:rPr>
          <w:sz w:val="22"/>
          <w:szCs w:val="22"/>
        </w:rPr>
      </w:pPr>
      <w:r w:rsidRPr="00AB0D0C">
        <w:rPr>
          <w:sz w:val="22"/>
          <w:szCs w:val="22"/>
        </w:rPr>
        <w:t xml:space="preserve">For further </w:t>
      </w:r>
      <w:proofErr w:type="gramStart"/>
      <w:r w:rsidRPr="00AB0D0C">
        <w:rPr>
          <w:sz w:val="22"/>
          <w:szCs w:val="22"/>
        </w:rPr>
        <w:t>information</w:t>
      </w:r>
      <w:proofErr w:type="gramEnd"/>
      <w:r w:rsidRPr="00AB0D0C">
        <w:rPr>
          <w:sz w:val="22"/>
          <w:szCs w:val="22"/>
        </w:rPr>
        <w:t xml:space="preserve"> contact Ingrid Spies, Ingrid.spies@noaa.gov</w:t>
      </w:r>
    </w:p>
    <w:p w14:paraId="7908BDE2" w14:textId="77777777" w:rsidR="00DE3EE8" w:rsidRPr="002B7E6B" w:rsidRDefault="00DE3EE8" w:rsidP="00DE3EE8">
      <w:pPr>
        <w:rPr>
          <w:sz w:val="22"/>
          <w:szCs w:val="22"/>
        </w:rPr>
      </w:pPr>
    </w:p>
    <w:p w14:paraId="5F697F5C" w14:textId="1EACDC53" w:rsidR="00DE3EE8" w:rsidRDefault="00DE3EE8" w:rsidP="00017EC4">
      <w:pPr>
        <w:pStyle w:val="Heading5"/>
      </w:pPr>
      <w:bookmarkStart w:id="146" w:name="_Toc131503887"/>
      <w:r w:rsidRPr="00017EC4">
        <w:t>Greenland turbot</w:t>
      </w:r>
      <w:r w:rsidR="0024271A">
        <w:t xml:space="preserve"> – </w:t>
      </w:r>
      <w:r w:rsidRPr="00017EC4">
        <w:t xml:space="preserve">Bering Sea and Aleutian Islands </w:t>
      </w:r>
      <w:r w:rsidR="00017EC4">
        <w:t>–</w:t>
      </w:r>
      <w:r w:rsidRPr="00017EC4">
        <w:t xml:space="preserve"> REFM</w:t>
      </w:r>
      <w:bookmarkEnd w:id="146"/>
    </w:p>
    <w:p w14:paraId="0EF6CA97" w14:textId="77777777" w:rsidR="00AB0D0C" w:rsidRPr="00AB0D0C" w:rsidRDefault="00AB0D0C" w:rsidP="00AB0D0C">
      <w:pPr>
        <w:outlineLvl w:val="4"/>
        <w:rPr>
          <w:b/>
          <w:bCs/>
          <w:sz w:val="22"/>
          <w:szCs w:val="22"/>
        </w:rPr>
      </w:pPr>
    </w:p>
    <w:p w14:paraId="2CC6C757" w14:textId="77777777" w:rsidR="00AB0D0C" w:rsidRPr="00AB0D0C" w:rsidRDefault="00AB0D0C" w:rsidP="00AB0D0C">
      <w:pPr>
        <w:rPr>
          <w:color w:val="000000"/>
          <w:sz w:val="22"/>
          <w:szCs w:val="22"/>
        </w:rPr>
      </w:pPr>
      <w:r w:rsidRPr="00AB0D0C">
        <w:rPr>
          <w:noProof/>
          <w:color w:val="000000"/>
          <w:sz w:val="22"/>
          <w:szCs w:val="22"/>
        </w:rPr>
        <w:drawing>
          <wp:inline distT="0" distB="0" distL="0" distR="0" wp14:anchorId="18EF49B0" wp14:editId="2EEA92DF">
            <wp:extent cx="5943600" cy="233299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332990"/>
                    </a:xfrm>
                    <a:prstGeom prst="rect">
                      <a:avLst/>
                    </a:prstGeom>
                  </pic:spPr>
                </pic:pic>
              </a:graphicData>
            </a:graphic>
          </wp:inline>
        </w:drawing>
      </w:r>
    </w:p>
    <w:p w14:paraId="60DA2F31" w14:textId="77777777" w:rsidR="00AB0D0C" w:rsidRPr="00AB0D0C" w:rsidRDefault="00AB0D0C" w:rsidP="00AB0D0C">
      <w:pPr>
        <w:rPr>
          <w:color w:val="000000"/>
          <w:sz w:val="22"/>
          <w:szCs w:val="22"/>
        </w:rPr>
      </w:pPr>
      <w:r w:rsidRPr="00AB0D0C">
        <w:rPr>
          <w:color w:val="000000"/>
          <w:sz w:val="22"/>
          <w:szCs w:val="22"/>
        </w:rPr>
        <w:t xml:space="preserve">The Greenland turbot assessment model </w:t>
      </w:r>
      <w:proofErr w:type="gramStart"/>
      <w:r w:rsidRPr="00AB0D0C">
        <w:rPr>
          <w:color w:val="000000"/>
          <w:sz w:val="22"/>
          <w:szCs w:val="22"/>
        </w:rPr>
        <w:t>has been developed</w:t>
      </w:r>
      <w:proofErr w:type="gramEnd"/>
      <w:r w:rsidRPr="00AB0D0C">
        <w:rPr>
          <w:color w:val="000000"/>
          <w:sz w:val="22"/>
          <w:szCs w:val="22"/>
        </w:rPr>
        <w:t xml:space="preserve"> in Stock Synthesis 3 and uses fishery catch and length composition data, survey biomass and length composition from the EBS shelf (1991-2019, </w:t>
      </w:r>
      <w:r w:rsidRPr="00AB0D0C">
        <w:rPr>
          <w:color w:val="000000"/>
          <w:sz w:val="22"/>
          <w:szCs w:val="22"/>
        </w:rPr>
        <w:lastRenderedPageBreak/>
        <w:t xml:space="preserve">2021-2022) and slope bottom trawl surveys. Mean size at age from the EBS </w:t>
      </w:r>
      <w:proofErr w:type="gramStart"/>
      <w:r w:rsidRPr="00AB0D0C">
        <w:rPr>
          <w:color w:val="000000"/>
          <w:sz w:val="22"/>
          <w:szCs w:val="22"/>
        </w:rPr>
        <w:t>shelf bottom trawl survey</w:t>
      </w:r>
      <w:proofErr w:type="gramEnd"/>
      <w:r w:rsidRPr="00AB0D0C">
        <w:rPr>
          <w:color w:val="000000"/>
          <w:sz w:val="22"/>
          <w:szCs w:val="22"/>
        </w:rPr>
        <w:t xml:space="preserve"> is also included in the model. Lastly, the relative population numbers and length data from the AFSC longline survey are included in the model.</w:t>
      </w:r>
    </w:p>
    <w:p w14:paraId="2D515BCB" w14:textId="77777777" w:rsidR="00AB0D0C" w:rsidRPr="00AB0D0C" w:rsidRDefault="00AB0D0C" w:rsidP="00AB0D0C">
      <w:pPr>
        <w:rPr>
          <w:sz w:val="22"/>
          <w:szCs w:val="22"/>
        </w:rPr>
      </w:pPr>
    </w:p>
    <w:p w14:paraId="253B514A" w14:textId="77777777" w:rsidR="00AB0D0C" w:rsidRPr="00AB0D0C" w:rsidRDefault="00AB0D0C" w:rsidP="00AB0D0C">
      <w:pPr>
        <w:rPr>
          <w:color w:val="000000"/>
          <w:sz w:val="22"/>
          <w:szCs w:val="22"/>
        </w:rPr>
      </w:pPr>
      <w:r w:rsidRPr="00AB0D0C">
        <w:rPr>
          <w:sz w:val="22"/>
          <w:szCs w:val="22"/>
        </w:rPr>
        <w:t xml:space="preserve">The projected 2023 female spawning biomass is 33,554 t, which is a 29% decrease from last year’s 2023 projection of 47,376 t. This decrease is due to declining survey biomass in the EBS shelf and improved model fits to the AFSC longline survey relative population numbers in recent years. Exploitation rates are generally low (less than 5% since 2013), and catches are generally well below TACs. </w:t>
      </w:r>
      <w:proofErr w:type="gramStart"/>
      <w:r w:rsidRPr="00AB0D0C">
        <w:rPr>
          <w:sz w:val="22"/>
          <w:szCs w:val="22"/>
        </w:rPr>
        <w:t>Between 2018-2021,</w:t>
      </w:r>
      <w:proofErr w:type="gramEnd"/>
      <w:r w:rsidRPr="00AB0D0C">
        <w:rPr>
          <w:sz w:val="22"/>
          <w:szCs w:val="22"/>
        </w:rPr>
        <w:t xml:space="preserve"> an average of 40% of the TAC and 23% of ABC was caught in the fishery. Female spawning biomass </w:t>
      </w:r>
      <w:proofErr w:type="gramStart"/>
      <w:r w:rsidRPr="00AB0D0C">
        <w:rPr>
          <w:sz w:val="22"/>
          <w:szCs w:val="22"/>
        </w:rPr>
        <w:t>is projected</w:t>
      </w:r>
      <w:proofErr w:type="gramEnd"/>
      <w:r w:rsidRPr="00AB0D0C">
        <w:rPr>
          <w:sz w:val="22"/>
          <w:szCs w:val="22"/>
        </w:rPr>
        <w:t xml:space="preserve"> to decrease slightly to 30,484 t in 2024. The 2007-2009 recruitment classes appear to </w:t>
      </w:r>
      <w:proofErr w:type="gramStart"/>
      <w:r w:rsidRPr="00AB0D0C">
        <w:rPr>
          <w:sz w:val="22"/>
          <w:szCs w:val="22"/>
        </w:rPr>
        <w:t>be fully integrated</w:t>
      </w:r>
      <w:proofErr w:type="gramEnd"/>
      <w:r w:rsidRPr="00AB0D0C">
        <w:rPr>
          <w:sz w:val="22"/>
          <w:szCs w:val="22"/>
        </w:rPr>
        <w:t xml:space="preserve"> into the fishery, and overall, the stock is continuing its downward trend from the last several years. The 2022 EBS shelf survey showed a 26% reduction in survey biomass from the 2021 survey.</w:t>
      </w:r>
    </w:p>
    <w:p w14:paraId="6FAA55DA" w14:textId="77777777" w:rsidR="00AB0D0C" w:rsidRPr="00AB0D0C" w:rsidRDefault="00AB0D0C" w:rsidP="00AB0D0C">
      <w:pPr>
        <w:rPr>
          <w:sz w:val="22"/>
          <w:szCs w:val="22"/>
        </w:rPr>
      </w:pPr>
    </w:p>
    <w:p w14:paraId="74AC8175" w14:textId="77777777" w:rsidR="00AB0D0C" w:rsidRPr="00AB0D0C" w:rsidRDefault="00AB0D0C" w:rsidP="00AB0D0C">
      <w:pPr>
        <w:rPr>
          <w:sz w:val="22"/>
          <w:szCs w:val="22"/>
        </w:rPr>
      </w:pPr>
      <w:r w:rsidRPr="00AB0D0C">
        <w:rPr>
          <w:color w:val="000000"/>
          <w:sz w:val="22"/>
          <w:szCs w:val="22"/>
        </w:rPr>
        <w:t xml:space="preserve">For further </w:t>
      </w:r>
      <w:proofErr w:type="gramStart"/>
      <w:r w:rsidRPr="00AB0D0C">
        <w:rPr>
          <w:color w:val="000000"/>
          <w:sz w:val="22"/>
          <w:szCs w:val="22"/>
        </w:rPr>
        <w:t>information</w:t>
      </w:r>
      <w:proofErr w:type="gramEnd"/>
      <w:r w:rsidRPr="00AB0D0C">
        <w:rPr>
          <w:color w:val="000000"/>
          <w:sz w:val="22"/>
          <w:szCs w:val="22"/>
        </w:rPr>
        <w:t xml:space="preserve"> contact Meaghan Bryan, Meaghan.bryan@noaa.gov</w:t>
      </w:r>
    </w:p>
    <w:p w14:paraId="205F4A8B" w14:textId="77777777" w:rsidR="00DE3EE8" w:rsidRPr="002B7E6B" w:rsidRDefault="00DE3EE8" w:rsidP="00DE3EE8">
      <w:pPr>
        <w:rPr>
          <w:sz w:val="22"/>
          <w:szCs w:val="22"/>
        </w:rPr>
      </w:pPr>
    </w:p>
    <w:p w14:paraId="02BB8360" w14:textId="512F3470" w:rsidR="00DE3EE8" w:rsidRDefault="00DE3EE8" w:rsidP="00017EC4">
      <w:pPr>
        <w:pStyle w:val="Heading5"/>
      </w:pPr>
      <w:bookmarkStart w:id="147" w:name="_Toc131503888"/>
      <w:r w:rsidRPr="00017EC4">
        <w:t>Arrowtooth flounder</w:t>
      </w:r>
      <w:r w:rsidR="0024271A">
        <w:t xml:space="preserve"> – </w:t>
      </w:r>
      <w:r w:rsidRPr="00017EC4">
        <w:t xml:space="preserve">Bering Sea and Aleutian Islands </w:t>
      </w:r>
      <w:r w:rsidR="00017EC4">
        <w:t>–</w:t>
      </w:r>
      <w:r w:rsidRPr="00017EC4">
        <w:t xml:space="preserve"> REFM</w:t>
      </w:r>
      <w:bookmarkEnd w:id="147"/>
    </w:p>
    <w:p w14:paraId="20BEF3FE" w14:textId="77777777" w:rsidR="009E6D34" w:rsidRPr="009E6D34" w:rsidRDefault="009E6D34" w:rsidP="009E6D34">
      <w:pPr>
        <w:outlineLvl w:val="4"/>
        <w:rPr>
          <w:b/>
          <w:bCs/>
          <w:sz w:val="22"/>
          <w:szCs w:val="22"/>
        </w:rPr>
      </w:pPr>
    </w:p>
    <w:tbl>
      <w:tblPr>
        <w:tblW w:w="9428" w:type="dxa"/>
        <w:tblLook w:val="04A0" w:firstRow="1" w:lastRow="0" w:firstColumn="1" w:lastColumn="0" w:noHBand="0" w:noVBand="1"/>
      </w:tblPr>
      <w:tblGrid>
        <w:gridCol w:w="1290"/>
        <w:gridCol w:w="1290"/>
        <w:gridCol w:w="1640"/>
        <w:gridCol w:w="1338"/>
        <w:gridCol w:w="1290"/>
        <w:gridCol w:w="1290"/>
        <w:gridCol w:w="1290"/>
      </w:tblGrid>
      <w:tr w:rsidR="009E6D34" w:rsidRPr="009E6D34" w14:paraId="658D3ADB" w14:textId="77777777" w:rsidTr="00B92709">
        <w:trPr>
          <w:trHeight w:val="285"/>
        </w:trPr>
        <w:tc>
          <w:tcPr>
            <w:tcW w:w="1290" w:type="dxa"/>
            <w:tcBorders>
              <w:top w:val="single" w:sz="4" w:space="0" w:color="auto"/>
              <w:left w:val="single" w:sz="4" w:space="0" w:color="auto"/>
              <w:bottom w:val="single" w:sz="4" w:space="0" w:color="auto"/>
              <w:right w:val="nil"/>
            </w:tcBorders>
            <w:shd w:val="clear" w:color="000000" w:fill="FFFFFF"/>
            <w:noWrap/>
            <w:vAlign w:val="bottom"/>
            <w:hideMark/>
          </w:tcPr>
          <w:p w14:paraId="58A3293E" w14:textId="77777777" w:rsidR="009E6D34" w:rsidRPr="009E6D34" w:rsidRDefault="009E6D34" w:rsidP="00B92709">
            <w:pPr>
              <w:jc w:val="center"/>
              <w:rPr>
                <w:color w:val="000000"/>
                <w:sz w:val="22"/>
                <w:szCs w:val="22"/>
              </w:rPr>
            </w:pPr>
            <w:r w:rsidRPr="009E6D34">
              <w:rPr>
                <w:color w:val="000000"/>
                <w:sz w:val="22"/>
                <w:szCs w:val="22"/>
              </w:rPr>
              <w:t>Area</w:t>
            </w:r>
          </w:p>
        </w:tc>
        <w:tc>
          <w:tcPr>
            <w:tcW w:w="1290" w:type="dxa"/>
            <w:tcBorders>
              <w:top w:val="single" w:sz="4" w:space="0" w:color="auto"/>
              <w:left w:val="nil"/>
              <w:bottom w:val="single" w:sz="4" w:space="0" w:color="auto"/>
              <w:right w:val="nil"/>
            </w:tcBorders>
            <w:shd w:val="clear" w:color="000000" w:fill="FFFFFF"/>
            <w:noWrap/>
            <w:vAlign w:val="bottom"/>
            <w:hideMark/>
          </w:tcPr>
          <w:p w14:paraId="067224CA" w14:textId="77777777" w:rsidR="009E6D34" w:rsidRPr="009E6D34" w:rsidRDefault="009E6D34" w:rsidP="00B92709">
            <w:pPr>
              <w:jc w:val="center"/>
              <w:rPr>
                <w:color w:val="000000"/>
                <w:sz w:val="22"/>
                <w:szCs w:val="22"/>
              </w:rPr>
            </w:pPr>
            <w:r w:rsidRPr="009E6D34">
              <w:rPr>
                <w:color w:val="000000"/>
                <w:sz w:val="22"/>
                <w:szCs w:val="22"/>
              </w:rPr>
              <w:t>Year</w:t>
            </w:r>
          </w:p>
        </w:tc>
        <w:tc>
          <w:tcPr>
            <w:tcW w:w="1640" w:type="dxa"/>
            <w:tcBorders>
              <w:top w:val="single" w:sz="4" w:space="0" w:color="auto"/>
              <w:left w:val="nil"/>
              <w:bottom w:val="single" w:sz="4" w:space="0" w:color="auto"/>
              <w:right w:val="nil"/>
            </w:tcBorders>
            <w:shd w:val="clear" w:color="000000" w:fill="FFFFFF"/>
            <w:noWrap/>
            <w:vAlign w:val="bottom"/>
            <w:hideMark/>
          </w:tcPr>
          <w:p w14:paraId="63FA171F" w14:textId="77777777" w:rsidR="009E6D34" w:rsidRPr="009E6D34" w:rsidRDefault="009E6D34" w:rsidP="00B92709">
            <w:pPr>
              <w:jc w:val="center"/>
              <w:rPr>
                <w:color w:val="000000"/>
                <w:sz w:val="22"/>
                <w:szCs w:val="22"/>
              </w:rPr>
            </w:pPr>
            <w:r w:rsidRPr="009E6D34">
              <w:rPr>
                <w:color w:val="000000"/>
                <w:sz w:val="22"/>
                <w:szCs w:val="22"/>
              </w:rPr>
              <w:t>Age 1+ Bio</w:t>
            </w:r>
          </w:p>
        </w:tc>
        <w:tc>
          <w:tcPr>
            <w:tcW w:w="1338" w:type="dxa"/>
            <w:tcBorders>
              <w:top w:val="single" w:sz="4" w:space="0" w:color="auto"/>
              <w:left w:val="nil"/>
              <w:bottom w:val="single" w:sz="4" w:space="0" w:color="auto"/>
              <w:right w:val="nil"/>
            </w:tcBorders>
            <w:shd w:val="clear" w:color="000000" w:fill="FFFFFF"/>
            <w:noWrap/>
            <w:vAlign w:val="bottom"/>
            <w:hideMark/>
          </w:tcPr>
          <w:p w14:paraId="0C55F3E1" w14:textId="77777777" w:rsidR="009E6D34" w:rsidRPr="009E6D34" w:rsidRDefault="009E6D34" w:rsidP="00B92709">
            <w:pPr>
              <w:jc w:val="center"/>
              <w:rPr>
                <w:color w:val="000000"/>
                <w:sz w:val="22"/>
                <w:szCs w:val="22"/>
              </w:rPr>
            </w:pPr>
            <w:r w:rsidRPr="009E6D34">
              <w:rPr>
                <w:color w:val="000000"/>
                <w:sz w:val="22"/>
                <w:szCs w:val="22"/>
              </w:rPr>
              <w:t>OFL</w:t>
            </w:r>
          </w:p>
        </w:tc>
        <w:tc>
          <w:tcPr>
            <w:tcW w:w="1290" w:type="dxa"/>
            <w:tcBorders>
              <w:top w:val="single" w:sz="4" w:space="0" w:color="auto"/>
              <w:left w:val="nil"/>
              <w:bottom w:val="single" w:sz="4" w:space="0" w:color="auto"/>
              <w:right w:val="nil"/>
            </w:tcBorders>
            <w:shd w:val="clear" w:color="000000" w:fill="FFFFFF"/>
            <w:noWrap/>
            <w:vAlign w:val="bottom"/>
            <w:hideMark/>
          </w:tcPr>
          <w:p w14:paraId="5879BCA1" w14:textId="77777777" w:rsidR="009E6D34" w:rsidRPr="009E6D34" w:rsidRDefault="009E6D34" w:rsidP="00B92709">
            <w:pPr>
              <w:jc w:val="center"/>
              <w:rPr>
                <w:color w:val="000000"/>
                <w:sz w:val="22"/>
                <w:szCs w:val="22"/>
              </w:rPr>
            </w:pPr>
            <w:r w:rsidRPr="009E6D34">
              <w:rPr>
                <w:color w:val="000000"/>
                <w:sz w:val="22"/>
                <w:szCs w:val="22"/>
              </w:rPr>
              <w:t>ABC</w:t>
            </w:r>
          </w:p>
        </w:tc>
        <w:tc>
          <w:tcPr>
            <w:tcW w:w="1290" w:type="dxa"/>
            <w:tcBorders>
              <w:top w:val="single" w:sz="4" w:space="0" w:color="auto"/>
              <w:left w:val="nil"/>
              <w:bottom w:val="single" w:sz="4" w:space="0" w:color="auto"/>
              <w:right w:val="nil"/>
            </w:tcBorders>
            <w:shd w:val="clear" w:color="000000" w:fill="FFFFFF"/>
            <w:noWrap/>
            <w:vAlign w:val="bottom"/>
            <w:hideMark/>
          </w:tcPr>
          <w:p w14:paraId="514647AD" w14:textId="77777777" w:rsidR="009E6D34" w:rsidRPr="009E6D34" w:rsidRDefault="009E6D34" w:rsidP="00B92709">
            <w:pPr>
              <w:jc w:val="center"/>
              <w:rPr>
                <w:color w:val="000000"/>
                <w:sz w:val="22"/>
                <w:szCs w:val="22"/>
              </w:rPr>
            </w:pPr>
            <w:r w:rsidRPr="009E6D34">
              <w:rPr>
                <w:color w:val="000000"/>
                <w:sz w:val="22"/>
                <w:szCs w:val="22"/>
              </w:rPr>
              <w:t>TAC</w:t>
            </w:r>
          </w:p>
        </w:tc>
        <w:tc>
          <w:tcPr>
            <w:tcW w:w="1290" w:type="dxa"/>
            <w:tcBorders>
              <w:top w:val="single" w:sz="4" w:space="0" w:color="auto"/>
              <w:left w:val="nil"/>
              <w:bottom w:val="single" w:sz="4" w:space="0" w:color="auto"/>
              <w:right w:val="single" w:sz="4" w:space="0" w:color="auto"/>
            </w:tcBorders>
            <w:shd w:val="clear" w:color="000000" w:fill="FFFFFF"/>
            <w:noWrap/>
            <w:vAlign w:val="bottom"/>
            <w:hideMark/>
          </w:tcPr>
          <w:p w14:paraId="103893DD" w14:textId="77777777" w:rsidR="009E6D34" w:rsidRPr="009E6D34" w:rsidRDefault="009E6D34" w:rsidP="00B92709">
            <w:pPr>
              <w:jc w:val="center"/>
              <w:rPr>
                <w:color w:val="000000"/>
                <w:sz w:val="22"/>
                <w:szCs w:val="22"/>
              </w:rPr>
            </w:pPr>
            <w:r w:rsidRPr="009E6D34">
              <w:rPr>
                <w:color w:val="000000"/>
                <w:sz w:val="22"/>
                <w:szCs w:val="22"/>
              </w:rPr>
              <w:t>Catch</w:t>
            </w:r>
          </w:p>
        </w:tc>
      </w:tr>
      <w:tr w:rsidR="009E6D34" w:rsidRPr="009E6D34" w14:paraId="3F1A644F" w14:textId="77777777" w:rsidTr="00B92709">
        <w:trPr>
          <w:trHeight w:val="285"/>
        </w:trPr>
        <w:tc>
          <w:tcPr>
            <w:tcW w:w="1290" w:type="dxa"/>
            <w:tcBorders>
              <w:top w:val="nil"/>
              <w:left w:val="single" w:sz="4" w:space="0" w:color="auto"/>
              <w:bottom w:val="nil"/>
              <w:right w:val="nil"/>
            </w:tcBorders>
            <w:shd w:val="clear" w:color="000000" w:fill="FFFFFF"/>
            <w:noWrap/>
            <w:vAlign w:val="bottom"/>
            <w:hideMark/>
          </w:tcPr>
          <w:p w14:paraId="7617DEE3" w14:textId="77777777" w:rsidR="009E6D34" w:rsidRPr="009E6D34" w:rsidRDefault="009E6D34" w:rsidP="00B92709">
            <w:pPr>
              <w:jc w:val="center"/>
              <w:rPr>
                <w:color w:val="000000"/>
                <w:sz w:val="22"/>
                <w:szCs w:val="22"/>
              </w:rPr>
            </w:pPr>
            <w:r w:rsidRPr="009E6D34">
              <w:rPr>
                <w:color w:val="000000"/>
                <w:sz w:val="22"/>
                <w:szCs w:val="22"/>
              </w:rPr>
              <w:t>BSAI</w:t>
            </w:r>
          </w:p>
        </w:tc>
        <w:tc>
          <w:tcPr>
            <w:tcW w:w="1290" w:type="dxa"/>
            <w:tcBorders>
              <w:top w:val="nil"/>
              <w:left w:val="nil"/>
              <w:bottom w:val="nil"/>
              <w:right w:val="nil"/>
            </w:tcBorders>
            <w:shd w:val="clear" w:color="000000" w:fill="FFFFFF"/>
            <w:noWrap/>
            <w:vAlign w:val="bottom"/>
            <w:hideMark/>
          </w:tcPr>
          <w:p w14:paraId="0CCEA9EC" w14:textId="77777777" w:rsidR="009E6D34" w:rsidRPr="009E6D34" w:rsidRDefault="009E6D34" w:rsidP="00B92709">
            <w:pPr>
              <w:jc w:val="center"/>
              <w:rPr>
                <w:color w:val="000000"/>
                <w:sz w:val="22"/>
                <w:szCs w:val="22"/>
              </w:rPr>
            </w:pPr>
            <w:r w:rsidRPr="009E6D34">
              <w:rPr>
                <w:color w:val="000000"/>
                <w:sz w:val="22"/>
                <w:szCs w:val="22"/>
              </w:rPr>
              <w:t>2021</w:t>
            </w:r>
          </w:p>
        </w:tc>
        <w:tc>
          <w:tcPr>
            <w:tcW w:w="1640" w:type="dxa"/>
            <w:tcBorders>
              <w:top w:val="nil"/>
              <w:left w:val="nil"/>
              <w:bottom w:val="nil"/>
              <w:right w:val="nil"/>
            </w:tcBorders>
            <w:shd w:val="clear" w:color="000000" w:fill="FFFFFF"/>
            <w:noWrap/>
            <w:vAlign w:val="bottom"/>
            <w:hideMark/>
          </w:tcPr>
          <w:p w14:paraId="6F597529" w14:textId="77777777" w:rsidR="009E6D34" w:rsidRPr="009E6D34" w:rsidRDefault="009E6D34" w:rsidP="00B92709">
            <w:pPr>
              <w:jc w:val="center"/>
              <w:rPr>
                <w:color w:val="000000"/>
                <w:sz w:val="22"/>
                <w:szCs w:val="22"/>
              </w:rPr>
            </w:pPr>
            <w:r w:rsidRPr="009E6D34">
              <w:rPr>
                <w:color w:val="000000"/>
                <w:sz w:val="22"/>
                <w:szCs w:val="22"/>
              </w:rPr>
              <w:t>923,646</w:t>
            </w:r>
          </w:p>
        </w:tc>
        <w:tc>
          <w:tcPr>
            <w:tcW w:w="1338" w:type="dxa"/>
            <w:tcBorders>
              <w:top w:val="nil"/>
              <w:left w:val="nil"/>
              <w:bottom w:val="nil"/>
              <w:right w:val="nil"/>
            </w:tcBorders>
            <w:shd w:val="clear" w:color="000000" w:fill="FFFFFF"/>
            <w:noWrap/>
            <w:vAlign w:val="bottom"/>
            <w:hideMark/>
          </w:tcPr>
          <w:p w14:paraId="55F08919" w14:textId="77777777" w:rsidR="009E6D34" w:rsidRPr="009E6D34" w:rsidRDefault="009E6D34" w:rsidP="00B92709">
            <w:pPr>
              <w:jc w:val="center"/>
              <w:rPr>
                <w:color w:val="000000"/>
                <w:sz w:val="22"/>
                <w:szCs w:val="22"/>
              </w:rPr>
            </w:pPr>
            <w:r w:rsidRPr="009E6D34">
              <w:rPr>
                <w:color w:val="000000"/>
                <w:sz w:val="22"/>
                <w:szCs w:val="22"/>
              </w:rPr>
              <w:t>90,873</w:t>
            </w:r>
          </w:p>
        </w:tc>
        <w:tc>
          <w:tcPr>
            <w:tcW w:w="1290" w:type="dxa"/>
            <w:tcBorders>
              <w:top w:val="nil"/>
              <w:left w:val="nil"/>
              <w:bottom w:val="nil"/>
              <w:right w:val="nil"/>
            </w:tcBorders>
            <w:shd w:val="clear" w:color="000000" w:fill="FFFFFF"/>
            <w:noWrap/>
            <w:vAlign w:val="bottom"/>
            <w:hideMark/>
          </w:tcPr>
          <w:p w14:paraId="07C870CF" w14:textId="77777777" w:rsidR="009E6D34" w:rsidRPr="009E6D34" w:rsidRDefault="009E6D34" w:rsidP="00B92709">
            <w:pPr>
              <w:jc w:val="center"/>
              <w:rPr>
                <w:color w:val="000000"/>
                <w:sz w:val="22"/>
                <w:szCs w:val="22"/>
              </w:rPr>
            </w:pPr>
            <w:r w:rsidRPr="009E6D34">
              <w:rPr>
                <w:color w:val="000000"/>
                <w:sz w:val="22"/>
                <w:szCs w:val="22"/>
              </w:rPr>
              <w:t>77,349</w:t>
            </w:r>
          </w:p>
        </w:tc>
        <w:tc>
          <w:tcPr>
            <w:tcW w:w="1290" w:type="dxa"/>
            <w:tcBorders>
              <w:top w:val="nil"/>
              <w:left w:val="nil"/>
              <w:bottom w:val="nil"/>
              <w:right w:val="nil"/>
            </w:tcBorders>
            <w:shd w:val="clear" w:color="000000" w:fill="FFFFFF"/>
            <w:noWrap/>
            <w:vAlign w:val="bottom"/>
            <w:hideMark/>
          </w:tcPr>
          <w:p w14:paraId="2F9C57D1" w14:textId="77777777" w:rsidR="009E6D34" w:rsidRPr="009E6D34" w:rsidRDefault="009E6D34" w:rsidP="00B92709">
            <w:pPr>
              <w:jc w:val="center"/>
              <w:rPr>
                <w:color w:val="000000"/>
                <w:sz w:val="22"/>
                <w:szCs w:val="22"/>
              </w:rPr>
            </w:pPr>
            <w:r w:rsidRPr="009E6D34">
              <w:rPr>
                <w:color w:val="000000"/>
                <w:sz w:val="22"/>
                <w:szCs w:val="22"/>
              </w:rPr>
              <w:t>15,000</w:t>
            </w:r>
          </w:p>
        </w:tc>
        <w:tc>
          <w:tcPr>
            <w:tcW w:w="1290" w:type="dxa"/>
            <w:tcBorders>
              <w:top w:val="nil"/>
              <w:left w:val="nil"/>
              <w:bottom w:val="nil"/>
              <w:right w:val="single" w:sz="4" w:space="0" w:color="auto"/>
            </w:tcBorders>
            <w:shd w:val="clear" w:color="000000" w:fill="FFFFFF"/>
            <w:noWrap/>
            <w:vAlign w:val="bottom"/>
            <w:hideMark/>
          </w:tcPr>
          <w:p w14:paraId="1BE1C39F" w14:textId="77777777" w:rsidR="009E6D34" w:rsidRPr="009E6D34" w:rsidRDefault="009E6D34" w:rsidP="00B92709">
            <w:pPr>
              <w:jc w:val="center"/>
              <w:rPr>
                <w:color w:val="000000"/>
                <w:sz w:val="22"/>
                <w:szCs w:val="22"/>
              </w:rPr>
            </w:pPr>
            <w:r w:rsidRPr="009E6D34">
              <w:rPr>
                <w:color w:val="000000"/>
                <w:sz w:val="22"/>
                <w:szCs w:val="22"/>
              </w:rPr>
              <w:t>9,014</w:t>
            </w:r>
          </w:p>
        </w:tc>
      </w:tr>
      <w:tr w:rsidR="009E6D34" w:rsidRPr="009E6D34" w14:paraId="37D305FD" w14:textId="77777777" w:rsidTr="00B92709">
        <w:trPr>
          <w:trHeight w:val="285"/>
        </w:trPr>
        <w:tc>
          <w:tcPr>
            <w:tcW w:w="1290" w:type="dxa"/>
            <w:tcBorders>
              <w:top w:val="nil"/>
              <w:left w:val="single" w:sz="4" w:space="0" w:color="auto"/>
              <w:bottom w:val="nil"/>
              <w:right w:val="nil"/>
            </w:tcBorders>
            <w:shd w:val="clear" w:color="000000" w:fill="FFFFFF"/>
            <w:noWrap/>
            <w:vAlign w:val="bottom"/>
            <w:hideMark/>
          </w:tcPr>
          <w:p w14:paraId="7286F15B" w14:textId="77777777" w:rsidR="009E6D34" w:rsidRPr="009E6D34" w:rsidRDefault="009E6D34" w:rsidP="00B92709">
            <w:pPr>
              <w:jc w:val="center"/>
              <w:rPr>
                <w:color w:val="000000"/>
                <w:sz w:val="22"/>
                <w:szCs w:val="22"/>
              </w:rPr>
            </w:pPr>
            <w:r w:rsidRPr="009E6D34">
              <w:rPr>
                <w:color w:val="000000"/>
                <w:sz w:val="22"/>
                <w:szCs w:val="22"/>
              </w:rPr>
              <w:t> </w:t>
            </w:r>
          </w:p>
        </w:tc>
        <w:tc>
          <w:tcPr>
            <w:tcW w:w="1290" w:type="dxa"/>
            <w:tcBorders>
              <w:top w:val="nil"/>
              <w:left w:val="nil"/>
              <w:bottom w:val="nil"/>
              <w:right w:val="nil"/>
            </w:tcBorders>
            <w:shd w:val="clear" w:color="000000" w:fill="FFFFFF"/>
            <w:noWrap/>
            <w:vAlign w:val="bottom"/>
            <w:hideMark/>
          </w:tcPr>
          <w:p w14:paraId="3DE614EA" w14:textId="77777777" w:rsidR="009E6D34" w:rsidRPr="009E6D34" w:rsidRDefault="009E6D34" w:rsidP="00B92709">
            <w:pPr>
              <w:jc w:val="center"/>
              <w:rPr>
                <w:color w:val="000000"/>
                <w:sz w:val="22"/>
                <w:szCs w:val="22"/>
              </w:rPr>
            </w:pPr>
            <w:r w:rsidRPr="009E6D34">
              <w:rPr>
                <w:color w:val="000000"/>
                <w:sz w:val="22"/>
                <w:szCs w:val="22"/>
              </w:rPr>
              <w:t>2022</w:t>
            </w:r>
          </w:p>
        </w:tc>
        <w:tc>
          <w:tcPr>
            <w:tcW w:w="1640" w:type="dxa"/>
            <w:tcBorders>
              <w:top w:val="nil"/>
              <w:left w:val="nil"/>
              <w:bottom w:val="nil"/>
              <w:right w:val="nil"/>
            </w:tcBorders>
            <w:shd w:val="clear" w:color="000000" w:fill="FFFFFF"/>
            <w:noWrap/>
            <w:vAlign w:val="bottom"/>
            <w:hideMark/>
          </w:tcPr>
          <w:p w14:paraId="3EBD1B5E" w14:textId="77777777" w:rsidR="009E6D34" w:rsidRPr="009E6D34" w:rsidRDefault="009E6D34" w:rsidP="00B92709">
            <w:pPr>
              <w:jc w:val="center"/>
              <w:rPr>
                <w:color w:val="000000"/>
                <w:sz w:val="22"/>
                <w:szCs w:val="22"/>
              </w:rPr>
            </w:pPr>
            <w:r w:rsidRPr="009E6D34">
              <w:rPr>
                <w:color w:val="000000"/>
                <w:sz w:val="22"/>
                <w:szCs w:val="22"/>
              </w:rPr>
              <w:t>921,690</w:t>
            </w:r>
          </w:p>
        </w:tc>
        <w:tc>
          <w:tcPr>
            <w:tcW w:w="1338" w:type="dxa"/>
            <w:tcBorders>
              <w:top w:val="nil"/>
              <w:left w:val="nil"/>
              <w:bottom w:val="nil"/>
              <w:right w:val="nil"/>
            </w:tcBorders>
            <w:shd w:val="clear" w:color="000000" w:fill="FFFFFF"/>
            <w:noWrap/>
            <w:vAlign w:val="bottom"/>
            <w:hideMark/>
          </w:tcPr>
          <w:p w14:paraId="77CFAE20" w14:textId="77777777" w:rsidR="009E6D34" w:rsidRPr="009E6D34" w:rsidRDefault="009E6D34" w:rsidP="00B92709">
            <w:pPr>
              <w:jc w:val="center"/>
              <w:rPr>
                <w:color w:val="000000"/>
                <w:sz w:val="22"/>
                <w:szCs w:val="22"/>
              </w:rPr>
            </w:pPr>
            <w:r w:rsidRPr="009E6D34">
              <w:rPr>
                <w:color w:val="000000"/>
                <w:sz w:val="22"/>
                <w:szCs w:val="22"/>
              </w:rPr>
              <w:t>94,445</w:t>
            </w:r>
          </w:p>
        </w:tc>
        <w:tc>
          <w:tcPr>
            <w:tcW w:w="1290" w:type="dxa"/>
            <w:tcBorders>
              <w:top w:val="nil"/>
              <w:left w:val="nil"/>
              <w:bottom w:val="nil"/>
              <w:right w:val="nil"/>
            </w:tcBorders>
            <w:shd w:val="clear" w:color="000000" w:fill="FFFFFF"/>
            <w:noWrap/>
            <w:vAlign w:val="bottom"/>
            <w:hideMark/>
          </w:tcPr>
          <w:p w14:paraId="7557FEAD" w14:textId="77777777" w:rsidR="009E6D34" w:rsidRPr="009E6D34" w:rsidRDefault="009E6D34" w:rsidP="00B92709">
            <w:pPr>
              <w:jc w:val="center"/>
              <w:rPr>
                <w:color w:val="000000"/>
                <w:sz w:val="22"/>
                <w:szCs w:val="22"/>
              </w:rPr>
            </w:pPr>
            <w:r w:rsidRPr="009E6D34">
              <w:rPr>
                <w:color w:val="000000"/>
                <w:sz w:val="22"/>
                <w:szCs w:val="22"/>
              </w:rPr>
              <w:t>80,389</w:t>
            </w:r>
          </w:p>
        </w:tc>
        <w:tc>
          <w:tcPr>
            <w:tcW w:w="1290" w:type="dxa"/>
            <w:tcBorders>
              <w:top w:val="nil"/>
              <w:left w:val="nil"/>
              <w:bottom w:val="nil"/>
              <w:right w:val="nil"/>
            </w:tcBorders>
            <w:shd w:val="clear" w:color="000000" w:fill="FFFFFF"/>
            <w:noWrap/>
            <w:vAlign w:val="bottom"/>
            <w:hideMark/>
          </w:tcPr>
          <w:p w14:paraId="4BD23932" w14:textId="77777777" w:rsidR="009E6D34" w:rsidRPr="009E6D34" w:rsidRDefault="009E6D34" w:rsidP="00B92709">
            <w:pPr>
              <w:jc w:val="center"/>
              <w:rPr>
                <w:color w:val="000000"/>
                <w:sz w:val="22"/>
                <w:szCs w:val="22"/>
              </w:rPr>
            </w:pPr>
            <w:r w:rsidRPr="009E6D34">
              <w:rPr>
                <w:color w:val="000000"/>
                <w:sz w:val="22"/>
                <w:szCs w:val="22"/>
              </w:rPr>
              <w:t>20,000</w:t>
            </w:r>
          </w:p>
        </w:tc>
        <w:tc>
          <w:tcPr>
            <w:tcW w:w="1290" w:type="dxa"/>
            <w:tcBorders>
              <w:top w:val="nil"/>
              <w:left w:val="nil"/>
              <w:bottom w:val="nil"/>
              <w:right w:val="single" w:sz="4" w:space="0" w:color="auto"/>
            </w:tcBorders>
            <w:shd w:val="clear" w:color="000000" w:fill="FFFFFF"/>
            <w:noWrap/>
            <w:vAlign w:val="bottom"/>
            <w:hideMark/>
          </w:tcPr>
          <w:p w14:paraId="5AE900DD" w14:textId="77777777" w:rsidR="009E6D34" w:rsidRPr="009E6D34" w:rsidRDefault="009E6D34" w:rsidP="00B92709">
            <w:pPr>
              <w:jc w:val="center"/>
              <w:rPr>
                <w:color w:val="000000"/>
                <w:sz w:val="22"/>
                <w:szCs w:val="22"/>
              </w:rPr>
            </w:pPr>
            <w:r w:rsidRPr="009E6D34">
              <w:rPr>
                <w:color w:val="000000"/>
                <w:sz w:val="22"/>
                <w:szCs w:val="22"/>
              </w:rPr>
              <w:t>7,626</w:t>
            </w:r>
          </w:p>
        </w:tc>
      </w:tr>
      <w:tr w:rsidR="009E6D34" w:rsidRPr="009E6D34" w14:paraId="379C4B0A" w14:textId="77777777" w:rsidTr="00B92709">
        <w:trPr>
          <w:trHeight w:val="285"/>
        </w:trPr>
        <w:tc>
          <w:tcPr>
            <w:tcW w:w="1290" w:type="dxa"/>
            <w:tcBorders>
              <w:top w:val="nil"/>
              <w:left w:val="single" w:sz="4" w:space="0" w:color="auto"/>
              <w:bottom w:val="nil"/>
              <w:right w:val="nil"/>
            </w:tcBorders>
            <w:shd w:val="clear" w:color="000000" w:fill="FFFFFF"/>
            <w:noWrap/>
            <w:vAlign w:val="bottom"/>
            <w:hideMark/>
          </w:tcPr>
          <w:p w14:paraId="35997D5F" w14:textId="77777777" w:rsidR="009E6D34" w:rsidRPr="009E6D34" w:rsidRDefault="009E6D34" w:rsidP="00B92709">
            <w:pPr>
              <w:jc w:val="center"/>
              <w:rPr>
                <w:color w:val="000000"/>
                <w:sz w:val="22"/>
                <w:szCs w:val="22"/>
              </w:rPr>
            </w:pPr>
            <w:r w:rsidRPr="009E6D34">
              <w:rPr>
                <w:color w:val="000000"/>
                <w:sz w:val="22"/>
                <w:szCs w:val="22"/>
              </w:rPr>
              <w:t> </w:t>
            </w:r>
          </w:p>
        </w:tc>
        <w:tc>
          <w:tcPr>
            <w:tcW w:w="1290" w:type="dxa"/>
            <w:tcBorders>
              <w:top w:val="nil"/>
              <w:left w:val="nil"/>
              <w:bottom w:val="nil"/>
              <w:right w:val="nil"/>
            </w:tcBorders>
            <w:shd w:val="clear" w:color="000000" w:fill="FFFFFF"/>
            <w:noWrap/>
            <w:vAlign w:val="bottom"/>
            <w:hideMark/>
          </w:tcPr>
          <w:p w14:paraId="5C6B83C5" w14:textId="77777777" w:rsidR="009E6D34" w:rsidRPr="009E6D34" w:rsidRDefault="009E6D34" w:rsidP="00B92709">
            <w:pPr>
              <w:jc w:val="center"/>
              <w:rPr>
                <w:color w:val="000000"/>
                <w:sz w:val="22"/>
                <w:szCs w:val="22"/>
              </w:rPr>
            </w:pPr>
            <w:r w:rsidRPr="009E6D34">
              <w:rPr>
                <w:color w:val="000000"/>
                <w:sz w:val="22"/>
                <w:szCs w:val="22"/>
              </w:rPr>
              <w:t>2023</w:t>
            </w:r>
          </w:p>
        </w:tc>
        <w:tc>
          <w:tcPr>
            <w:tcW w:w="1640" w:type="dxa"/>
            <w:tcBorders>
              <w:top w:val="nil"/>
              <w:left w:val="nil"/>
              <w:bottom w:val="nil"/>
              <w:right w:val="nil"/>
            </w:tcBorders>
            <w:shd w:val="clear" w:color="000000" w:fill="FFFFFF"/>
            <w:noWrap/>
            <w:vAlign w:val="bottom"/>
            <w:hideMark/>
          </w:tcPr>
          <w:p w14:paraId="23AB09BD" w14:textId="77777777" w:rsidR="009E6D34" w:rsidRPr="009E6D34" w:rsidRDefault="009E6D34" w:rsidP="00B92709">
            <w:pPr>
              <w:jc w:val="center"/>
              <w:rPr>
                <w:color w:val="000000"/>
                <w:sz w:val="22"/>
                <w:szCs w:val="22"/>
              </w:rPr>
            </w:pPr>
            <w:r w:rsidRPr="009E6D34">
              <w:rPr>
                <w:color w:val="000000"/>
                <w:sz w:val="22"/>
                <w:szCs w:val="22"/>
              </w:rPr>
              <w:t>929,274</w:t>
            </w:r>
          </w:p>
        </w:tc>
        <w:tc>
          <w:tcPr>
            <w:tcW w:w="1338" w:type="dxa"/>
            <w:tcBorders>
              <w:top w:val="nil"/>
              <w:left w:val="nil"/>
              <w:bottom w:val="nil"/>
              <w:right w:val="nil"/>
            </w:tcBorders>
            <w:shd w:val="clear" w:color="000000" w:fill="FFFFFF"/>
            <w:noWrap/>
            <w:vAlign w:val="bottom"/>
            <w:hideMark/>
          </w:tcPr>
          <w:p w14:paraId="73A16416" w14:textId="77777777" w:rsidR="009E6D34" w:rsidRPr="009E6D34" w:rsidRDefault="009E6D34" w:rsidP="00B92709">
            <w:pPr>
              <w:jc w:val="center"/>
              <w:rPr>
                <w:color w:val="000000"/>
                <w:sz w:val="22"/>
                <w:szCs w:val="22"/>
              </w:rPr>
            </w:pPr>
            <w:r w:rsidRPr="009E6D34">
              <w:rPr>
                <w:color w:val="000000"/>
                <w:sz w:val="22"/>
                <w:szCs w:val="22"/>
              </w:rPr>
              <w:t>98,787</w:t>
            </w:r>
          </w:p>
        </w:tc>
        <w:tc>
          <w:tcPr>
            <w:tcW w:w="1290" w:type="dxa"/>
            <w:tcBorders>
              <w:top w:val="nil"/>
              <w:left w:val="nil"/>
              <w:bottom w:val="nil"/>
              <w:right w:val="nil"/>
            </w:tcBorders>
            <w:shd w:val="clear" w:color="000000" w:fill="FFFFFF"/>
            <w:noWrap/>
            <w:vAlign w:val="bottom"/>
            <w:hideMark/>
          </w:tcPr>
          <w:p w14:paraId="11898453" w14:textId="77777777" w:rsidR="009E6D34" w:rsidRPr="009E6D34" w:rsidRDefault="009E6D34" w:rsidP="00B92709">
            <w:pPr>
              <w:jc w:val="center"/>
              <w:rPr>
                <w:color w:val="000000"/>
                <w:sz w:val="22"/>
                <w:szCs w:val="22"/>
              </w:rPr>
            </w:pPr>
            <w:r w:rsidRPr="009E6D34">
              <w:rPr>
                <w:color w:val="000000"/>
                <w:sz w:val="22"/>
                <w:szCs w:val="22"/>
              </w:rPr>
              <w:t>83,852</w:t>
            </w:r>
          </w:p>
        </w:tc>
        <w:tc>
          <w:tcPr>
            <w:tcW w:w="1290" w:type="dxa"/>
            <w:tcBorders>
              <w:top w:val="nil"/>
              <w:left w:val="nil"/>
              <w:bottom w:val="nil"/>
              <w:right w:val="nil"/>
            </w:tcBorders>
            <w:shd w:val="clear" w:color="000000" w:fill="FFFFFF"/>
            <w:noWrap/>
            <w:vAlign w:val="bottom"/>
            <w:hideMark/>
          </w:tcPr>
          <w:p w14:paraId="63A62005" w14:textId="77777777" w:rsidR="009E6D34" w:rsidRPr="009E6D34" w:rsidRDefault="009E6D34" w:rsidP="00B92709">
            <w:pPr>
              <w:jc w:val="center"/>
              <w:rPr>
                <w:color w:val="000000"/>
                <w:sz w:val="22"/>
                <w:szCs w:val="22"/>
              </w:rPr>
            </w:pPr>
            <w:r w:rsidRPr="009E6D34">
              <w:rPr>
                <w:color w:val="000000"/>
                <w:sz w:val="22"/>
                <w:szCs w:val="22"/>
              </w:rPr>
              <w:t>n/a</w:t>
            </w:r>
          </w:p>
        </w:tc>
        <w:tc>
          <w:tcPr>
            <w:tcW w:w="1290" w:type="dxa"/>
            <w:tcBorders>
              <w:top w:val="nil"/>
              <w:left w:val="nil"/>
              <w:bottom w:val="nil"/>
              <w:right w:val="single" w:sz="4" w:space="0" w:color="auto"/>
            </w:tcBorders>
            <w:shd w:val="clear" w:color="000000" w:fill="FFFFFF"/>
            <w:noWrap/>
            <w:vAlign w:val="bottom"/>
            <w:hideMark/>
          </w:tcPr>
          <w:p w14:paraId="77273EAC" w14:textId="77777777" w:rsidR="009E6D34" w:rsidRPr="009E6D34" w:rsidRDefault="009E6D34" w:rsidP="00B92709">
            <w:pPr>
              <w:jc w:val="center"/>
              <w:rPr>
                <w:color w:val="000000"/>
                <w:sz w:val="22"/>
                <w:szCs w:val="22"/>
              </w:rPr>
            </w:pPr>
            <w:r w:rsidRPr="009E6D34">
              <w:rPr>
                <w:color w:val="000000"/>
                <w:sz w:val="22"/>
                <w:szCs w:val="22"/>
              </w:rPr>
              <w:t>n/a</w:t>
            </w:r>
          </w:p>
        </w:tc>
      </w:tr>
      <w:tr w:rsidR="009E6D34" w:rsidRPr="009E6D34" w14:paraId="6731B2C3" w14:textId="77777777" w:rsidTr="00B92709">
        <w:trPr>
          <w:trHeight w:val="285"/>
        </w:trPr>
        <w:tc>
          <w:tcPr>
            <w:tcW w:w="1290" w:type="dxa"/>
            <w:tcBorders>
              <w:top w:val="nil"/>
              <w:left w:val="single" w:sz="4" w:space="0" w:color="auto"/>
              <w:bottom w:val="single" w:sz="4" w:space="0" w:color="auto"/>
              <w:right w:val="nil"/>
            </w:tcBorders>
            <w:shd w:val="clear" w:color="000000" w:fill="FFFFFF"/>
            <w:noWrap/>
            <w:vAlign w:val="bottom"/>
            <w:hideMark/>
          </w:tcPr>
          <w:p w14:paraId="01F79089" w14:textId="77777777" w:rsidR="009E6D34" w:rsidRPr="009E6D34" w:rsidRDefault="009E6D34" w:rsidP="00B92709">
            <w:pPr>
              <w:jc w:val="center"/>
              <w:rPr>
                <w:color w:val="000000"/>
                <w:sz w:val="22"/>
                <w:szCs w:val="22"/>
              </w:rPr>
            </w:pPr>
            <w:r w:rsidRPr="009E6D34">
              <w:rPr>
                <w:color w:val="000000"/>
                <w:sz w:val="22"/>
                <w:szCs w:val="22"/>
              </w:rPr>
              <w:t> </w:t>
            </w:r>
          </w:p>
        </w:tc>
        <w:tc>
          <w:tcPr>
            <w:tcW w:w="1290" w:type="dxa"/>
            <w:tcBorders>
              <w:top w:val="nil"/>
              <w:left w:val="nil"/>
              <w:bottom w:val="single" w:sz="4" w:space="0" w:color="auto"/>
              <w:right w:val="nil"/>
            </w:tcBorders>
            <w:shd w:val="clear" w:color="000000" w:fill="FFFFFF"/>
            <w:noWrap/>
            <w:vAlign w:val="bottom"/>
            <w:hideMark/>
          </w:tcPr>
          <w:p w14:paraId="11707957" w14:textId="77777777" w:rsidR="009E6D34" w:rsidRPr="009E6D34" w:rsidRDefault="009E6D34" w:rsidP="00B92709">
            <w:pPr>
              <w:jc w:val="center"/>
              <w:rPr>
                <w:color w:val="000000"/>
                <w:sz w:val="22"/>
                <w:szCs w:val="22"/>
              </w:rPr>
            </w:pPr>
            <w:r w:rsidRPr="009E6D34">
              <w:rPr>
                <w:color w:val="000000"/>
                <w:sz w:val="22"/>
                <w:szCs w:val="22"/>
              </w:rPr>
              <w:t>2024</w:t>
            </w:r>
          </w:p>
        </w:tc>
        <w:tc>
          <w:tcPr>
            <w:tcW w:w="1640" w:type="dxa"/>
            <w:tcBorders>
              <w:top w:val="nil"/>
              <w:left w:val="nil"/>
              <w:bottom w:val="single" w:sz="4" w:space="0" w:color="auto"/>
              <w:right w:val="nil"/>
            </w:tcBorders>
            <w:shd w:val="clear" w:color="000000" w:fill="FFFFFF"/>
            <w:noWrap/>
            <w:vAlign w:val="bottom"/>
            <w:hideMark/>
          </w:tcPr>
          <w:p w14:paraId="22EBC079" w14:textId="77777777" w:rsidR="009E6D34" w:rsidRPr="009E6D34" w:rsidRDefault="009E6D34" w:rsidP="00B92709">
            <w:pPr>
              <w:jc w:val="center"/>
              <w:rPr>
                <w:color w:val="000000"/>
                <w:sz w:val="22"/>
                <w:szCs w:val="22"/>
              </w:rPr>
            </w:pPr>
            <w:r w:rsidRPr="009E6D34">
              <w:rPr>
                <w:color w:val="000000"/>
                <w:sz w:val="22"/>
                <w:szCs w:val="22"/>
              </w:rPr>
              <w:t>919,797</w:t>
            </w:r>
          </w:p>
        </w:tc>
        <w:tc>
          <w:tcPr>
            <w:tcW w:w="1338" w:type="dxa"/>
            <w:tcBorders>
              <w:top w:val="nil"/>
              <w:left w:val="nil"/>
              <w:bottom w:val="single" w:sz="4" w:space="0" w:color="auto"/>
              <w:right w:val="nil"/>
            </w:tcBorders>
            <w:shd w:val="clear" w:color="000000" w:fill="FFFFFF"/>
            <w:noWrap/>
            <w:vAlign w:val="bottom"/>
            <w:hideMark/>
          </w:tcPr>
          <w:p w14:paraId="49439F79" w14:textId="77777777" w:rsidR="009E6D34" w:rsidRPr="009E6D34" w:rsidRDefault="009E6D34" w:rsidP="00B92709">
            <w:pPr>
              <w:jc w:val="center"/>
              <w:rPr>
                <w:color w:val="000000"/>
                <w:sz w:val="22"/>
                <w:szCs w:val="22"/>
              </w:rPr>
            </w:pPr>
            <w:r w:rsidRPr="009E6D34">
              <w:rPr>
                <w:color w:val="000000"/>
                <w:sz w:val="22"/>
                <w:szCs w:val="22"/>
              </w:rPr>
              <w:t>103,070</w:t>
            </w:r>
          </w:p>
        </w:tc>
        <w:tc>
          <w:tcPr>
            <w:tcW w:w="1290" w:type="dxa"/>
            <w:tcBorders>
              <w:top w:val="nil"/>
              <w:left w:val="nil"/>
              <w:bottom w:val="single" w:sz="4" w:space="0" w:color="auto"/>
              <w:right w:val="nil"/>
            </w:tcBorders>
            <w:shd w:val="clear" w:color="000000" w:fill="FFFFFF"/>
            <w:noWrap/>
            <w:vAlign w:val="bottom"/>
            <w:hideMark/>
          </w:tcPr>
          <w:p w14:paraId="4249C3AB" w14:textId="77777777" w:rsidR="009E6D34" w:rsidRPr="009E6D34" w:rsidRDefault="009E6D34" w:rsidP="00B92709">
            <w:pPr>
              <w:jc w:val="center"/>
              <w:rPr>
                <w:color w:val="000000"/>
                <w:sz w:val="22"/>
                <w:szCs w:val="22"/>
              </w:rPr>
            </w:pPr>
            <w:r w:rsidRPr="009E6D34">
              <w:rPr>
                <w:color w:val="000000"/>
                <w:sz w:val="22"/>
                <w:szCs w:val="22"/>
              </w:rPr>
              <w:t>87,511</w:t>
            </w:r>
          </w:p>
        </w:tc>
        <w:tc>
          <w:tcPr>
            <w:tcW w:w="1290" w:type="dxa"/>
            <w:tcBorders>
              <w:top w:val="nil"/>
              <w:left w:val="nil"/>
              <w:bottom w:val="single" w:sz="4" w:space="0" w:color="auto"/>
              <w:right w:val="nil"/>
            </w:tcBorders>
            <w:shd w:val="clear" w:color="000000" w:fill="FFFFFF"/>
            <w:noWrap/>
            <w:vAlign w:val="bottom"/>
            <w:hideMark/>
          </w:tcPr>
          <w:p w14:paraId="22E44161" w14:textId="77777777" w:rsidR="009E6D34" w:rsidRPr="009E6D34" w:rsidRDefault="009E6D34" w:rsidP="00B92709">
            <w:pPr>
              <w:jc w:val="center"/>
              <w:rPr>
                <w:color w:val="000000"/>
                <w:sz w:val="22"/>
                <w:szCs w:val="22"/>
              </w:rPr>
            </w:pPr>
            <w:r w:rsidRPr="009E6D34">
              <w:rPr>
                <w:color w:val="000000"/>
                <w:sz w:val="22"/>
                <w:szCs w:val="22"/>
              </w:rPr>
              <w:t>n/a</w:t>
            </w:r>
          </w:p>
        </w:tc>
        <w:tc>
          <w:tcPr>
            <w:tcW w:w="1290" w:type="dxa"/>
            <w:tcBorders>
              <w:top w:val="nil"/>
              <w:left w:val="nil"/>
              <w:bottom w:val="single" w:sz="4" w:space="0" w:color="auto"/>
              <w:right w:val="single" w:sz="4" w:space="0" w:color="auto"/>
            </w:tcBorders>
            <w:shd w:val="clear" w:color="000000" w:fill="FFFFFF"/>
            <w:noWrap/>
            <w:vAlign w:val="bottom"/>
            <w:hideMark/>
          </w:tcPr>
          <w:p w14:paraId="29ACD9F1" w14:textId="77777777" w:rsidR="009E6D34" w:rsidRPr="009E6D34" w:rsidRDefault="009E6D34" w:rsidP="00B92709">
            <w:pPr>
              <w:jc w:val="center"/>
              <w:rPr>
                <w:color w:val="000000"/>
                <w:sz w:val="22"/>
                <w:szCs w:val="22"/>
              </w:rPr>
            </w:pPr>
            <w:r w:rsidRPr="009E6D34">
              <w:rPr>
                <w:color w:val="000000"/>
                <w:sz w:val="22"/>
                <w:szCs w:val="22"/>
              </w:rPr>
              <w:t>n/a</w:t>
            </w:r>
          </w:p>
        </w:tc>
      </w:tr>
    </w:tbl>
    <w:p w14:paraId="78A3D63A" w14:textId="77777777" w:rsidR="009E6D34" w:rsidRPr="009E6D34" w:rsidRDefault="009E6D34" w:rsidP="009E6D34">
      <w:pPr>
        <w:pStyle w:val="Default"/>
        <w:rPr>
          <w:rFonts w:eastAsia="Times New Roman"/>
          <w:sz w:val="22"/>
          <w:szCs w:val="22"/>
        </w:rPr>
      </w:pPr>
    </w:p>
    <w:p w14:paraId="405E64C8" w14:textId="77777777" w:rsidR="009E6D34" w:rsidRPr="009E6D34" w:rsidRDefault="009E6D34" w:rsidP="009E6D34">
      <w:pPr>
        <w:pStyle w:val="Default"/>
        <w:rPr>
          <w:sz w:val="22"/>
          <w:szCs w:val="22"/>
        </w:rPr>
      </w:pPr>
      <w:r w:rsidRPr="009E6D34">
        <w:rPr>
          <w:rFonts w:eastAsia="Times New Roman"/>
          <w:sz w:val="22"/>
          <w:szCs w:val="22"/>
        </w:rPr>
        <w:t xml:space="preserve">The Bering Sea and Aleutian Islands (BSAI) arrowtooth flounder stock </w:t>
      </w:r>
      <w:proofErr w:type="gramStart"/>
      <w:r w:rsidRPr="009E6D34">
        <w:rPr>
          <w:rFonts w:eastAsia="Times New Roman"/>
          <w:sz w:val="22"/>
          <w:szCs w:val="22"/>
        </w:rPr>
        <w:t>is assessed</w:t>
      </w:r>
      <w:proofErr w:type="gramEnd"/>
      <w:r w:rsidRPr="009E6D34">
        <w:rPr>
          <w:rFonts w:eastAsia="Times New Roman"/>
          <w:sz w:val="22"/>
          <w:szCs w:val="22"/>
        </w:rPr>
        <w:t xml:space="preserve"> using a statistical age-structured model. New data for this year included estimates of catch through </w:t>
      </w:r>
    </w:p>
    <w:p w14:paraId="004D3449" w14:textId="77777777" w:rsidR="009E6D34" w:rsidRPr="009E6D34" w:rsidRDefault="009E6D34" w:rsidP="009E6D34">
      <w:pPr>
        <w:autoSpaceDE w:val="0"/>
        <w:autoSpaceDN w:val="0"/>
        <w:adjustRightInd w:val="0"/>
        <w:rPr>
          <w:sz w:val="22"/>
          <w:szCs w:val="22"/>
        </w:rPr>
      </w:pPr>
      <w:r w:rsidRPr="009E6D34">
        <w:rPr>
          <w:color w:val="000000"/>
          <w:sz w:val="22"/>
          <w:szCs w:val="22"/>
        </w:rPr>
        <w:t xml:space="preserve">October 14, 2022, updated and new fishery size compositions, new survey biomass point estimates and associated standard errors, age and size data for the eastern Bering Sea shelf bottom trawl survey, and new age data from the eastern Bering Sea shelf bottom trawl survey. </w:t>
      </w:r>
    </w:p>
    <w:p w14:paraId="2CDB9004" w14:textId="77777777" w:rsidR="009E6D34" w:rsidRPr="009E6D34" w:rsidRDefault="009E6D34" w:rsidP="009E6D34">
      <w:pPr>
        <w:rPr>
          <w:sz w:val="22"/>
          <w:szCs w:val="22"/>
        </w:rPr>
      </w:pPr>
    </w:p>
    <w:p w14:paraId="7E30A578" w14:textId="77777777" w:rsidR="009E6D34" w:rsidRPr="009E6D34" w:rsidRDefault="009E6D34" w:rsidP="009E6D34">
      <w:pPr>
        <w:rPr>
          <w:sz w:val="22"/>
          <w:szCs w:val="22"/>
        </w:rPr>
      </w:pPr>
      <w:r w:rsidRPr="009E6D34">
        <w:rPr>
          <w:color w:val="000000"/>
          <w:sz w:val="22"/>
          <w:szCs w:val="22"/>
        </w:rPr>
        <w:t xml:space="preserve">There were no changes in the assessment methodology in 2022. </w:t>
      </w:r>
      <w:r w:rsidRPr="009E6D34">
        <w:rPr>
          <w:sz w:val="22"/>
          <w:szCs w:val="22"/>
        </w:rPr>
        <w:t xml:space="preserve">Overall, this stock increased steadily from 1985 to 2009, dipped slightly until 2017 and then increased to current levels that are similar to the 2009 time series peak. The projected age 1+ total biomass for 2023 is 929,274 t, which is a slight decrease from the 914,915 </w:t>
      </w:r>
      <w:proofErr w:type="gramStart"/>
      <w:r w:rsidRPr="009E6D34">
        <w:rPr>
          <w:sz w:val="22"/>
          <w:szCs w:val="22"/>
        </w:rPr>
        <w:t>t</w:t>
      </w:r>
      <w:proofErr w:type="gramEnd"/>
      <w:r w:rsidRPr="009E6D34">
        <w:rPr>
          <w:sz w:val="22"/>
          <w:szCs w:val="22"/>
        </w:rPr>
        <w:t xml:space="preserve"> projected for 2023 in last year’s assessment. The projected female spawning biomass for 2023 is 514,577 t, which is a slight decrease from last year’s 2023 estimate of 528,725 t. The authors recommend setting </w:t>
      </w:r>
      <w:r w:rsidRPr="009E6D34">
        <w:rPr>
          <w:i/>
          <w:iCs/>
          <w:sz w:val="22"/>
          <w:szCs w:val="22"/>
        </w:rPr>
        <w:t xml:space="preserve">FABC </w:t>
      </w:r>
      <w:r w:rsidRPr="009E6D34">
        <w:rPr>
          <w:sz w:val="22"/>
          <w:szCs w:val="22"/>
        </w:rPr>
        <w:t xml:space="preserve">at the </w:t>
      </w:r>
      <w:proofErr w:type="gramStart"/>
      <w:r w:rsidRPr="009E6D34">
        <w:rPr>
          <w:i/>
          <w:iCs/>
          <w:sz w:val="22"/>
          <w:szCs w:val="22"/>
        </w:rPr>
        <w:t>F40%</w:t>
      </w:r>
      <w:proofErr w:type="gramEnd"/>
      <w:r w:rsidRPr="009E6D34">
        <w:rPr>
          <w:i/>
          <w:iCs/>
          <w:sz w:val="22"/>
          <w:szCs w:val="22"/>
        </w:rPr>
        <w:t xml:space="preserve"> </w:t>
      </w:r>
      <w:r w:rsidRPr="009E6D34">
        <w:rPr>
          <w:sz w:val="22"/>
          <w:szCs w:val="22"/>
        </w:rPr>
        <w:t xml:space="preserve">level, which is the maximum permissible level under Tier 3a, resulting in 2023 and 2024 ABCs of 83,852 t and 87,511 t, respectively. Projected harvesting at </w:t>
      </w:r>
      <w:proofErr w:type="gramStart"/>
      <w:r w:rsidRPr="009E6D34">
        <w:rPr>
          <w:i/>
          <w:iCs/>
          <w:sz w:val="22"/>
          <w:szCs w:val="22"/>
        </w:rPr>
        <w:t>F35%</w:t>
      </w:r>
      <w:proofErr w:type="gramEnd"/>
      <w:r w:rsidRPr="009E6D34">
        <w:rPr>
          <w:i/>
          <w:iCs/>
          <w:sz w:val="22"/>
          <w:szCs w:val="22"/>
        </w:rPr>
        <w:t xml:space="preserve"> </w:t>
      </w:r>
      <w:r w:rsidRPr="009E6D34">
        <w:rPr>
          <w:sz w:val="22"/>
          <w:szCs w:val="22"/>
        </w:rPr>
        <w:t xml:space="preserve">(0.174) gives 2023 and 2024 OFLs of 98,787 t and 103,070 t respectively. Arrowtooth flounder is a lightly exploited stock in the BSAI. Arrowtooth flounder </w:t>
      </w:r>
      <w:proofErr w:type="gramStart"/>
      <w:r w:rsidRPr="009E6D34">
        <w:rPr>
          <w:sz w:val="22"/>
          <w:szCs w:val="22"/>
        </w:rPr>
        <w:t>is not being subjected</w:t>
      </w:r>
      <w:proofErr w:type="gramEnd"/>
      <w:r w:rsidRPr="009E6D34">
        <w:rPr>
          <w:sz w:val="22"/>
          <w:szCs w:val="22"/>
        </w:rPr>
        <w:t xml:space="preserve"> to overfishing, is not overfished, and is not approaching an overfished condition.</w:t>
      </w:r>
    </w:p>
    <w:p w14:paraId="2B48E7C7" w14:textId="77777777" w:rsidR="009E6D34" w:rsidRPr="009E6D34" w:rsidRDefault="009E6D34" w:rsidP="009E6D34">
      <w:pPr>
        <w:rPr>
          <w:sz w:val="22"/>
          <w:szCs w:val="22"/>
        </w:rPr>
      </w:pPr>
    </w:p>
    <w:p w14:paraId="26F08873" w14:textId="77777777" w:rsidR="009E6D34" w:rsidRPr="009E6D34" w:rsidRDefault="009E6D34" w:rsidP="009E6D34">
      <w:pPr>
        <w:rPr>
          <w:sz w:val="22"/>
          <w:szCs w:val="22"/>
        </w:rPr>
      </w:pPr>
      <w:r w:rsidRPr="009E6D34">
        <w:rPr>
          <w:color w:val="000000"/>
          <w:sz w:val="22"/>
          <w:szCs w:val="22"/>
        </w:rPr>
        <w:t>For more information, contact Kalei Shotwell, kalei.shotwell@noaa.gov.</w:t>
      </w:r>
    </w:p>
    <w:p w14:paraId="25C8D06B" w14:textId="77777777" w:rsidR="00DE3EE8" w:rsidRPr="002B7E6B" w:rsidRDefault="00DE3EE8" w:rsidP="00DE3EE8">
      <w:pPr>
        <w:rPr>
          <w:sz w:val="22"/>
          <w:szCs w:val="22"/>
        </w:rPr>
      </w:pPr>
    </w:p>
    <w:p w14:paraId="5506DFFE" w14:textId="4FF8F65A" w:rsidR="00DE3EE8" w:rsidRDefault="00DE3EE8" w:rsidP="00017EC4">
      <w:pPr>
        <w:pStyle w:val="Heading5"/>
      </w:pPr>
      <w:bookmarkStart w:id="148" w:name="_Toc131503889"/>
      <w:r w:rsidRPr="00017EC4">
        <w:t>Arrowtooth flounder</w:t>
      </w:r>
      <w:r w:rsidR="0024271A">
        <w:t xml:space="preserve"> – </w:t>
      </w:r>
      <w:r w:rsidRPr="00017EC4">
        <w:t>Gulf of Alaska</w:t>
      </w:r>
      <w:r w:rsidR="0024271A">
        <w:t xml:space="preserve"> – </w:t>
      </w:r>
      <w:r w:rsidRPr="00017EC4">
        <w:t>REFM</w:t>
      </w:r>
      <w:bookmarkEnd w:id="148"/>
      <w:r w:rsidRPr="00017EC4">
        <w:t xml:space="preserve"> </w:t>
      </w:r>
    </w:p>
    <w:p w14:paraId="0620B5A2" w14:textId="77777777" w:rsidR="009E6D34" w:rsidRPr="009E6D34" w:rsidRDefault="009E6D34" w:rsidP="009E6D34">
      <w:pPr>
        <w:outlineLvl w:val="4"/>
        <w:rPr>
          <w:b/>
          <w:bCs/>
          <w:sz w:val="22"/>
          <w:szCs w:val="22"/>
        </w:rPr>
      </w:pPr>
    </w:p>
    <w:tbl>
      <w:tblPr>
        <w:tblW w:w="9094" w:type="dxa"/>
        <w:tblLook w:val="04A0" w:firstRow="1" w:lastRow="0" w:firstColumn="1" w:lastColumn="0" w:noHBand="0" w:noVBand="1"/>
      </w:tblPr>
      <w:tblGrid>
        <w:gridCol w:w="1352"/>
        <w:gridCol w:w="2290"/>
        <w:gridCol w:w="1374"/>
        <w:gridCol w:w="1374"/>
        <w:gridCol w:w="1352"/>
        <w:gridCol w:w="1352"/>
      </w:tblGrid>
      <w:tr w:rsidR="009E6D34" w:rsidRPr="009E6D34" w14:paraId="0B9FFB22" w14:textId="77777777" w:rsidTr="00B92709">
        <w:trPr>
          <w:trHeight w:val="289"/>
        </w:trPr>
        <w:tc>
          <w:tcPr>
            <w:tcW w:w="1352" w:type="dxa"/>
            <w:tcBorders>
              <w:top w:val="single" w:sz="4" w:space="0" w:color="auto"/>
              <w:left w:val="single" w:sz="4" w:space="0" w:color="auto"/>
              <w:bottom w:val="single" w:sz="4" w:space="0" w:color="auto"/>
              <w:right w:val="nil"/>
            </w:tcBorders>
            <w:shd w:val="clear" w:color="000000" w:fill="FFFFFF"/>
            <w:noWrap/>
            <w:vAlign w:val="bottom"/>
            <w:hideMark/>
          </w:tcPr>
          <w:p w14:paraId="2FE4C6B8" w14:textId="77777777" w:rsidR="009E6D34" w:rsidRPr="009E6D34" w:rsidRDefault="009E6D34" w:rsidP="00B92709">
            <w:pPr>
              <w:jc w:val="center"/>
              <w:rPr>
                <w:color w:val="000000"/>
                <w:sz w:val="22"/>
                <w:szCs w:val="22"/>
              </w:rPr>
            </w:pPr>
            <w:r w:rsidRPr="009E6D34">
              <w:rPr>
                <w:color w:val="000000"/>
                <w:sz w:val="22"/>
                <w:szCs w:val="22"/>
              </w:rPr>
              <w:t>Year</w:t>
            </w:r>
          </w:p>
        </w:tc>
        <w:tc>
          <w:tcPr>
            <w:tcW w:w="2290" w:type="dxa"/>
            <w:tcBorders>
              <w:top w:val="single" w:sz="4" w:space="0" w:color="auto"/>
              <w:left w:val="nil"/>
              <w:bottom w:val="single" w:sz="4" w:space="0" w:color="auto"/>
              <w:right w:val="nil"/>
            </w:tcBorders>
            <w:shd w:val="clear" w:color="000000" w:fill="FFFFFF"/>
            <w:noWrap/>
            <w:vAlign w:val="bottom"/>
            <w:hideMark/>
          </w:tcPr>
          <w:p w14:paraId="76A84387" w14:textId="77777777" w:rsidR="009E6D34" w:rsidRPr="009E6D34" w:rsidRDefault="009E6D34" w:rsidP="00B92709">
            <w:pPr>
              <w:jc w:val="center"/>
              <w:rPr>
                <w:color w:val="000000"/>
                <w:sz w:val="22"/>
                <w:szCs w:val="22"/>
              </w:rPr>
            </w:pPr>
            <w:r w:rsidRPr="009E6D34">
              <w:rPr>
                <w:color w:val="000000"/>
                <w:sz w:val="22"/>
                <w:szCs w:val="22"/>
              </w:rPr>
              <w:t>age-1+ Biomass</w:t>
            </w:r>
          </w:p>
        </w:tc>
        <w:tc>
          <w:tcPr>
            <w:tcW w:w="1374" w:type="dxa"/>
            <w:tcBorders>
              <w:top w:val="single" w:sz="4" w:space="0" w:color="auto"/>
              <w:left w:val="nil"/>
              <w:bottom w:val="single" w:sz="4" w:space="0" w:color="auto"/>
              <w:right w:val="nil"/>
            </w:tcBorders>
            <w:shd w:val="clear" w:color="000000" w:fill="FFFFFF"/>
            <w:noWrap/>
            <w:vAlign w:val="bottom"/>
            <w:hideMark/>
          </w:tcPr>
          <w:p w14:paraId="30338536" w14:textId="77777777" w:rsidR="009E6D34" w:rsidRPr="009E6D34" w:rsidRDefault="009E6D34" w:rsidP="00B92709">
            <w:pPr>
              <w:jc w:val="center"/>
              <w:rPr>
                <w:color w:val="000000"/>
                <w:sz w:val="22"/>
                <w:szCs w:val="22"/>
              </w:rPr>
            </w:pPr>
            <w:r w:rsidRPr="009E6D34">
              <w:rPr>
                <w:color w:val="000000"/>
                <w:sz w:val="22"/>
                <w:szCs w:val="22"/>
              </w:rPr>
              <w:t>OFL</w:t>
            </w:r>
          </w:p>
        </w:tc>
        <w:tc>
          <w:tcPr>
            <w:tcW w:w="1374" w:type="dxa"/>
            <w:tcBorders>
              <w:top w:val="single" w:sz="4" w:space="0" w:color="auto"/>
              <w:left w:val="nil"/>
              <w:bottom w:val="single" w:sz="4" w:space="0" w:color="auto"/>
              <w:right w:val="nil"/>
            </w:tcBorders>
            <w:shd w:val="clear" w:color="000000" w:fill="FFFFFF"/>
            <w:noWrap/>
            <w:vAlign w:val="bottom"/>
            <w:hideMark/>
          </w:tcPr>
          <w:p w14:paraId="438A2323" w14:textId="77777777" w:rsidR="009E6D34" w:rsidRPr="009E6D34" w:rsidRDefault="009E6D34" w:rsidP="00B92709">
            <w:pPr>
              <w:jc w:val="center"/>
              <w:rPr>
                <w:color w:val="000000"/>
                <w:sz w:val="22"/>
                <w:szCs w:val="22"/>
              </w:rPr>
            </w:pPr>
            <w:r w:rsidRPr="009E6D34">
              <w:rPr>
                <w:color w:val="000000"/>
                <w:sz w:val="22"/>
                <w:szCs w:val="22"/>
              </w:rPr>
              <w:t>ABC</w:t>
            </w:r>
          </w:p>
        </w:tc>
        <w:tc>
          <w:tcPr>
            <w:tcW w:w="1352" w:type="dxa"/>
            <w:tcBorders>
              <w:top w:val="single" w:sz="4" w:space="0" w:color="auto"/>
              <w:left w:val="nil"/>
              <w:bottom w:val="single" w:sz="4" w:space="0" w:color="auto"/>
              <w:right w:val="nil"/>
            </w:tcBorders>
            <w:shd w:val="clear" w:color="000000" w:fill="FFFFFF"/>
            <w:noWrap/>
            <w:vAlign w:val="bottom"/>
            <w:hideMark/>
          </w:tcPr>
          <w:p w14:paraId="2572CA3C" w14:textId="77777777" w:rsidR="009E6D34" w:rsidRPr="009E6D34" w:rsidRDefault="009E6D34" w:rsidP="00B92709">
            <w:pPr>
              <w:jc w:val="center"/>
              <w:rPr>
                <w:color w:val="000000"/>
                <w:sz w:val="22"/>
                <w:szCs w:val="22"/>
              </w:rPr>
            </w:pPr>
            <w:r w:rsidRPr="009E6D34">
              <w:rPr>
                <w:color w:val="000000"/>
                <w:sz w:val="22"/>
                <w:szCs w:val="22"/>
              </w:rPr>
              <w:t>TAC</w:t>
            </w:r>
          </w:p>
        </w:tc>
        <w:tc>
          <w:tcPr>
            <w:tcW w:w="1352" w:type="dxa"/>
            <w:tcBorders>
              <w:top w:val="single" w:sz="4" w:space="0" w:color="auto"/>
              <w:left w:val="nil"/>
              <w:bottom w:val="single" w:sz="4" w:space="0" w:color="auto"/>
              <w:right w:val="single" w:sz="4" w:space="0" w:color="auto"/>
            </w:tcBorders>
            <w:shd w:val="clear" w:color="000000" w:fill="FFFFFF"/>
            <w:noWrap/>
            <w:vAlign w:val="bottom"/>
            <w:hideMark/>
          </w:tcPr>
          <w:p w14:paraId="3FC53571" w14:textId="77777777" w:rsidR="009E6D34" w:rsidRPr="009E6D34" w:rsidRDefault="009E6D34" w:rsidP="00B92709">
            <w:pPr>
              <w:jc w:val="center"/>
              <w:rPr>
                <w:color w:val="000000"/>
                <w:sz w:val="22"/>
                <w:szCs w:val="22"/>
              </w:rPr>
            </w:pPr>
            <w:r w:rsidRPr="009E6D34">
              <w:rPr>
                <w:color w:val="000000"/>
                <w:sz w:val="22"/>
                <w:szCs w:val="22"/>
              </w:rPr>
              <w:t>Catch</w:t>
            </w:r>
          </w:p>
        </w:tc>
      </w:tr>
      <w:tr w:rsidR="009E6D34" w:rsidRPr="009E6D34" w14:paraId="64112720" w14:textId="77777777" w:rsidTr="00B92709">
        <w:trPr>
          <w:trHeight w:val="289"/>
        </w:trPr>
        <w:tc>
          <w:tcPr>
            <w:tcW w:w="1352" w:type="dxa"/>
            <w:tcBorders>
              <w:top w:val="nil"/>
              <w:left w:val="single" w:sz="4" w:space="0" w:color="auto"/>
              <w:bottom w:val="nil"/>
              <w:right w:val="nil"/>
            </w:tcBorders>
            <w:shd w:val="clear" w:color="000000" w:fill="FFFFFF"/>
            <w:noWrap/>
            <w:vAlign w:val="bottom"/>
            <w:hideMark/>
          </w:tcPr>
          <w:p w14:paraId="1371FAFB" w14:textId="77777777" w:rsidR="009E6D34" w:rsidRPr="009E6D34" w:rsidRDefault="009E6D34" w:rsidP="00B92709">
            <w:pPr>
              <w:jc w:val="center"/>
              <w:rPr>
                <w:color w:val="000000"/>
                <w:sz w:val="22"/>
                <w:szCs w:val="22"/>
              </w:rPr>
            </w:pPr>
            <w:r w:rsidRPr="009E6D34">
              <w:rPr>
                <w:color w:val="000000"/>
                <w:sz w:val="22"/>
                <w:szCs w:val="22"/>
              </w:rPr>
              <w:t>2021</w:t>
            </w:r>
          </w:p>
        </w:tc>
        <w:tc>
          <w:tcPr>
            <w:tcW w:w="2290" w:type="dxa"/>
            <w:tcBorders>
              <w:top w:val="nil"/>
              <w:left w:val="nil"/>
              <w:bottom w:val="nil"/>
              <w:right w:val="nil"/>
            </w:tcBorders>
            <w:shd w:val="clear" w:color="000000" w:fill="FFFFFF"/>
            <w:noWrap/>
            <w:vAlign w:val="bottom"/>
            <w:hideMark/>
          </w:tcPr>
          <w:p w14:paraId="16B6286F" w14:textId="77777777" w:rsidR="009E6D34" w:rsidRPr="009E6D34" w:rsidRDefault="009E6D34" w:rsidP="00B92709">
            <w:pPr>
              <w:jc w:val="center"/>
              <w:rPr>
                <w:color w:val="000000"/>
                <w:sz w:val="22"/>
                <w:szCs w:val="22"/>
              </w:rPr>
            </w:pPr>
            <w:r w:rsidRPr="009E6D34">
              <w:rPr>
                <w:color w:val="000000"/>
                <w:sz w:val="22"/>
                <w:szCs w:val="22"/>
              </w:rPr>
              <w:t>1,321,700</w:t>
            </w:r>
          </w:p>
        </w:tc>
        <w:tc>
          <w:tcPr>
            <w:tcW w:w="1374" w:type="dxa"/>
            <w:tcBorders>
              <w:top w:val="nil"/>
              <w:left w:val="nil"/>
              <w:bottom w:val="nil"/>
              <w:right w:val="nil"/>
            </w:tcBorders>
            <w:shd w:val="clear" w:color="000000" w:fill="FFFFFF"/>
            <w:noWrap/>
            <w:vAlign w:val="bottom"/>
            <w:hideMark/>
          </w:tcPr>
          <w:p w14:paraId="6539D51B" w14:textId="77777777" w:rsidR="009E6D34" w:rsidRPr="009E6D34" w:rsidRDefault="009E6D34" w:rsidP="00B92709">
            <w:pPr>
              <w:jc w:val="center"/>
              <w:rPr>
                <w:color w:val="000000"/>
                <w:sz w:val="22"/>
                <w:szCs w:val="22"/>
              </w:rPr>
            </w:pPr>
            <w:r w:rsidRPr="009E6D34">
              <w:rPr>
                <w:color w:val="000000"/>
                <w:sz w:val="22"/>
                <w:szCs w:val="22"/>
              </w:rPr>
              <w:t>151,723</w:t>
            </w:r>
          </w:p>
        </w:tc>
        <w:tc>
          <w:tcPr>
            <w:tcW w:w="1374" w:type="dxa"/>
            <w:tcBorders>
              <w:top w:val="nil"/>
              <w:left w:val="nil"/>
              <w:bottom w:val="nil"/>
              <w:right w:val="nil"/>
            </w:tcBorders>
            <w:shd w:val="clear" w:color="000000" w:fill="FFFFFF"/>
            <w:noWrap/>
            <w:vAlign w:val="bottom"/>
            <w:hideMark/>
          </w:tcPr>
          <w:p w14:paraId="76B16225" w14:textId="77777777" w:rsidR="009E6D34" w:rsidRPr="009E6D34" w:rsidRDefault="009E6D34" w:rsidP="00B92709">
            <w:pPr>
              <w:jc w:val="center"/>
              <w:rPr>
                <w:color w:val="000000"/>
                <w:sz w:val="22"/>
                <w:szCs w:val="22"/>
              </w:rPr>
            </w:pPr>
            <w:r w:rsidRPr="009E6D34">
              <w:rPr>
                <w:color w:val="000000"/>
                <w:sz w:val="22"/>
                <w:szCs w:val="22"/>
              </w:rPr>
              <w:t>126,970</w:t>
            </w:r>
          </w:p>
        </w:tc>
        <w:tc>
          <w:tcPr>
            <w:tcW w:w="1352" w:type="dxa"/>
            <w:tcBorders>
              <w:top w:val="nil"/>
              <w:left w:val="nil"/>
              <w:bottom w:val="nil"/>
              <w:right w:val="nil"/>
            </w:tcBorders>
            <w:shd w:val="clear" w:color="000000" w:fill="FFFFFF"/>
            <w:noWrap/>
            <w:vAlign w:val="bottom"/>
            <w:hideMark/>
          </w:tcPr>
          <w:p w14:paraId="0E0F1084" w14:textId="77777777" w:rsidR="009E6D34" w:rsidRPr="009E6D34" w:rsidRDefault="009E6D34" w:rsidP="00B92709">
            <w:pPr>
              <w:jc w:val="center"/>
              <w:rPr>
                <w:color w:val="000000"/>
                <w:sz w:val="22"/>
                <w:szCs w:val="22"/>
              </w:rPr>
            </w:pPr>
            <w:r w:rsidRPr="009E6D34">
              <w:rPr>
                <w:color w:val="000000"/>
                <w:sz w:val="22"/>
                <w:szCs w:val="22"/>
              </w:rPr>
              <w:t>97,372</w:t>
            </w:r>
          </w:p>
        </w:tc>
        <w:tc>
          <w:tcPr>
            <w:tcW w:w="1352" w:type="dxa"/>
            <w:tcBorders>
              <w:top w:val="nil"/>
              <w:left w:val="nil"/>
              <w:bottom w:val="nil"/>
              <w:right w:val="single" w:sz="4" w:space="0" w:color="auto"/>
            </w:tcBorders>
            <w:shd w:val="clear" w:color="000000" w:fill="FFFFFF"/>
            <w:noWrap/>
            <w:vAlign w:val="bottom"/>
            <w:hideMark/>
          </w:tcPr>
          <w:p w14:paraId="72F96128" w14:textId="77777777" w:rsidR="009E6D34" w:rsidRPr="009E6D34" w:rsidRDefault="009E6D34" w:rsidP="00B92709">
            <w:pPr>
              <w:jc w:val="center"/>
              <w:rPr>
                <w:color w:val="000000"/>
                <w:sz w:val="22"/>
                <w:szCs w:val="22"/>
              </w:rPr>
            </w:pPr>
            <w:r w:rsidRPr="009E6D34">
              <w:rPr>
                <w:color w:val="000000"/>
                <w:sz w:val="22"/>
                <w:szCs w:val="22"/>
              </w:rPr>
              <w:t>9,984</w:t>
            </w:r>
          </w:p>
        </w:tc>
      </w:tr>
      <w:tr w:rsidR="009E6D34" w:rsidRPr="009E6D34" w14:paraId="318E4500" w14:textId="77777777" w:rsidTr="00B92709">
        <w:trPr>
          <w:trHeight w:val="289"/>
        </w:trPr>
        <w:tc>
          <w:tcPr>
            <w:tcW w:w="1352" w:type="dxa"/>
            <w:tcBorders>
              <w:top w:val="nil"/>
              <w:left w:val="single" w:sz="4" w:space="0" w:color="auto"/>
              <w:bottom w:val="nil"/>
              <w:right w:val="nil"/>
            </w:tcBorders>
            <w:shd w:val="clear" w:color="000000" w:fill="FFFFFF"/>
            <w:noWrap/>
            <w:vAlign w:val="bottom"/>
            <w:hideMark/>
          </w:tcPr>
          <w:p w14:paraId="0116F08A" w14:textId="77777777" w:rsidR="009E6D34" w:rsidRPr="009E6D34" w:rsidRDefault="009E6D34" w:rsidP="00B92709">
            <w:pPr>
              <w:jc w:val="center"/>
              <w:rPr>
                <w:color w:val="000000"/>
                <w:sz w:val="22"/>
                <w:szCs w:val="22"/>
              </w:rPr>
            </w:pPr>
            <w:r w:rsidRPr="009E6D34">
              <w:rPr>
                <w:color w:val="000000"/>
                <w:sz w:val="22"/>
                <w:szCs w:val="22"/>
              </w:rPr>
              <w:t>2022</w:t>
            </w:r>
          </w:p>
        </w:tc>
        <w:tc>
          <w:tcPr>
            <w:tcW w:w="2290" w:type="dxa"/>
            <w:tcBorders>
              <w:top w:val="nil"/>
              <w:left w:val="nil"/>
              <w:bottom w:val="nil"/>
              <w:right w:val="nil"/>
            </w:tcBorders>
            <w:shd w:val="clear" w:color="000000" w:fill="FFFFFF"/>
            <w:noWrap/>
            <w:vAlign w:val="bottom"/>
            <w:hideMark/>
          </w:tcPr>
          <w:p w14:paraId="68167F8C" w14:textId="77777777" w:rsidR="009E6D34" w:rsidRPr="009E6D34" w:rsidRDefault="009E6D34" w:rsidP="00B92709">
            <w:pPr>
              <w:jc w:val="center"/>
              <w:rPr>
                <w:color w:val="000000"/>
                <w:sz w:val="22"/>
                <w:szCs w:val="22"/>
              </w:rPr>
            </w:pPr>
            <w:r w:rsidRPr="009E6D34">
              <w:rPr>
                <w:color w:val="000000"/>
                <w:sz w:val="22"/>
                <w:szCs w:val="22"/>
              </w:rPr>
              <w:t>1,268,140</w:t>
            </w:r>
          </w:p>
        </w:tc>
        <w:tc>
          <w:tcPr>
            <w:tcW w:w="1374" w:type="dxa"/>
            <w:tcBorders>
              <w:top w:val="nil"/>
              <w:left w:val="nil"/>
              <w:bottom w:val="nil"/>
              <w:right w:val="nil"/>
            </w:tcBorders>
            <w:shd w:val="clear" w:color="000000" w:fill="FFFFFF"/>
            <w:noWrap/>
            <w:vAlign w:val="bottom"/>
            <w:hideMark/>
          </w:tcPr>
          <w:p w14:paraId="42281E83" w14:textId="77777777" w:rsidR="009E6D34" w:rsidRPr="009E6D34" w:rsidRDefault="009E6D34" w:rsidP="00B92709">
            <w:pPr>
              <w:jc w:val="center"/>
              <w:rPr>
                <w:color w:val="000000"/>
                <w:sz w:val="22"/>
                <w:szCs w:val="22"/>
              </w:rPr>
            </w:pPr>
            <w:r w:rsidRPr="009E6D34">
              <w:rPr>
                <w:color w:val="000000"/>
                <w:sz w:val="22"/>
                <w:szCs w:val="22"/>
              </w:rPr>
              <w:t>143,100</w:t>
            </w:r>
          </w:p>
        </w:tc>
        <w:tc>
          <w:tcPr>
            <w:tcW w:w="1374" w:type="dxa"/>
            <w:tcBorders>
              <w:top w:val="nil"/>
              <w:left w:val="nil"/>
              <w:bottom w:val="nil"/>
              <w:right w:val="nil"/>
            </w:tcBorders>
            <w:shd w:val="clear" w:color="000000" w:fill="FFFFFF"/>
            <w:noWrap/>
            <w:vAlign w:val="bottom"/>
            <w:hideMark/>
          </w:tcPr>
          <w:p w14:paraId="1827682D" w14:textId="77777777" w:rsidR="009E6D34" w:rsidRPr="009E6D34" w:rsidRDefault="009E6D34" w:rsidP="00B92709">
            <w:pPr>
              <w:jc w:val="center"/>
              <w:rPr>
                <w:color w:val="000000"/>
                <w:sz w:val="22"/>
                <w:szCs w:val="22"/>
              </w:rPr>
            </w:pPr>
            <w:r w:rsidRPr="009E6D34">
              <w:rPr>
                <w:color w:val="000000"/>
                <w:sz w:val="22"/>
                <w:szCs w:val="22"/>
              </w:rPr>
              <w:t>119,779</w:t>
            </w:r>
          </w:p>
        </w:tc>
        <w:tc>
          <w:tcPr>
            <w:tcW w:w="1352" w:type="dxa"/>
            <w:tcBorders>
              <w:top w:val="nil"/>
              <w:left w:val="nil"/>
              <w:bottom w:val="nil"/>
              <w:right w:val="nil"/>
            </w:tcBorders>
            <w:shd w:val="clear" w:color="000000" w:fill="FFFFFF"/>
            <w:noWrap/>
            <w:vAlign w:val="bottom"/>
            <w:hideMark/>
          </w:tcPr>
          <w:p w14:paraId="3AD43EFE" w14:textId="77777777" w:rsidR="009E6D34" w:rsidRPr="009E6D34" w:rsidRDefault="009E6D34" w:rsidP="00B92709">
            <w:pPr>
              <w:jc w:val="center"/>
              <w:rPr>
                <w:color w:val="000000"/>
                <w:sz w:val="22"/>
                <w:szCs w:val="22"/>
              </w:rPr>
            </w:pPr>
            <w:r w:rsidRPr="009E6D34">
              <w:rPr>
                <w:color w:val="000000"/>
                <w:sz w:val="22"/>
                <w:szCs w:val="22"/>
              </w:rPr>
              <w:t>96,501</w:t>
            </w:r>
          </w:p>
        </w:tc>
        <w:tc>
          <w:tcPr>
            <w:tcW w:w="1352" w:type="dxa"/>
            <w:tcBorders>
              <w:top w:val="nil"/>
              <w:left w:val="nil"/>
              <w:bottom w:val="nil"/>
              <w:right w:val="single" w:sz="4" w:space="0" w:color="auto"/>
            </w:tcBorders>
            <w:shd w:val="clear" w:color="000000" w:fill="FFFFFF"/>
            <w:noWrap/>
            <w:vAlign w:val="bottom"/>
            <w:hideMark/>
          </w:tcPr>
          <w:p w14:paraId="7B817C66" w14:textId="77777777" w:rsidR="009E6D34" w:rsidRPr="009E6D34" w:rsidRDefault="009E6D34" w:rsidP="00B92709">
            <w:pPr>
              <w:jc w:val="center"/>
              <w:rPr>
                <w:color w:val="000000"/>
                <w:sz w:val="22"/>
                <w:szCs w:val="22"/>
              </w:rPr>
            </w:pPr>
            <w:r w:rsidRPr="009E6D34">
              <w:rPr>
                <w:color w:val="000000"/>
                <w:sz w:val="22"/>
                <w:szCs w:val="22"/>
              </w:rPr>
              <w:t>11,456</w:t>
            </w:r>
          </w:p>
        </w:tc>
      </w:tr>
      <w:tr w:rsidR="009E6D34" w:rsidRPr="009E6D34" w14:paraId="5FCC75D0" w14:textId="77777777" w:rsidTr="00B92709">
        <w:trPr>
          <w:trHeight w:val="289"/>
        </w:trPr>
        <w:tc>
          <w:tcPr>
            <w:tcW w:w="1352" w:type="dxa"/>
            <w:tcBorders>
              <w:top w:val="nil"/>
              <w:left w:val="single" w:sz="4" w:space="0" w:color="auto"/>
              <w:bottom w:val="nil"/>
              <w:right w:val="nil"/>
            </w:tcBorders>
            <w:shd w:val="clear" w:color="000000" w:fill="FFFFFF"/>
            <w:noWrap/>
            <w:vAlign w:val="bottom"/>
            <w:hideMark/>
          </w:tcPr>
          <w:p w14:paraId="39F9D2DD" w14:textId="77777777" w:rsidR="009E6D34" w:rsidRPr="009E6D34" w:rsidRDefault="009E6D34" w:rsidP="00B92709">
            <w:pPr>
              <w:jc w:val="center"/>
              <w:rPr>
                <w:color w:val="000000"/>
                <w:sz w:val="22"/>
                <w:szCs w:val="22"/>
              </w:rPr>
            </w:pPr>
            <w:r w:rsidRPr="009E6D34">
              <w:rPr>
                <w:color w:val="000000"/>
                <w:sz w:val="22"/>
                <w:szCs w:val="22"/>
              </w:rPr>
              <w:t>2023</w:t>
            </w:r>
          </w:p>
        </w:tc>
        <w:tc>
          <w:tcPr>
            <w:tcW w:w="2290" w:type="dxa"/>
            <w:tcBorders>
              <w:top w:val="nil"/>
              <w:left w:val="nil"/>
              <w:bottom w:val="nil"/>
              <w:right w:val="nil"/>
            </w:tcBorders>
            <w:shd w:val="clear" w:color="000000" w:fill="FFFFFF"/>
            <w:noWrap/>
            <w:vAlign w:val="bottom"/>
            <w:hideMark/>
          </w:tcPr>
          <w:p w14:paraId="401B3529" w14:textId="77777777" w:rsidR="009E6D34" w:rsidRPr="009E6D34" w:rsidRDefault="009E6D34" w:rsidP="00B92709">
            <w:pPr>
              <w:jc w:val="center"/>
              <w:rPr>
                <w:color w:val="000000"/>
                <w:sz w:val="22"/>
                <w:szCs w:val="22"/>
              </w:rPr>
            </w:pPr>
            <w:r w:rsidRPr="009E6D34">
              <w:rPr>
                <w:color w:val="000000"/>
                <w:sz w:val="22"/>
                <w:szCs w:val="22"/>
              </w:rPr>
              <w:t>1,265,950</w:t>
            </w:r>
          </w:p>
        </w:tc>
        <w:tc>
          <w:tcPr>
            <w:tcW w:w="1374" w:type="dxa"/>
            <w:tcBorders>
              <w:top w:val="nil"/>
              <w:left w:val="nil"/>
              <w:bottom w:val="nil"/>
              <w:right w:val="nil"/>
            </w:tcBorders>
            <w:shd w:val="clear" w:color="000000" w:fill="FFFFFF"/>
            <w:noWrap/>
            <w:vAlign w:val="bottom"/>
            <w:hideMark/>
          </w:tcPr>
          <w:p w14:paraId="6ED34DAB" w14:textId="77777777" w:rsidR="009E6D34" w:rsidRPr="009E6D34" w:rsidRDefault="009E6D34" w:rsidP="00B92709">
            <w:pPr>
              <w:jc w:val="center"/>
              <w:rPr>
                <w:color w:val="000000"/>
                <w:sz w:val="22"/>
                <w:szCs w:val="22"/>
              </w:rPr>
            </w:pPr>
            <w:r w:rsidRPr="009E6D34">
              <w:rPr>
                <w:color w:val="000000"/>
                <w:sz w:val="22"/>
                <w:szCs w:val="22"/>
              </w:rPr>
              <w:t>142,749</w:t>
            </w:r>
          </w:p>
        </w:tc>
        <w:tc>
          <w:tcPr>
            <w:tcW w:w="1374" w:type="dxa"/>
            <w:tcBorders>
              <w:top w:val="nil"/>
              <w:left w:val="nil"/>
              <w:bottom w:val="nil"/>
              <w:right w:val="nil"/>
            </w:tcBorders>
            <w:shd w:val="clear" w:color="000000" w:fill="FFFFFF"/>
            <w:noWrap/>
            <w:vAlign w:val="bottom"/>
            <w:hideMark/>
          </w:tcPr>
          <w:p w14:paraId="3B5788EA" w14:textId="77777777" w:rsidR="009E6D34" w:rsidRPr="009E6D34" w:rsidRDefault="009E6D34" w:rsidP="00B92709">
            <w:pPr>
              <w:jc w:val="center"/>
              <w:rPr>
                <w:color w:val="000000"/>
                <w:sz w:val="22"/>
                <w:szCs w:val="22"/>
              </w:rPr>
            </w:pPr>
            <w:r w:rsidRPr="009E6D34">
              <w:rPr>
                <w:color w:val="000000"/>
                <w:sz w:val="22"/>
                <w:szCs w:val="22"/>
              </w:rPr>
              <w:t>119,485</w:t>
            </w:r>
          </w:p>
        </w:tc>
        <w:tc>
          <w:tcPr>
            <w:tcW w:w="1352" w:type="dxa"/>
            <w:tcBorders>
              <w:top w:val="nil"/>
              <w:left w:val="nil"/>
              <w:bottom w:val="nil"/>
              <w:right w:val="nil"/>
            </w:tcBorders>
            <w:shd w:val="clear" w:color="000000" w:fill="FFFFFF"/>
            <w:noWrap/>
            <w:vAlign w:val="bottom"/>
            <w:hideMark/>
          </w:tcPr>
          <w:p w14:paraId="282C5326" w14:textId="77777777" w:rsidR="009E6D34" w:rsidRPr="009E6D34" w:rsidRDefault="009E6D34" w:rsidP="00B92709">
            <w:pPr>
              <w:jc w:val="center"/>
              <w:rPr>
                <w:color w:val="000000"/>
                <w:sz w:val="22"/>
                <w:szCs w:val="22"/>
              </w:rPr>
            </w:pPr>
            <w:r w:rsidRPr="009E6D34">
              <w:rPr>
                <w:color w:val="000000"/>
                <w:sz w:val="22"/>
                <w:szCs w:val="22"/>
              </w:rPr>
              <w:t> </w:t>
            </w:r>
          </w:p>
        </w:tc>
        <w:tc>
          <w:tcPr>
            <w:tcW w:w="1352" w:type="dxa"/>
            <w:tcBorders>
              <w:top w:val="nil"/>
              <w:left w:val="nil"/>
              <w:bottom w:val="nil"/>
              <w:right w:val="single" w:sz="4" w:space="0" w:color="auto"/>
            </w:tcBorders>
            <w:shd w:val="clear" w:color="000000" w:fill="FFFFFF"/>
            <w:noWrap/>
            <w:vAlign w:val="bottom"/>
            <w:hideMark/>
          </w:tcPr>
          <w:p w14:paraId="477E9FFD" w14:textId="77777777" w:rsidR="009E6D34" w:rsidRPr="009E6D34" w:rsidRDefault="009E6D34" w:rsidP="00B92709">
            <w:pPr>
              <w:jc w:val="center"/>
              <w:rPr>
                <w:color w:val="000000"/>
                <w:sz w:val="22"/>
                <w:szCs w:val="22"/>
              </w:rPr>
            </w:pPr>
            <w:r w:rsidRPr="009E6D34">
              <w:rPr>
                <w:color w:val="000000"/>
                <w:sz w:val="22"/>
                <w:szCs w:val="22"/>
              </w:rPr>
              <w:t> </w:t>
            </w:r>
          </w:p>
        </w:tc>
      </w:tr>
      <w:tr w:rsidR="009E6D34" w:rsidRPr="009E6D34" w14:paraId="361432AF" w14:textId="77777777" w:rsidTr="00B92709">
        <w:trPr>
          <w:trHeight w:val="289"/>
        </w:trPr>
        <w:tc>
          <w:tcPr>
            <w:tcW w:w="1352" w:type="dxa"/>
            <w:tcBorders>
              <w:top w:val="nil"/>
              <w:left w:val="single" w:sz="4" w:space="0" w:color="auto"/>
              <w:bottom w:val="single" w:sz="4" w:space="0" w:color="auto"/>
              <w:right w:val="nil"/>
            </w:tcBorders>
            <w:shd w:val="clear" w:color="000000" w:fill="FFFFFF"/>
            <w:noWrap/>
            <w:vAlign w:val="bottom"/>
            <w:hideMark/>
          </w:tcPr>
          <w:p w14:paraId="41D0A2A6" w14:textId="77777777" w:rsidR="009E6D34" w:rsidRPr="009E6D34" w:rsidRDefault="009E6D34" w:rsidP="00B92709">
            <w:pPr>
              <w:jc w:val="center"/>
              <w:rPr>
                <w:color w:val="000000"/>
                <w:sz w:val="22"/>
                <w:szCs w:val="22"/>
              </w:rPr>
            </w:pPr>
            <w:r w:rsidRPr="009E6D34">
              <w:rPr>
                <w:color w:val="000000"/>
                <w:sz w:val="22"/>
                <w:szCs w:val="22"/>
              </w:rPr>
              <w:lastRenderedPageBreak/>
              <w:t>2024</w:t>
            </w:r>
          </w:p>
        </w:tc>
        <w:tc>
          <w:tcPr>
            <w:tcW w:w="2290" w:type="dxa"/>
            <w:tcBorders>
              <w:top w:val="nil"/>
              <w:left w:val="nil"/>
              <w:bottom w:val="single" w:sz="4" w:space="0" w:color="auto"/>
              <w:right w:val="nil"/>
            </w:tcBorders>
            <w:shd w:val="clear" w:color="000000" w:fill="FFFFFF"/>
            <w:noWrap/>
            <w:vAlign w:val="bottom"/>
            <w:hideMark/>
          </w:tcPr>
          <w:p w14:paraId="7BFC9E55" w14:textId="77777777" w:rsidR="009E6D34" w:rsidRPr="009E6D34" w:rsidRDefault="009E6D34" w:rsidP="00B92709">
            <w:pPr>
              <w:jc w:val="center"/>
              <w:rPr>
                <w:color w:val="000000"/>
                <w:sz w:val="22"/>
                <w:szCs w:val="22"/>
              </w:rPr>
            </w:pPr>
            <w:r w:rsidRPr="009E6D34">
              <w:rPr>
                <w:color w:val="000000"/>
                <w:sz w:val="22"/>
                <w:szCs w:val="22"/>
              </w:rPr>
              <w:t>141,008</w:t>
            </w:r>
          </w:p>
        </w:tc>
        <w:tc>
          <w:tcPr>
            <w:tcW w:w="1374" w:type="dxa"/>
            <w:tcBorders>
              <w:top w:val="nil"/>
              <w:left w:val="nil"/>
              <w:bottom w:val="single" w:sz="4" w:space="0" w:color="auto"/>
              <w:right w:val="nil"/>
            </w:tcBorders>
            <w:shd w:val="clear" w:color="000000" w:fill="FFFFFF"/>
            <w:noWrap/>
            <w:vAlign w:val="bottom"/>
            <w:hideMark/>
          </w:tcPr>
          <w:p w14:paraId="25530F87" w14:textId="77777777" w:rsidR="009E6D34" w:rsidRPr="009E6D34" w:rsidRDefault="009E6D34" w:rsidP="00B92709">
            <w:pPr>
              <w:jc w:val="center"/>
              <w:rPr>
                <w:color w:val="000000"/>
                <w:sz w:val="22"/>
                <w:szCs w:val="22"/>
              </w:rPr>
            </w:pPr>
            <w:r w:rsidRPr="009E6D34">
              <w:rPr>
                <w:color w:val="000000"/>
                <w:sz w:val="22"/>
                <w:szCs w:val="22"/>
              </w:rPr>
              <w:t>118,015</w:t>
            </w:r>
          </w:p>
        </w:tc>
        <w:tc>
          <w:tcPr>
            <w:tcW w:w="1374" w:type="dxa"/>
            <w:tcBorders>
              <w:top w:val="nil"/>
              <w:left w:val="nil"/>
              <w:bottom w:val="single" w:sz="4" w:space="0" w:color="auto"/>
              <w:right w:val="nil"/>
            </w:tcBorders>
            <w:shd w:val="clear" w:color="000000" w:fill="FFFFFF"/>
            <w:noWrap/>
            <w:vAlign w:val="bottom"/>
            <w:hideMark/>
          </w:tcPr>
          <w:p w14:paraId="7E877033" w14:textId="77777777" w:rsidR="009E6D34" w:rsidRPr="009E6D34" w:rsidRDefault="009E6D34" w:rsidP="00B92709">
            <w:pPr>
              <w:jc w:val="center"/>
              <w:rPr>
                <w:color w:val="000000"/>
                <w:sz w:val="22"/>
                <w:szCs w:val="22"/>
              </w:rPr>
            </w:pPr>
            <w:r w:rsidRPr="009E6D34">
              <w:rPr>
                <w:color w:val="000000"/>
                <w:sz w:val="22"/>
                <w:szCs w:val="22"/>
              </w:rPr>
              <w:t> </w:t>
            </w:r>
          </w:p>
        </w:tc>
        <w:tc>
          <w:tcPr>
            <w:tcW w:w="1352" w:type="dxa"/>
            <w:tcBorders>
              <w:top w:val="nil"/>
              <w:left w:val="nil"/>
              <w:bottom w:val="single" w:sz="4" w:space="0" w:color="auto"/>
              <w:right w:val="nil"/>
            </w:tcBorders>
            <w:shd w:val="clear" w:color="000000" w:fill="FFFFFF"/>
            <w:noWrap/>
            <w:vAlign w:val="bottom"/>
            <w:hideMark/>
          </w:tcPr>
          <w:p w14:paraId="2CE863A4" w14:textId="77777777" w:rsidR="009E6D34" w:rsidRPr="009E6D34" w:rsidRDefault="009E6D34" w:rsidP="00B92709">
            <w:pPr>
              <w:jc w:val="center"/>
              <w:rPr>
                <w:color w:val="000000"/>
                <w:sz w:val="22"/>
                <w:szCs w:val="22"/>
              </w:rPr>
            </w:pPr>
            <w:r w:rsidRPr="009E6D34">
              <w:rPr>
                <w:color w:val="000000"/>
                <w:sz w:val="22"/>
                <w:szCs w:val="22"/>
              </w:rPr>
              <w:t> </w:t>
            </w:r>
          </w:p>
        </w:tc>
        <w:tc>
          <w:tcPr>
            <w:tcW w:w="1352" w:type="dxa"/>
            <w:tcBorders>
              <w:top w:val="nil"/>
              <w:left w:val="nil"/>
              <w:bottom w:val="single" w:sz="4" w:space="0" w:color="auto"/>
              <w:right w:val="single" w:sz="4" w:space="0" w:color="auto"/>
            </w:tcBorders>
            <w:shd w:val="clear" w:color="000000" w:fill="FFFFFF"/>
            <w:noWrap/>
            <w:vAlign w:val="bottom"/>
            <w:hideMark/>
          </w:tcPr>
          <w:p w14:paraId="6A436204" w14:textId="77777777" w:rsidR="009E6D34" w:rsidRPr="009E6D34" w:rsidRDefault="009E6D34" w:rsidP="00B92709">
            <w:pPr>
              <w:jc w:val="center"/>
              <w:rPr>
                <w:color w:val="000000"/>
                <w:sz w:val="22"/>
                <w:szCs w:val="22"/>
              </w:rPr>
            </w:pPr>
            <w:r w:rsidRPr="009E6D34">
              <w:rPr>
                <w:color w:val="000000"/>
                <w:sz w:val="22"/>
                <w:szCs w:val="22"/>
              </w:rPr>
              <w:t> </w:t>
            </w:r>
          </w:p>
        </w:tc>
      </w:tr>
    </w:tbl>
    <w:p w14:paraId="3FE92762" w14:textId="77777777" w:rsidR="009E6D34" w:rsidRPr="009E6D34" w:rsidRDefault="009E6D34" w:rsidP="009E6D34">
      <w:pPr>
        <w:rPr>
          <w:sz w:val="22"/>
          <w:szCs w:val="22"/>
        </w:rPr>
      </w:pPr>
      <w:r w:rsidRPr="009E6D34">
        <w:rPr>
          <w:sz w:val="22"/>
          <w:szCs w:val="22"/>
        </w:rPr>
        <w:t xml:space="preserve"> </w:t>
      </w:r>
    </w:p>
    <w:p w14:paraId="6E98C333" w14:textId="77777777" w:rsidR="009E6D34" w:rsidRPr="009E6D34" w:rsidRDefault="009E6D34" w:rsidP="009E6D34">
      <w:pPr>
        <w:rPr>
          <w:sz w:val="22"/>
          <w:szCs w:val="22"/>
        </w:rPr>
      </w:pPr>
      <w:r w:rsidRPr="009E6D34">
        <w:rPr>
          <w:sz w:val="22"/>
          <w:szCs w:val="22"/>
        </w:rPr>
        <w:t xml:space="preserve">Arrowtooth flounder </w:t>
      </w:r>
      <w:proofErr w:type="gramStart"/>
      <w:r w:rsidRPr="009E6D34">
        <w:rPr>
          <w:sz w:val="22"/>
          <w:szCs w:val="22"/>
        </w:rPr>
        <w:t>are assessed</w:t>
      </w:r>
      <w:proofErr w:type="gramEnd"/>
      <w:r w:rsidRPr="009E6D34">
        <w:rPr>
          <w:sz w:val="22"/>
          <w:szCs w:val="22"/>
        </w:rPr>
        <w:t xml:space="preserve"> on a biennial schedule to coincide with the timing of survey data. The last assessment </w:t>
      </w:r>
      <w:proofErr w:type="gramStart"/>
      <w:r w:rsidRPr="009E6D34">
        <w:rPr>
          <w:sz w:val="22"/>
          <w:szCs w:val="22"/>
        </w:rPr>
        <w:t>was presented</w:t>
      </w:r>
      <w:proofErr w:type="gramEnd"/>
      <w:r w:rsidRPr="009E6D34">
        <w:rPr>
          <w:sz w:val="22"/>
          <w:szCs w:val="22"/>
        </w:rPr>
        <w:t xml:space="preserve"> in 2021. This off-cycle (even) year partial assessment consisted of an executive summary with recent fishery catch and survey trends as well as recommend harvest levels for the next two years. There were no changes to the assessment methodology.</w:t>
      </w:r>
    </w:p>
    <w:p w14:paraId="75856B3E" w14:textId="77777777" w:rsidR="009E6D34" w:rsidRPr="009E6D34" w:rsidRDefault="009E6D34" w:rsidP="009E6D34">
      <w:pPr>
        <w:rPr>
          <w:sz w:val="22"/>
          <w:szCs w:val="22"/>
        </w:rPr>
      </w:pPr>
    </w:p>
    <w:p w14:paraId="1A702322" w14:textId="77777777" w:rsidR="009E6D34" w:rsidRPr="009E6D34" w:rsidRDefault="009E6D34" w:rsidP="009E6D34">
      <w:pPr>
        <w:rPr>
          <w:sz w:val="22"/>
          <w:szCs w:val="22"/>
        </w:rPr>
      </w:pPr>
      <w:r w:rsidRPr="009E6D34">
        <w:rPr>
          <w:sz w:val="22"/>
          <w:szCs w:val="22"/>
        </w:rPr>
        <w:t>The SSB projection for age 1+ for this stock is expected to be between 1.268 and 1.269M t during 2022-2024. There has been a 16% decrease in the longline survey, which is below the long-term average. Catch / biomass has increased 22% from last year but the resulting value is still among the lowest in the time series.</w:t>
      </w:r>
    </w:p>
    <w:p w14:paraId="5B00A1B2" w14:textId="77777777" w:rsidR="009E6D34" w:rsidRPr="009E6D34" w:rsidRDefault="009E6D34" w:rsidP="009E6D34">
      <w:pPr>
        <w:rPr>
          <w:sz w:val="22"/>
          <w:szCs w:val="22"/>
        </w:rPr>
      </w:pPr>
    </w:p>
    <w:p w14:paraId="42481B68" w14:textId="77777777" w:rsidR="009E6D34" w:rsidRPr="009E6D34" w:rsidRDefault="009E6D34" w:rsidP="009E6D34">
      <w:pPr>
        <w:rPr>
          <w:sz w:val="22"/>
          <w:szCs w:val="22"/>
        </w:rPr>
      </w:pPr>
      <w:r w:rsidRPr="009E6D34">
        <w:rPr>
          <w:color w:val="000000"/>
          <w:sz w:val="22"/>
          <w:szCs w:val="22"/>
        </w:rPr>
        <w:t>For more information, contact Kalei Shotwell, kalei.shotwell@noaa.gov.</w:t>
      </w:r>
    </w:p>
    <w:p w14:paraId="6A1311BA" w14:textId="77777777" w:rsidR="00DE3EE8" w:rsidRPr="002B7E6B" w:rsidRDefault="00DE3EE8" w:rsidP="00DE3EE8">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sz w:val="22"/>
          <w:szCs w:val="22"/>
        </w:rPr>
      </w:pPr>
    </w:p>
    <w:p w14:paraId="11392C6E" w14:textId="6CDA0613" w:rsidR="00DE3EE8" w:rsidRDefault="00DE3EE8" w:rsidP="00017EC4">
      <w:pPr>
        <w:pStyle w:val="Heading5"/>
      </w:pPr>
      <w:bookmarkStart w:id="149" w:name="_Toc131503890"/>
      <w:r w:rsidRPr="00017EC4">
        <w:t>Kamchatka flounder</w:t>
      </w:r>
      <w:r w:rsidR="0024271A">
        <w:t xml:space="preserve"> – </w:t>
      </w:r>
      <w:r w:rsidRPr="00017EC4">
        <w:t xml:space="preserve">Bering Sea and Aleutian Islands </w:t>
      </w:r>
      <w:r w:rsidR="00017EC4">
        <w:t>–</w:t>
      </w:r>
      <w:r w:rsidRPr="00017EC4">
        <w:t xml:space="preserve"> REFM</w:t>
      </w:r>
      <w:bookmarkEnd w:id="149"/>
    </w:p>
    <w:p w14:paraId="612B651C" w14:textId="77777777" w:rsidR="009E6D34" w:rsidRPr="009E6D34" w:rsidRDefault="009E6D34" w:rsidP="009E6D34">
      <w:pPr>
        <w:outlineLvl w:val="4"/>
        <w:rPr>
          <w:i/>
          <w:iCs/>
          <w:color w:val="000000"/>
          <w:sz w:val="22"/>
          <w:szCs w:val="22"/>
        </w:rPr>
      </w:pPr>
    </w:p>
    <w:tbl>
      <w:tblPr>
        <w:tblW w:w="8967" w:type="dxa"/>
        <w:tblLook w:val="04A0" w:firstRow="1" w:lastRow="0" w:firstColumn="1" w:lastColumn="0" w:noHBand="0" w:noVBand="1"/>
      </w:tblPr>
      <w:tblGrid>
        <w:gridCol w:w="1154"/>
        <w:gridCol w:w="1154"/>
        <w:gridCol w:w="2043"/>
        <w:gridCol w:w="1154"/>
        <w:gridCol w:w="1154"/>
        <w:gridCol w:w="1154"/>
        <w:gridCol w:w="1154"/>
      </w:tblGrid>
      <w:tr w:rsidR="009E6D34" w:rsidRPr="009E6D34" w14:paraId="4ABB670D" w14:textId="77777777" w:rsidTr="00B92709">
        <w:trPr>
          <w:trHeight w:val="291"/>
        </w:trPr>
        <w:tc>
          <w:tcPr>
            <w:tcW w:w="1154" w:type="dxa"/>
            <w:tcBorders>
              <w:top w:val="single" w:sz="4" w:space="0" w:color="auto"/>
              <w:left w:val="single" w:sz="4" w:space="0" w:color="auto"/>
              <w:bottom w:val="single" w:sz="4" w:space="0" w:color="auto"/>
              <w:right w:val="nil"/>
            </w:tcBorders>
            <w:shd w:val="clear" w:color="000000" w:fill="FFFFFF"/>
            <w:noWrap/>
            <w:vAlign w:val="bottom"/>
            <w:hideMark/>
          </w:tcPr>
          <w:p w14:paraId="58D2C1A8" w14:textId="77777777" w:rsidR="009E6D34" w:rsidRPr="009E6D34" w:rsidRDefault="009E6D34" w:rsidP="00B92709">
            <w:pPr>
              <w:jc w:val="center"/>
              <w:rPr>
                <w:color w:val="000000"/>
                <w:sz w:val="22"/>
                <w:szCs w:val="22"/>
              </w:rPr>
            </w:pPr>
            <w:r w:rsidRPr="009E6D34">
              <w:rPr>
                <w:color w:val="000000"/>
                <w:sz w:val="22"/>
                <w:szCs w:val="22"/>
              </w:rPr>
              <w:t>Area</w:t>
            </w:r>
          </w:p>
        </w:tc>
        <w:tc>
          <w:tcPr>
            <w:tcW w:w="1154" w:type="dxa"/>
            <w:tcBorders>
              <w:top w:val="single" w:sz="4" w:space="0" w:color="auto"/>
              <w:left w:val="nil"/>
              <w:bottom w:val="single" w:sz="4" w:space="0" w:color="auto"/>
              <w:right w:val="nil"/>
            </w:tcBorders>
            <w:shd w:val="clear" w:color="000000" w:fill="FFFFFF"/>
            <w:noWrap/>
            <w:vAlign w:val="bottom"/>
            <w:hideMark/>
          </w:tcPr>
          <w:p w14:paraId="285C25BF" w14:textId="77777777" w:rsidR="009E6D34" w:rsidRPr="009E6D34" w:rsidRDefault="009E6D34" w:rsidP="00B92709">
            <w:pPr>
              <w:jc w:val="center"/>
              <w:rPr>
                <w:color w:val="000000"/>
                <w:sz w:val="22"/>
                <w:szCs w:val="22"/>
              </w:rPr>
            </w:pPr>
            <w:r w:rsidRPr="009E6D34">
              <w:rPr>
                <w:color w:val="000000"/>
                <w:sz w:val="22"/>
                <w:szCs w:val="22"/>
              </w:rPr>
              <w:t>Year</w:t>
            </w:r>
          </w:p>
        </w:tc>
        <w:tc>
          <w:tcPr>
            <w:tcW w:w="2043" w:type="dxa"/>
            <w:tcBorders>
              <w:top w:val="single" w:sz="4" w:space="0" w:color="auto"/>
              <w:left w:val="nil"/>
              <w:bottom w:val="single" w:sz="4" w:space="0" w:color="auto"/>
              <w:right w:val="nil"/>
            </w:tcBorders>
            <w:shd w:val="clear" w:color="000000" w:fill="FFFFFF"/>
            <w:noWrap/>
            <w:vAlign w:val="bottom"/>
            <w:hideMark/>
          </w:tcPr>
          <w:p w14:paraId="7220D073" w14:textId="77777777" w:rsidR="009E6D34" w:rsidRPr="009E6D34" w:rsidRDefault="009E6D34" w:rsidP="00B92709">
            <w:pPr>
              <w:jc w:val="center"/>
              <w:rPr>
                <w:color w:val="000000"/>
                <w:sz w:val="22"/>
                <w:szCs w:val="22"/>
              </w:rPr>
            </w:pPr>
            <w:r w:rsidRPr="009E6D34">
              <w:rPr>
                <w:color w:val="000000"/>
                <w:sz w:val="22"/>
                <w:szCs w:val="22"/>
              </w:rPr>
              <w:t>Age 2+ Biomass</w:t>
            </w:r>
          </w:p>
        </w:tc>
        <w:tc>
          <w:tcPr>
            <w:tcW w:w="1154" w:type="dxa"/>
            <w:tcBorders>
              <w:top w:val="single" w:sz="4" w:space="0" w:color="auto"/>
              <w:left w:val="nil"/>
              <w:bottom w:val="single" w:sz="4" w:space="0" w:color="auto"/>
              <w:right w:val="nil"/>
            </w:tcBorders>
            <w:shd w:val="clear" w:color="000000" w:fill="FFFFFF"/>
            <w:noWrap/>
            <w:vAlign w:val="bottom"/>
            <w:hideMark/>
          </w:tcPr>
          <w:p w14:paraId="6FE9B13A" w14:textId="77777777" w:rsidR="009E6D34" w:rsidRPr="009E6D34" w:rsidRDefault="009E6D34" w:rsidP="00B92709">
            <w:pPr>
              <w:jc w:val="center"/>
              <w:rPr>
                <w:color w:val="000000"/>
                <w:sz w:val="22"/>
                <w:szCs w:val="22"/>
              </w:rPr>
            </w:pPr>
            <w:r w:rsidRPr="009E6D34">
              <w:rPr>
                <w:color w:val="000000"/>
                <w:sz w:val="22"/>
                <w:szCs w:val="22"/>
              </w:rPr>
              <w:t>OFL</w:t>
            </w:r>
          </w:p>
        </w:tc>
        <w:tc>
          <w:tcPr>
            <w:tcW w:w="1154" w:type="dxa"/>
            <w:tcBorders>
              <w:top w:val="single" w:sz="4" w:space="0" w:color="auto"/>
              <w:left w:val="nil"/>
              <w:bottom w:val="single" w:sz="4" w:space="0" w:color="auto"/>
              <w:right w:val="nil"/>
            </w:tcBorders>
            <w:shd w:val="clear" w:color="000000" w:fill="FFFFFF"/>
            <w:noWrap/>
            <w:vAlign w:val="bottom"/>
            <w:hideMark/>
          </w:tcPr>
          <w:p w14:paraId="7340FC2C" w14:textId="77777777" w:rsidR="009E6D34" w:rsidRPr="009E6D34" w:rsidRDefault="009E6D34" w:rsidP="00B92709">
            <w:pPr>
              <w:jc w:val="center"/>
              <w:rPr>
                <w:color w:val="000000"/>
                <w:sz w:val="22"/>
                <w:szCs w:val="22"/>
              </w:rPr>
            </w:pPr>
            <w:r w:rsidRPr="009E6D34">
              <w:rPr>
                <w:color w:val="000000"/>
                <w:sz w:val="22"/>
                <w:szCs w:val="22"/>
              </w:rPr>
              <w:t>ABC</w:t>
            </w:r>
          </w:p>
        </w:tc>
        <w:tc>
          <w:tcPr>
            <w:tcW w:w="1154" w:type="dxa"/>
            <w:tcBorders>
              <w:top w:val="single" w:sz="4" w:space="0" w:color="auto"/>
              <w:left w:val="nil"/>
              <w:bottom w:val="single" w:sz="4" w:space="0" w:color="auto"/>
              <w:right w:val="nil"/>
            </w:tcBorders>
            <w:shd w:val="clear" w:color="000000" w:fill="FFFFFF"/>
            <w:noWrap/>
            <w:vAlign w:val="bottom"/>
            <w:hideMark/>
          </w:tcPr>
          <w:p w14:paraId="1F1718CD" w14:textId="77777777" w:rsidR="009E6D34" w:rsidRPr="009E6D34" w:rsidRDefault="009E6D34" w:rsidP="00B92709">
            <w:pPr>
              <w:jc w:val="center"/>
              <w:rPr>
                <w:color w:val="000000"/>
                <w:sz w:val="22"/>
                <w:szCs w:val="22"/>
              </w:rPr>
            </w:pPr>
            <w:r w:rsidRPr="009E6D34">
              <w:rPr>
                <w:color w:val="000000"/>
                <w:sz w:val="22"/>
                <w:szCs w:val="22"/>
              </w:rPr>
              <w:t>TAC</w:t>
            </w:r>
          </w:p>
        </w:tc>
        <w:tc>
          <w:tcPr>
            <w:tcW w:w="1154" w:type="dxa"/>
            <w:tcBorders>
              <w:top w:val="single" w:sz="4" w:space="0" w:color="auto"/>
              <w:left w:val="nil"/>
              <w:bottom w:val="single" w:sz="4" w:space="0" w:color="auto"/>
              <w:right w:val="single" w:sz="4" w:space="0" w:color="auto"/>
            </w:tcBorders>
            <w:shd w:val="clear" w:color="000000" w:fill="FFFFFF"/>
            <w:noWrap/>
            <w:vAlign w:val="bottom"/>
            <w:hideMark/>
          </w:tcPr>
          <w:p w14:paraId="541F2AD7" w14:textId="77777777" w:rsidR="009E6D34" w:rsidRPr="009E6D34" w:rsidRDefault="009E6D34" w:rsidP="00B92709">
            <w:pPr>
              <w:jc w:val="center"/>
              <w:rPr>
                <w:color w:val="000000"/>
                <w:sz w:val="22"/>
                <w:szCs w:val="22"/>
              </w:rPr>
            </w:pPr>
            <w:r w:rsidRPr="009E6D34">
              <w:rPr>
                <w:color w:val="000000"/>
                <w:sz w:val="22"/>
                <w:szCs w:val="22"/>
              </w:rPr>
              <w:t>Catch</w:t>
            </w:r>
          </w:p>
        </w:tc>
      </w:tr>
      <w:tr w:rsidR="009E6D34" w:rsidRPr="009E6D34" w14:paraId="44F24679" w14:textId="77777777" w:rsidTr="00B92709">
        <w:trPr>
          <w:trHeight w:val="291"/>
        </w:trPr>
        <w:tc>
          <w:tcPr>
            <w:tcW w:w="1154" w:type="dxa"/>
            <w:tcBorders>
              <w:top w:val="nil"/>
              <w:left w:val="single" w:sz="4" w:space="0" w:color="auto"/>
              <w:bottom w:val="nil"/>
              <w:right w:val="nil"/>
            </w:tcBorders>
            <w:shd w:val="clear" w:color="000000" w:fill="FFFFFF"/>
            <w:noWrap/>
            <w:vAlign w:val="bottom"/>
            <w:hideMark/>
          </w:tcPr>
          <w:p w14:paraId="126D3B9C" w14:textId="77777777" w:rsidR="009E6D34" w:rsidRPr="009E6D34" w:rsidRDefault="009E6D34" w:rsidP="00B92709">
            <w:pPr>
              <w:jc w:val="center"/>
              <w:rPr>
                <w:color w:val="000000"/>
                <w:sz w:val="22"/>
                <w:szCs w:val="22"/>
              </w:rPr>
            </w:pPr>
            <w:r w:rsidRPr="009E6D34">
              <w:rPr>
                <w:color w:val="000000"/>
                <w:sz w:val="22"/>
                <w:szCs w:val="22"/>
              </w:rPr>
              <w:t>BSAI</w:t>
            </w:r>
          </w:p>
        </w:tc>
        <w:tc>
          <w:tcPr>
            <w:tcW w:w="1154" w:type="dxa"/>
            <w:tcBorders>
              <w:top w:val="nil"/>
              <w:left w:val="nil"/>
              <w:bottom w:val="nil"/>
              <w:right w:val="nil"/>
            </w:tcBorders>
            <w:shd w:val="clear" w:color="000000" w:fill="FFFFFF"/>
            <w:noWrap/>
            <w:vAlign w:val="bottom"/>
            <w:hideMark/>
          </w:tcPr>
          <w:p w14:paraId="03949A01" w14:textId="77777777" w:rsidR="009E6D34" w:rsidRPr="009E6D34" w:rsidRDefault="009E6D34" w:rsidP="00B92709">
            <w:pPr>
              <w:jc w:val="center"/>
              <w:rPr>
                <w:color w:val="000000"/>
                <w:sz w:val="22"/>
                <w:szCs w:val="22"/>
              </w:rPr>
            </w:pPr>
            <w:r w:rsidRPr="009E6D34">
              <w:rPr>
                <w:color w:val="000000"/>
                <w:sz w:val="22"/>
                <w:szCs w:val="22"/>
              </w:rPr>
              <w:t>2021</w:t>
            </w:r>
          </w:p>
        </w:tc>
        <w:tc>
          <w:tcPr>
            <w:tcW w:w="2043" w:type="dxa"/>
            <w:tcBorders>
              <w:top w:val="nil"/>
              <w:left w:val="nil"/>
              <w:bottom w:val="nil"/>
              <w:right w:val="nil"/>
            </w:tcBorders>
            <w:shd w:val="clear" w:color="000000" w:fill="FFFFFF"/>
            <w:noWrap/>
            <w:vAlign w:val="bottom"/>
            <w:hideMark/>
          </w:tcPr>
          <w:p w14:paraId="76E4D307" w14:textId="77777777" w:rsidR="009E6D34" w:rsidRPr="009E6D34" w:rsidRDefault="009E6D34" w:rsidP="00B92709">
            <w:pPr>
              <w:jc w:val="center"/>
              <w:rPr>
                <w:color w:val="000000"/>
                <w:sz w:val="22"/>
                <w:szCs w:val="22"/>
              </w:rPr>
            </w:pPr>
            <w:r w:rsidRPr="009E6D34">
              <w:rPr>
                <w:color w:val="000000"/>
                <w:sz w:val="22"/>
                <w:szCs w:val="22"/>
              </w:rPr>
              <w:t>144,671</w:t>
            </w:r>
          </w:p>
        </w:tc>
        <w:tc>
          <w:tcPr>
            <w:tcW w:w="1154" w:type="dxa"/>
            <w:tcBorders>
              <w:top w:val="nil"/>
              <w:left w:val="nil"/>
              <w:bottom w:val="nil"/>
              <w:right w:val="nil"/>
            </w:tcBorders>
            <w:shd w:val="clear" w:color="000000" w:fill="FFFFFF"/>
            <w:noWrap/>
            <w:vAlign w:val="bottom"/>
            <w:hideMark/>
          </w:tcPr>
          <w:p w14:paraId="4380BC5D" w14:textId="77777777" w:rsidR="009E6D34" w:rsidRPr="009E6D34" w:rsidRDefault="009E6D34" w:rsidP="00B92709">
            <w:pPr>
              <w:jc w:val="center"/>
              <w:rPr>
                <w:color w:val="000000"/>
                <w:sz w:val="22"/>
                <w:szCs w:val="22"/>
              </w:rPr>
            </w:pPr>
            <w:r w:rsidRPr="009E6D34">
              <w:rPr>
                <w:color w:val="000000"/>
                <w:sz w:val="22"/>
                <w:szCs w:val="22"/>
              </w:rPr>
              <w:t>10,630</w:t>
            </w:r>
          </w:p>
        </w:tc>
        <w:tc>
          <w:tcPr>
            <w:tcW w:w="1154" w:type="dxa"/>
            <w:tcBorders>
              <w:top w:val="nil"/>
              <w:left w:val="nil"/>
              <w:bottom w:val="nil"/>
              <w:right w:val="nil"/>
            </w:tcBorders>
            <w:shd w:val="clear" w:color="000000" w:fill="FFFFFF"/>
            <w:noWrap/>
            <w:vAlign w:val="bottom"/>
            <w:hideMark/>
          </w:tcPr>
          <w:p w14:paraId="3CC70956" w14:textId="77777777" w:rsidR="009E6D34" w:rsidRPr="009E6D34" w:rsidRDefault="009E6D34" w:rsidP="00B92709">
            <w:pPr>
              <w:jc w:val="center"/>
              <w:rPr>
                <w:color w:val="000000"/>
                <w:sz w:val="22"/>
                <w:szCs w:val="22"/>
              </w:rPr>
            </w:pPr>
            <w:r w:rsidRPr="009E6D34">
              <w:rPr>
                <w:color w:val="000000"/>
                <w:sz w:val="22"/>
                <w:szCs w:val="22"/>
              </w:rPr>
              <w:t>8,982</w:t>
            </w:r>
          </w:p>
        </w:tc>
        <w:tc>
          <w:tcPr>
            <w:tcW w:w="1154" w:type="dxa"/>
            <w:tcBorders>
              <w:top w:val="nil"/>
              <w:left w:val="nil"/>
              <w:bottom w:val="nil"/>
              <w:right w:val="nil"/>
            </w:tcBorders>
            <w:shd w:val="clear" w:color="000000" w:fill="FFFFFF"/>
            <w:noWrap/>
            <w:vAlign w:val="bottom"/>
            <w:hideMark/>
          </w:tcPr>
          <w:p w14:paraId="3ABE0202" w14:textId="77777777" w:rsidR="009E6D34" w:rsidRPr="009E6D34" w:rsidRDefault="009E6D34" w:rsidP="00B92709">
            <w:pPr>
              <w:jc w:val="center"/>
              <w:rPr>
                <w:color w:val="000000"/>
                <w:sz w:val="22"/>
                <w:szCs w:val="22"/>
              </w:rPr>
            </w:pPr>
            <w:r w:rsidRPr="009E6D34">
              <w:rPr>
                <w:color w:val="000000"/>
                <w:sz w:val="22"/>
                <w:szCs w:val="22"/>
              </w:rPr>
              <w:t>8,982</w:t>
            </w:r>
          </w:p>
        </w:tc>
        <w:tc>
          <w:tcPr>
            <w:tcW w:w="1154" w:type="dxa"/>
            <w:tcBorders>
              <w:top w:val="nil"/>
              <w:left w:val="nil"/>
              <w:bottom w:val="nil"/>
              <w:right w:val="single" w:sz="4" w:space="0" w:color="auto"/>
            </w:tcBorders>
            <w:shd w:val="clear" w:color="000000" w:fill="FFFFFF"/>
            <w:noWrap/>
            <w:vAlign w:val="bottom"/>
            <w:hideMark/>
          </w:tcPr>
          <w:p w14:paraId="265FD16F" w14:textId="77777777" w:rsidR="009E6D34" w:rsidRPr="009E6D34" w:rsidRDefault="009E6D34" w:rsidP="00B92709">
            <w:pPr>
              <w:jc w:val="center"/>
              <w:rPr>
                <w:color w:val="000000"/>
                <w:sz w:val="22"/>
                <w:szCs w:val="22"/>
              </w:rPr>
            </w:pPr>
            <w:r w:rsidRPr="009E6D34">
              <w:rPr>
                <w:color w:val="000000"/>
                <w:sz w:val="22"/>
                <w:szCs w:val="22"/>
              </w:rPr>
              <w:t>6,561</w:t>
            </w:r>
          </w:p>
        </w:tc>
      </w:tr>
      <w:tr w:rsidR="009E6D34" w:rsidRPr="009E6D34" w14:paraId="68D0BB71" w14:textId="77777777" w:rsidTr="00B92709">
        <w:trPr>
          <w:trHeight w:val="291"/>
        </w:trPr>
        <w:tc>
          <w:tcPr>
            <w:tcW w:w="1154" w:type="dxa"/>
            <w:tcBorders>
              <w:top w:val="nil"/>
              <w:left w:val="single" w:sz="4" w:space="0" w:color="auto"/>
              <w:bottom w:val="nil"/>
              <w:right w:val="nil"/>
            </w:tcBorders>
            <w:shd w:val="clear" w:color="000000" w:fill="FFFFFF"/>
            <w:noWrap/>
            <w:vAlign w:val="bottom"/>
            <w:hideMark/>
          </w:tcPr>
          <w:p w14:paraId="1D865DCF" w14:textId="77777777" w:rsidR="009E6D34" w:rsidRPr="009E6D34" w:rsidRDefault="009E6D34" w:rsidP="00B92709">
            <w:pPr>
              <w:jc w:val="center"/>
              <w:rPr>
                <w:color w:val="000000"/>
                <w:sz w:val="22"/>
                <w:szCs w:val="22"/>
              </w:rPr>
            </w:pPr>
            <w:r w:rsidRPr="009E6D34">
              <w:rPr>
                <w:color w:val="000000"/>
                <w:sz w:val="22"/>
                <w:szCs w:val="22"/>
              </w:rPr>
              <w:t> </w:t>
            </w:r>
          </w:p>
        </w:tc>
        <w:tc>
          <w:tcPr>
            <w:tcW w:w="1154" w:type="dxa"/>
            <w:tcBorders>
              <w:top w:val="nil"/>
              <w:left w:val="nil"/>
              <w:bottom w:val="nil"/>
              <w:right w:val="nil"/>
            </w:tcBorders>
            <w:shd w:val="clear" w:color="000000" w:fill="FFFFFF"/>
            <w:noWrap/>
            <w:vAlign w:val="bottom"/>
            <w:hideMark/>
          </w:tcPr>
          <w:p w14:paraId="46C99D79" w14:textId="77777777" w:rsidR="009E6D34" w:rsidRPr="009E6D34" w:rsidRDefault="009E6D34" w:rsidP="00B92709">
            <w:pPr>
              <w:jc w:val="center"/>
              <w:rPr>
                <w:color w:val="000000"/>
                <w:sz w:val="22"/>
                <w:szCs w:val="22"/>
              </w:rPr>
            </w:pPr>
            <w:r w:rsidRPr="009E6D34">
              <w:rPr>
                <w:color w:val="000000"/>
                <w:sz w:val="22"/>
                <w:szCs w:val="22"/>
              </w:rPr>
              <w:t>2022</w:t>
            </w:r>
          </w:p>
        </w:tc>
        <w:tc>
          <w:tcPr>
            <w:tcW w:w="2043" w:type="dxa"/>
            <w:tcBorders>
              <w:top w:val="nil"/>
              <w:left w:val="nil"/>
              <w:bottom w:val="nil"/>
              <w:right w:val="nil"/>
            </w:tcBorders>
            <w:shd w:val="clear" w:color="000000" w:fill="FFFFFF"/>
            <w:noWrap/>
            <w:vAlign w:val="bottom"/>
            <w:hideMark/>
          </w:tcPr>
          <w:p w14:paraId="3FAB0B8A" w14:textId="77777777" w:rsidR="009E6D34" w:rsidRPr="009E6D34" w:rsidRDefault="009E6D34" w:rsidP="00B92709">
            <w:pPr>
              <w:jc w:val="center"/>
              <w:rPr>
                <w:color w:val="000000"/>
                <w:sz w:val="22"/>
                <w:szCs w:val="22"/>
              </w:rPr>
            </w:pPr>
            <w:r w:rsidRPr="009E6D34">
              <w:rPr>
                <w:color w:val="000000"/>
                <w:sz w:val="22"/>
                <w:szCs w:val="22"/>
              </w:rPr>
              <w:t>143,983</w:t>
            </w:r>
          </w:p>
        </w:tc>
        <w:tc>
          <w:tcPr>
            <w:tcW w:w="1154" w:type="dxa"/>
            <w:tcBorders>
              <w:top w:val="nil"/>
              <w:left w:val="nil"/>
              <w:bottom w:val="nil"/>
              <w:right w:val="nil"/>
            </w:tcBorders>
            <w:shd w:val="clear" w:color="000000" w:fill="FFFFFF"/>
            <w:noWrap/>
            <w:vAlign w:val="bottom"/>
            <w:hideMark/>
          </w:tcPr>
          <w:p w14:paraId="1FE68C25" w14:textId="77777777" w:rsidR="009E6D34" w:rsidRPr="009E6D34" w:rsidRDefault="009E6D34" w:rsidP="00B92709">
            <w:pPr>
              <w:jc w:val="center"/>
              <w:rPr>
                <w:color w:val="000000"/>
                <w:sz w:val="22"/>
                <w:szCs w:val="22"/>
              </w:rPr>
            </w:pPr>
            <w:r w:rsidRPr="009E6D34">
              <w:rPr>
                <w:color w:val="000000"/>
                <w:sz w:val="22"/>
                <w:szCs w:val="22"/>
              </w:rPr>
              <w:t>10,903</w:t>
            </w:r>
          </w:p>
        </w:tc>
        <w:tc>
          <w:tcPr>
            <w:tcW w:w="1154" w:type="dxa"/>
            <w:tcBorders>
              <w:top w:val="nil"/>
              <w:left w:val="nil"/>
              <w:bottom w:val="nil"/>
              <w:right w:val="nil"/>
            </w:tcBorders>
            <w:shd w:val="clear" w:color="000000" w:fill="FFFFFF"/>
            <w:noWrap/>
            <w:vAlign w:val="bottom"/>
            <w:hideMark/>
          </w:tcPr>
          <w:p w14:paraId="6A9B2734" w14:textId="77777777" w:rsidR="009E6D34" w:rsidRPr="009E6D34" w:rsidRDefault="009E6D34" w:rsidP="00B92709">
            <w:pPr>
              <w:jc w:val="center"/>
              <w:rPr>
                <w:color w:val="000000"/>
                <w:sz w:val="22"/>
                <w:szCs w:val="22"/>
              </w:rPr>
            </w:pPr>
            <w:r w:rsidRPr="009E6D34">
              <w:rPr>
                <w:color w:val="000000"/>
                <w:sz w:val="22"/>
                <w:szCs w:val="22"/>
              </w:rPr>
              <w:t>9,214</w:t>
            </w:r>
          </w:p>
        </w:tc>
        <w:tc>
          <w:tcPr>
            <w:tcW w:w="1154" w:type="dxa"/>
            <w:tcBorders>
              <w:top w:val="nil"/>
              <w:left w:val="nil"/>
              <w:bottom w:val="nil"/>
              <w:right w:val="nil"/>
            </w:tcBorders>
            <w:shd w:val="clear" w:color="000000" w:fill="FFFFFF"/>
            <w:noWrap/>
            <w:vAlign w:val="bottom"/>
            <w:hideMark/>
          </w:tcPr>
          <w:p w14:paraId="5D3BE5D5" w14:textId="77777777" w:rsidR="009E6D34" w:rsidRPr="009E6D34" w:rsidRDefault="009E6D34" w:rsidP="00B92709">
            <w:pPr>
              <w:jc w:val="center"/>
              <w:rPr>
                <w:color w:val="000000"/>
                <w:sz w:val="22"/>
                <w:szCs w:val="22"/>
              </w:rPr>
            </w:pPr>
            <w:r w:rsidRPr="009E6D34">
              <w:rPr>
                <w:color w:val="000000"/>
                <w:sz w:val="22"/>
                <w:szCs w:val="22"/>
              </w:rPr>
              <w:t>9,214</w:t>
            </w:r>
          </w:p>
        </w:tc>
        <w:tc>
          <w:tcPr>
            <w:tcW w:w="1154" w:type="dxa"/>
            <w:tcBorders>
              <w:top w:val="nil"/>
              <w:left w:val="nil"/>
              <w:bottom w:val="nil"/>
              <w:right w:val="single" w:sz="4" w:space="0" w:color="auto"/>
            </w:tcBorders>
            <w:shd w:val="clear" w:color="000000" w:fill="FFFFFF"/>
            <w:noWrap/>
            <w:vAlign w:val="bottom"/>
            <w:hideMark/>
          </w:tcPr>
          <w:p w14:paraId="5DED0474" w14:textId="77777777" w:rsidR="009E6D34" w:rsidRPr="009E6D34" w:rsidRDefault="009E6D34" w:rsidP="00B92709">
            <w:pPr>
              <w:jc w:val="center"/>
              <w:rPr>
                <w:color w:val="000000"/>
                <w:sz w:val="22"/>
                <w:szCs w:val="22"/>
              </w:rPr>
            </w:pPr>
            <w:r w:rsidRPr="009E6D34">
              <w:rPr>
                <w:color w:val="000000"/>
                <w:sz w:val="22"/>
                <w:szCs w:val="22"/>
              </w:rPr>
              <w:t> </w:t>
            </w:r>
          </w:p>
        </w:tc>
      </w:tr>
      <w:tr w:rsidR="009E6D34" w:rsidRPr="009E6D34" w14:paraId="108D906D" w14:textId="77777777" w:rsidTr="00B92709">
        <w:trPr>
          <w:trHeight w:val="291"/>
        </w:trPr>
        <w:tc>
          <w:tcPr>
            <w:tcW w:w="1154" w:type="dxa"/>
            <w:tcBorders>
              <w:top w:val="nil"/>
              <w:left w:val="single" w:sz="4" w:space="0" w:color="auto"/>
              <w:bottom w:val="nil"/>
              <w:right w:val="nil"/>
            </w:tcBorders>
            <w:shd w:val="clear" w:color="000000" w:fill="FFFFFF"/>
            <w:noWrap/>
            <w:vAlign w:val="bottom"/>
            <w:hideMark/>
          </w:tcPr>
          <w:p w14:paraId="2AB3CE12" w14:textId="77777777" w:rsidR="009E6D34" w:rsidRPr="009E6D34" w:rsidRDefault="009E6D34" w:rsidP="00B92709">
            <w:pPr>
              <w:jc w:val="center"/>
              <w:rPr>
                <w:color w:val="000000"/>
                <w:sz w:val="22"/>
                <w:szCs w:val="22"/>
              </w:rPr>
            </w:pPr>
            <w:r w:rsidRPr="009E6D34">
              <w:rPr>
                <w:color w:val="000000"/>
                <w:sz w:val="22"/>
                <w:szCs w:val="22"/>
              </w:rPr>
              <w:t> </w:t>
            </w:r>
          </w:p>
        </w:tc>
        <w:tc>
          <w:tcPr>
            <w:tcW w:w="1154" w:type="dxa"/>
            <w:tcBorders>
              <w:top w:val="nil"/>
              <w:left w:val="nil"/>
              <w:bottom w:val="nil"/>
              <w:right w:val="nil"/>
            </w:tcBorders>
            <w:shd w:val="clear" w:color="000000" w:fill="FFFFFF"/>
            <w:noWrap/>
            <w:vAlign w:val="bottom"/>
            <w:hideMark/>
          </w:tcPr>
          <w:p w14:paraId="4EF55138" w14:textId="77777777" w:rsidR="009E6D34" w:rsidRPr="009E6D34" w:rsidRDefault="009E6D34" w:rsidP="00B92709">
            <w:pPr>
              <w:jc w:val="center"/>
              <w:rPr>
                <w:color w:val="000000"/>
                <w:sz w:val="22"/>
                <w:szCs w:val="22"/>
              </w:rPr>
            </w:pPr>
            <w:r w:rsidRPr="009E6D34">
              <w:rPr>
                <w:color w:val="000000"/>
                <w:sz w:val="22"/>
                <w:szCs w:val="22"/>
              </w:rPr>
              <w:t>2023</w:t>
            </w:r>
          </w:p>
        </w:tc>
        <w:tc>
          <w:tcPr>
            <w:tcW w:w="2043" w:type="dxa"/>
            <w:tcBorders>
              <w:top w:val="nil"/>
              <w:left w:val="nil"/>
              <w:bottom w:val="nil"/>
              <w:right w:val="nil"/>
            </w:tcBorders>
            <w:shd w:val="clear" w:color="000000" w:fill="FFFFFF"/>
            <w:noWrap/>
            <w:vAlign w:val="bottom"/>
            <w:hideMark/>
          </w:tcPr>
          <w:p w14:paraId="3439B287" w14:textId="77777777" w:rsidR="009E6D34" w:rsidRPr="009E6D34" w:rsidRDefault="009E6D34" w:rsidP="00B92709">
            <w:pPr>
              <w:jc w:val="center"/>
              <w:rPr>
                <w:color w:val="000000"/>
                <w:sz w:val="22"/>
                <w:szCs w:val="22"/>
              </w:rPr>
            </w:pPr>
            <w:r w:rsidRPr="009E6D34">
              <w:rPr>
                <w:color w:val="000000"/>
                <w:sz w:val="22"/>
                <w:szCs w:val="22"/>
              </w:rPr>
              <w:t>121,977</w:t>
            </w:r>
          </w:p>
        </w:tc>
        <w:tc>
          <w:tcPr>
            <w:tcW w:w="1154" w:type="dxa"/>
            <w:tcBorders>
              <w:top w:val="nil"/>
              <w:left w:val="nil"/>
              <w:bottom w:val="nil"/>
              <w:right w:val="nil"/>
            </w:tcBorders>
            <w:shd w:val="clear" w:color="000000" w:fill="FFFFFF"/>
            <w:noWrap/>
            <w:vAlign w:val="bottom"/>
            <w:hideMark/>
          </w:tcPr>
          <w:p w14:paraId="2482AF13" w14:textId="77777777" w:rsidR="009E6D34" w:rsidRPr="009E6D34" w:rsidRDefault="009E6D34" w:rsidP="00B92709">
            <w:pPr>
              <w:jc w:val="center"/>
              <w:rPr>
                <w:color w:val="000000"/>
                <w:sz w:val="22"/>
                <w:szCs w:val="22"/>
              </w:rPr>
            </w:pPr>
            <w:r w:rsidRPr="009E6D34">
              <w:rPr>
                <w:color w:val="000000"/>
                <w:sz w:val="22"/>
                <w:szCs w:val="22"/>
              </w:rPr>
              <w:t>8,946</w:t>
            </w:r>
          </w:p>
        </w:tc>
        <w:tc>
          <w:tcPr>
            <w:tcW w:w="1154" w:type="dxa"/>
            <w:tcBorders>
              <w:top w:val="nil"/>
              <w:left w:val="nil"/>
              <w:bottom w:val="nil"/>
              <w:right w:val="nil"/>
            </w:tcBorders>
            <w:shd w:val="clear" w:color="000000" w:fill="FFFFFF"/>
            <w:noWrap/>
            <w:vAlign w:val="bottom"/>
            <w:hideMark/>
          </w:tcPr>
          <w:p w14:paraId="44833110" w14:textId="77777777" w:rsidR="009E6D34" w:rsidRPr="009E6D34" w:rsidRDefault="009E6D34" w:rsidP="00B92709">
            <w:pPr>
              <w:jc w:val="center"/>
              <w:rPr>
                <w:color w:val="000000"/>
                <w:sz w:val="22"/>
                <w:szCs w:val="22"/>
              </w:rPr>
            </w:pPr>
            <w:r w:rsidRPr="009E6D34">
              <w:rPr>
                <w:color w:val="000000"/>
                <w:sz w:val="22"/>
                <w:szCs w:val="22"/>
              </w:rPr>
              <w:t>7,579</w:t>
            </w:r>
          </w:p>
        </w:tc>
        <w:tc>
          <w:tcPr>
            <w:tcW w:w="1154" w:type="dxa"/>
            <w:tcBorders>
              <w:top w:val="nil"/>
              <w:left w:val="nil"/>
              <w:bottom w:val="nil"/>
              <w:right w:val="nil"/>
            </w:tcBorders>
            <w:shd w:val="clear" w:color="000000" w:fill="FFFFFF"/>
            <w:noWrap/>
            <w:vAlign w:val="bottom"/>
            <w:hideMark/>
          </w:tcPr>
          <w:p w14:paraId="77FDFF63" w14:textId="77777777" w:rsidR="009E6D34" w:rsidRPr="009E6D34" w:rsidRDefault="009E6D34" w:rsidP="00B92709">
            <w:pPr>
              <w:jc w:val="center"/>
              <w:rPr>
                <w:color w:val="000000"/>
                <w:sz w:val="22"/>
                <w:szCs w:val="22"/>
              </w:rPr>
            </w:pPr>
            <w:r w:rsidRPr="009E6D34">
              <w:rPr>
                <w:color w:val="000000"/>
                <w:sz w:val="22"/>
                <w:szCs w:val="22"/>
              </w:rPr>
              <w:t>n/a</w:t>
            </w:r>
          </w:p>
        </w:tc>
        <w:tc>
          <w:tcPr>
            <w:tcW w:w="1154" w:type="dxa"/>
            <w:tcBorders>
              <w:top w:val="nil"/>
              <w:left w:val="nil"/>
              <w:bottom w:val="nil"/>
              <w:right w:val="single" w:sz="4" w:space="0" w:color="auto"/>
            </w:tcBorders>
            <w:shd w:val="clear" w:color="000000" w:fill="FFFFFF"/>
            <w:noWrap/>
            <w:vAlign w:val="bottom"/>
            <w:hideMark/>
          </w:tcPr>
          <w:p w14:paraId="663B6B3A" w14:textId="77777777" w:rsidR="009E6D34" w:rsidRPr="009E6D34" w:rsidRDefault="009E6D34" w:rsidP="00B92709">
            <w:pPr>
              <w:jc w:val="center"/>
              <w:rPr>
                <w:color w:val="000000"/>
                <w:sz w:val="22"/>
                <w:szCs w:val="22"/>
              </w:rPr>
            </w:pPr>
            <w:r w:rsidRPr="009E6D34">
              <w:rPr>
                <w:color w:val="000000"/>
                <w:sz w:val="22"/>
                <w:szCs w:val="22"/>
              </w:rPr>
              <w:t>n/a</w:t>
            </w:r>
          </w:p>
        </w:tc>
      </w:tr>
      <w:tr w:rsidR="009E6D34" w:rsidRPr="009E6D34" w14:paraId="1F29AC40" w14:textId="77777777" w:rsidTr="00B92709">
        <w:trPr>
          <w:trHeight w:val="291"/>
        </w:trPr>
        <w:tc>
          <w:tcPr>
            <w:tcW w:w="1154" w:type="dxa"/>
            <w:tcBorders>
              <w:top w:val="nil"/>
              <w:left w:val="single" w:sz="4" w:space="0" w:color="auto"/>
              <w:bottom w:val="single" w:sz="4" w:space="0" w:color="auto"/>
              <w:right w:val="nil"/>
            </w:tcBorders>
            <w:shd w:val="clear" w:color="000000" w:fill="FFFFFF"/>
            <w:noWrap/>
            <w:vAlign w:val="bottom"/>
            <w:hideMark/>
          </w:tcPr>
          <w:p w14:paraId="21EA5ED8" w14:textId="77777777" w:rsidR="009E6D34" w:rsidRPr="009E6D34" w:rsidRDefault="009E6D34" w:rsidP="00B92709">
            <w:pPr>
              <w:jc w:val="center"/>
              <w:rPr>
                <w:color w:val="000000"/>
                <w:sz w:val="22"/>
                <w:szCs w:val="22"/>
              </w:rPr>
            </w:pPr>
            <w:r w:rsidRPr="009E6D34">
              <w:rPr>
                <w:color w:val="000000"/>
                <w:sz w:val="22"/>
                <w:szCs w:val="22"/>
              </w:rPr>
              <w:t> </w:t>
            </w:r>
          </w:p>
        </w:tc>
        <w:tc>
          <w:tcPr>
            <w:tcW w:w="1154" w:type="dxa"/>
            <w:tcBorders>
              <w:top w:val="nil"/>
              <w:left w:val="nil"/>
              <w:bottom w:val="single" w:sz="4" w:space="0" w:color="auto"/>
              <w:right w:val="nil"/>
            </w:tcBorders>
            <w:shd w:val="clear" w:color="000000" w:fill="FFFFFF"/>
            <w:noWrap/>
            <w:vAlign w:val="bottom"/>
            <w:hideMark/>
          </w:tcPr>
          <w:p w14:paraId="3745559E" w14:textId="77777777" w:rsidR="009E6D34" w:rsidRPr="009E6D34" w:rsidRDefault="009E6D34" w:rsidP="00B92709">
            <w:pPr>
              <w:jc w:val="center"/>
              <w:rPr>
                <w:color w:val="000000"/>
                <w:sz w:val="22"/>
                <w:szCs w:val="22"/>
              </w:rPr>
            </w:pPr>
            <w:r w:rsidRPr="009E6D34">
              <w:rPr>
                <w:color w:val="000000"/>
                <w:sz w:val="22"/>
                <w:szCs w:val="22"/>
              </w:rPr>
              <w:t>2024</w:t>
            </w:r>
          </w:p>
        </w:tc>
        <w:tc>
          <w:tcPr>
            <w:tcW w:w="2043" w:type="dxa"/>
            <w:tcBorders>
              <w:top w:val="nil"/>
              <w:left w:val="nil"/>
              <w:bottom w:val="single" w:sz="4" w:space="0" w:color="auto"/>
              <w:right w:val="nil"/>
            </w:tcBorders>
            <w:shd w:val="clear" w:color="000000" w:fill="FFFFFF"/>
            <w:noWrap/>
            <w:vAlign w:val="bottom"/>
            <w:hideMark/>
          </w:tcPr>
          <w:p w14:paraId="79F25D5F" w14:textId="77777777" w:rsidR="009E6D34" w:rsidRPr="009E6D34" w:rsidRDefault="009E6D34" w:rsidP="00B92709">
            <w:pPr>
              <w:jc w:val="center"/>
              <w:rPr>
                <w:color w:val="000000"/>
                <w:sz w:val="22"/>
                <w:szCs w:val="22"/>
              </w:rPr>
            </w:pPr>
            <w:r w:rsidRPr="009E6D34">
              <w:rPr>
                <w:color w:val="000000"/>
                <w:sz w:val="22"/>
                <w:szCs w:val="22"/>
              </w:rPr>
              <w:t>118,713</w:t>
            </w:r>
          </w:p>
        </w:tc>
        <w:tc>
          <w:tcPr>
            <w:tcW w:w="1154" w:type="dxa"/>
            <w:tcBorders>
              <w:top w:val="nil"/>
              <w:left w:val="nil"/>
              <w:bottom w:val="single" w:sz="4" w:space="0" w:color="auto"/>
              <w:right w:val="nil"/>
            </w:tcBorders>
            <w:shd w:val="clear" w:color="000000" w:fill="FFFFFF"/>
            <w:noWrap/>
            <w:vAlign w:val="bottom"/>
            <w:hideMark/>
          </w:tcPr>
          <w:p w14:paraId="61F4F095" w14:textId="77777777" w:rsidR="009E6D34" w:rsidRPr="009E6D34" w:rsidRDefault="009E6D34" w:rsidP="00B92709">
            <w:pPr>
              <w:jc w:val="center"/>
              <w:rPr>
                <w:color w:val="000000"/>
                <w:sz w:val="22"/>
                <w:szCs w:val="22"/>
              </w:rPr>
            </w:pPr>
            <w:r w:rsidRPr="009E6D34">
              <w:rPr>
                <w:color w:val="000000"/>
                <w:sz w:val="22"/>
                <w:szCs w:val="22"/>
              </w:rPr>
              <w:t>8,776</w:t>
            </w:r>
          </w:p>
        </w:tc>
        <w:tc>
          <w:tcPr>
            <w:tcW w:w="1154" w:type="dxa"/>
            <w:tcBorders>
              <w:top w:val="nil"/>
              <w:left w:val="nil"/>
              <w:bottom w:val="single" w:sz="4" w:space="0" w:color="auto"/>
              <w:right w:val="nil"/>
            </w:tcBorders>
            <w:shd w:val="clear" w:color="000000" w:fill="FFFFFF"/>
            <w:noWrap/>
            <w:vAlign w:val="bottom"/>
            <w:hideMark/>
          </w:tcPr>
          <w:p w14:paraId="0CBE73B3" w14:textId="77777777" w:rsidR="009E6D34" w:rsidRPr="009E6D34" w:rsidRDefault="009E6D34" w:rsidP="00B92709">
            <w:pPr>
              <w:jc w:val="center"/>
              <w:rPr>
                <w:color w:val="000000"/>
                <w:sz w:val="22"/>
                <w:szCs w:val="22"/>
              </w:rPr>
            </w:pPr>
            <w:r w:rsidRPr="009E6D34">
              <w:rPr>
                <w:color w:val="000000"/>
                <w:sz w:val="22"/>
                <w:szCs w:val="22"/>
              </w:rPr>
              <w:t>7,435</w:t>
            </w:r>
          </w:p>
        </w:tc>
        <w:tc>
          <w:tcPr>
            <w:tcW w:w="1154" w:type="dxa"/>
            <w:tcBorders>
              <w:top w:val="nil"/>
              <w:left w:val="nil"/>
              <w:bottom w:val="single" w:sz="4" w:space="0" w:color="auto"/>
              <w:right w:val="nil"/>
            </w:tcBorders>
            <w:shd w:val="clear" w:color="000000" w:fill="FFFFFF"/>
            <w:noWrap/>
            <w:vAlign w:val="bottom"/>
            <w:hideMark/>
          </w:tcPr>
          <w:p w14:paraId="01695F44" w14:textId="77777777" w:rsidR="009E6D34" w:rsidRPr="009E6D34" w:rsidRDefault="009E6D34" w:rsidP="00B92709">
            <w:pPr>
              <w:jc w:val="center"/>
              <w:rPr>
                <w:color w:val="000000"/>
                <w:sz w:val="22"/>
                <w:szCs w:val="22"/>
              </w:rPr>
            </w:pPr>
            <w:r w:rsidRPr="009E6D34">
              <w:rPr>
                <w:color w:val="000000"/>
                <w:sz w:val="22"/>
                <w:szCs w:val="22"/>
              </w:rPr>
              <w:t>n/a</w:t>
            </w:r>
          </w:p>
        </w:tc>
        <w:tc>
          <w:tcPr>
            <w:tcW w:w="1154" w:type="dxa"/>
            <w:tcBorders>
              <w:top w:val="nil"/>
              <w:left w:val="nil"/>
              <w:bottom w:val="single" w:sz="4" w:space="0" w:color="auto"/>
              <w:right w:val="single" w:sz="4" w:space="0" w:color="auto"/>
            </w:tcBorders>
            <w:shd w:val="clear" w:color="000000" w:fill="FFFFFF"/>
            <w:noWrap/>
            <w:vAlign w:val="bottom"/>
            <w:hideMark/>
          </w:tcPr>
          <w:p w14:paraId="427860E3" w14:textId="77777777" w:rsidR="009E6D34" w:rsidRPr="009E6D34" w:rsidRDefault="009E6D34" w:rsidP="00B92709">
            <w:pPr>
              <w:jc w:val="center"/>
              <w:rPr>
                <w:color w:val="000000"/>
                <w:sz w:val="22"/>
                <w:szCs w:val="22"/>
              </w:rPr>
            </w:pPr>
            <w:r w:rsidRPr="009E6D34">
              <w:rPr>
                <w:color w:val="000000"/>
                <w:sz w:val="22"/>
                <w:szCs w:val="22"/>
              </w:rPr>
              <w:t>n/a</w:t>
            </w:r>
          </w:p>
        </w:tc>
      </w:tr>
    </w:tbl>
    <w:p w14:paraId="1CC1D2A4" w14:textId="77777777" w:rsidR="009E6D34" w:rsidRPr="009E6D34" w:rsidRDefault="009E6D34" w:rsidP="009E6D34">
      <w:pPr>
        <w:outlineLvl w:val="4"/>
        <w:rPr>
          <w:b/>
          <w:bCs/>
          <w:sz w:val="22"/>
          <w:szCs w:val="22"/>
        </w:rPr>
      </w:pPr>
      <w:r w:rsidRPr="009E6D34">
        <w:rPr>
          <w:b/>
          <w:bCs/>
          <w:sz w:val="22"/>
          <w:szCs w:val="22"/>
        </w:rPr>
        <w:t xml:space="preserve"> </w:t>
      </w:r>
    </w:p>
    <w:p w14:paraId="52BAAAAE" w14:textId="77777777" w:rsidR="009E6D34" w:rsidRPr="009E6D34" w:rsidRDefault="009E6D34" w:rsidP="009E6D34">
      <w:pPr>
        <w:rPr>
          <w:color w:val="000000"/>
          <w:sz w:val="22"/>
          <w:szCs w:val="22"/>
        </w:rPr>
      </w:pPr>
      <w:r w:rsidRPr="009E6D34">
        <w:rPr>
          <w:color w:val="000000"/>
          <w:sz w:val="22"/>
          <w:szCs w:val="22"/>
        </w:rPr>
        <w:t xml:space="preserve">Before 2011, Kamchatka flounder and arrowtooth flounder </w:t>
      </w:r>
      <w:proofErr w:type="gramStart"/>
      <w:r w:rsidRPr="009E6D34">
        <w:rPr>
          <w:color w:val="000000"/>
          <w:sz w:val="22"/>
          <w:szCs w:val="22"/>
        </w:rPr>
        <w:t>were managed</w:t>
      </w:r>
      <w:proofErr w:type="gramEnd"/>
      <w:r w:rsidRPr="009E6D34">
        <w:rPr>
          <w:color w:val="000000"/>
          <w:sz w:val="22"/>
          <w:szCs w:val="22"/>
        </w:rPr>
        <w:t xml:space="preserve"> in aggregate as a single stock. Due to the emergence of a directed Kamchatka flounder fishery and concerns about overharvesting, the stocks </w:t>
      </w:r>
      <w:proofErr w:type="gramStart"/>
      <w:r w:rsidRPr="009E6D34">
        <w:rPr>
          <w:color w:val="000000"/>
          <w:sz w:val="22"/>
          <w:szCs w:val="22"/>
        </w:rPr>
        <w:t>were separated</w:t>
      </w:r>
      <w:proofErr w:type="gramEnd"/>
      <w:r w:rsidRPr="009E6D34">
        <w:rPr>
          <w:color w:val="000000"/>
          <w:sz w:val="22"/>
          <w:szCs w:val="22"/>
        </w:rPr>
        <w:t xml:space="preserve"> in 2011. The BSAI Kamchatka flounder assessment </w:t>
      </w:r>
      <w:proofErr w:type="gramStart"/>
      <w:r w:rsidRPr="009E6D34">
        <w:rPr>
          <w:color w:val="000000"/>
          <w:sz w:val="22"/>
          <w:szCs w:val="22"/>
        </w:rPr>
        <w:t>is conducted</w:t>
      </w:r>
      <w:proofErr w:type="gramEnd"/>
      <w:r w:rsidRPr="009E6D34">
        <w:rPr>
          <w:color w:val="000000"/>
          <w:sz w:val="22"/>
          <w:szCs w:val="22"/>
        </w:rPr>
        <w:t xml:space="preserve"> in even years using a statistical age-structured model. Data inputs include fishery catch data and length composition, EBS </w:t>
      </w:r>
      <w:proofErr w:type="gramStart"/>
      <w:r w:rsidRPr="009E6D34">
        <w:rPr>
          <w:color w:val="000000"/>
          <w:sz w:val="22"/>
          <w:szCs w:val="22"/>
        </w:rPr>
        <w:t>shelf and Aleutian Islands bottom trawl survey biomass estimates and standard error and length composition, and an age-length transition matrix using the length and age specimen data from the EBS shelf</w:t>
      </w:r>
      <w:proofErr w:type="gramEnd"/>
      <w:r w:rsidRPr="009E6D34">
        <w:rPr>
          <w:color w:val="000000"/>
          <w:sz w:val="22"/>
          <w:szCs w:val="22"/>
        </w:rPr>
        <w:t xml:space="preserve"> and Aleutian Islands bottom trawl surveys. </w:t>
      </w:r>
    </w:p>
    <w:p w14:paraId="5E32AB87" w14:textId="77777777" w:rsidR="009E6D34" w:rsidRPr="009E6D34" w:rsidRDefault="009E6D34" w:rsidP="009E6D34">
      <w:pPr>
        <w:rPr>
          <w:sz w:val="22"/>
          <w:szCs w:val="22"/>
        </w:rPr>
      </w:pPr>
    </w:p>
    <w:p w14:paraId="58EB3D79" w14:textId="77777777" w:rsidR="009E6D34" w:rsidRPr="009E6D34" w:rsidRDefault="009E6D34" w:rsidP="009E6D34">
      <w:pPr>
        <w:rPr>
          <w:sz w:val="22"/>
          <w:szCs w:val="22"/>
        </w:rPr>
      </w:pPr>
      <w:r w:rsidRPr="009E6D34">
        <w:rPr>
          <w:sz w:val="22"/>
          <w:szCs w:val="22"/>
        </w:rPr>
        <w:t xml:space="preserve">The projected 2023 female spawning biomass is 47,877 t, above the </w:t>
      </w:r>
      <w:proofErr w:type="gramStart"/>
      <w:r w:rsidRPr="009E6D34">
        <w:rPr>
          <w:i/>
          <w:iCs/>
          <w:sz w:val="22"/>
          <w:szCs w:val="22"/>
        </w:rPr>
        <w:t>B40%</w:t>
      </w:r>
      <w:proofErr w:type="gramEnd"/>
      <w:r w:rsidRPr="009E6D34">
        <w:rPr>
          <w:i/>
          <w:iCs/>
          <w:sz w:val="22"/>
          <w:szCs w:val="22"/>
        </w:rPr>
        <w:t xml:space="preserve"> </w:t>
      </w:r>
      <w:r w:rsidRPr="009E6D34">
        <w:rPr>
          <w:sz w:val="22"/>
          <w:szCs w:val="22"/>
        </w:rPr>
        <w:t xml:space="preserve">level of 37,748 t, and spawning biomass is projected to remain above </w:t>
      </w:r>
      <w:r w:rsidRPr="009E6D34">
        <w:rPr>
          <w:i/>
          <w:iCs/>
          <w:sz w:val="22"/>
          <w:szCs w:val="22"/>
        </w:rPr>
        <w:t xml:space="preserve">B40% </w:t>
      </w:r>
      <w:r w:rsidRPr="009E6D34">
        <w:rPr>
          <w:sz w:val="22"/>
          <w:szCs w:val="22"/>
        </w:rPr>
        <w:t>for the foreseeable future. The decreasing biomass and biomass trend scaling lower than the 2020 assessment correspond to fitting a lower survey biomass. The addition of the new survey data does result in an overall decrease in the spawning stock biomass, total biomass, numbers, and age-2 recruits trends through time, particularly after 2010.</w:t>
      </w:r>
    </w:p>
    <w:p w14:paraId="53A22638" w14:textId="77777777" w:rsidR="009E6D34" w:rsidRPr="009E6D34" w:rsidRDefault="009E6D34" w:rsidP="009E6D34">
      <w:pPr>
        <w:rPr>
          <w:sz w:val="22"/>
          <w:szCs w:val="22"/>
        </w:rPr>
      </w:pPr>
    </w:p>
    <w:p w14:paraId="0EA11554" w14:textId="77777777" w:rsidR="009E6D34" w:rsidRPr="009E6D34" w:rsidRDefault="009E6D34" w:rsidP="009E6D34">
      <w:pPr>
        <w:rPr>
          <w:sz w:val="22"/>
          <w:szCs w:val="22"/>
        </w:rPr>
      </w:pPr>
      <w:r w:rsidRPr="009E6D34">
        <w:rPr>
          <w:sz w:val="22"/>
          <w:szCs w:val="22"/>
        </w:rPr>
        <w:t xml:space="preserve">Kamchatka flounder </w:t>
      </w:r>
      <w:proofErr w:type="gramStart"/>
      <w:r w:rsidRPr="009E6D34">
        <w:rPr>
          <w:sz w:val="22"/>
          <w:szCs w:val="22"/>
        </w:rPr>
        <w:t>is not being subjected</w:t>
      </w:r>
      <w:proofErr w:type="gramEnd"/>
      <w:r w:rsidRPr="009E6D34">
        <w:rPr>
          <w:sz w:val="22"/>
          <w:szCs w:val="22"/>
        </w:rPr>
        <w:t xml:space="preserve"> to overfishing, is not overfished, and is not approaching an overfished condition.</w:t>
      </w:r>
    </w:p>
    <w:p w14:paraId="5A41EBA6" w14:textId="77777777" w:rsidR="00DE3EE8" w:rsidRPr="002B7E6B" w:rsidRDefault="00DE3EE8" w:rsidP="00DE3EE8">
      <w:pPr>
        <w:rPr>
          <w:sz w:val="22"/>
          <w:szCs w:val="22"/>
        </w:rPr>
      </w:pPr>
    </w:p>
    <w:p w14:paraId="2DFA3039" w14:textId="229FB5E5" w:rsidR="00DE3EE8" w:rsidRDefault="00DE3EE8" w:rsidP="00017EC4">
      <w:pPr>
        <w:pStyle w:val="Heading5"/>
      </w:pPr>
      <w:bookmarkStart w:id="150" w:name="_Toc131503891"/>
      <w:r w:rsidRPr="00017EC4">
        <w:t>Northern rock sole</w:t>
      </w:r>
      <w:r w:rsidR="0024271A">
        <w:t xml:space="preserve"> – </w:t>
      </w:r>
      <w:r w:rsidRPr="00017EC4">
        <w:t xml:space="preserve">Bering Sea and Aleutian Islands </w:t>
      </w:r>
      <w:r w:rsidR="00017EC4">
        <w:t>–</w:t>
      </w:r>
      <w:r w:rsidRPr="00017EC4">
        <w:t xml:space="preserve"> REFM</w:t>
      </w:r>
      <w:bookmarkEnd w:id="150"/>
    </w:p>
    <w:p w14:paraId="3FDC0D15" w14:textId="77777777" w:rsidR="009E6D34" w:rsidRPr="009E6D34" w:rsidRDefault="009E6D34" w:rsidP="009E6D34">
      <w:pPr>
        <w:outlineLvl w:val="4"/>
        <w:rPr>
          <w:b/>
          <w:bCs/>
          <w:sz w:val="22"/>
          <w:szCs w:val="22"/>
        </w:rPr>
      </w:pPr>
    </w:p>
    <w:tbl>
      <w:tblPr>
        <w:tblW w:w="9353" w:type="dxa"/>
        <w:tblLook w:val="04A0" w:firstRow="1" w:lastRow="0" w:firstColumn="1" w:lastColumn="0" w:noHBand="0" w:noVBand="1"/>
      </w:tblPr>
      <w:tblGrid>
        <w:gridCol w:w="1183"/>
        <w:gridCol w:w="1207"/>
        <w:gridCol w:w="2095"/>
        <w:gridCol w:w="1227"/>
        <w:gridCol w:w="1227"/>
        <w:gridCol w:w="1207"/>
        <w:gridCol w:w="1207"/>
      </w:tblGrid>
      <w:tr w:rsidR="009E6D34" w:rsidRPr="009E6D34" w14:paraId="13E3243D" w14:textId="77777777" w:rsidTr="00B92709">
        <w:trPr>
          <w:trHeight w:val="292"/>
        </w:trPr>
        <w:tc>
          <w:tcPr>
            <w:tcW w:w="1183" w:type="dxa"/>
            <w:tcBorders>
              <w:top w:val="single" w:sz="4" w:space="0" w:color="auto"/>
              <w:left w:val="single" w:sz="4" w:space="0" w:color="auto"/>
              <w:bottom w:val="single" w:sz="4" w:space="0" w:color="auto"/>
              <w:right w:val="nil"/>
            </w:tcBorders>
            <w:shd w:val="clear" w:color="000000" w:fill="FFFFFF"/>
            <w:noWrap/>
            <w:vAlign w:val="bottom"/>
            <w:hideMark/>
          </w:tcPr>
          <w:p w14:paraId="77EEB9BD" w14:textId="77777777" w:rsidR="009E6D34" w:rsidRPr="009E6D34" w:rsidRDefault="009E6D34" w:rsidP="00B92709">
            <w:pPr>
              <w:jc w:val="center"/>
              <w:rPr>
                <w:color w:val="000000"/>
                <w:sz w:val="22"/>
                <w:szCs w:val="22"/>
              </w:rPr>
            </w:pPr>
            <w:r w:rsidRPr="009E6D34">
              <w:rPr>
                <w:color w:val="000000"/>
                <w:sz w:val="22"/>
                <w:szCs w:val="22"/>
              </w:rPr>
              <w:t>Area</w:t>
            </w:r>
          </w:p>
        </w:tc>
        <w:tc>
          <w:tcPr>
            <w:tcW w:w="1207" w:type="dxa"/>
            <w:tcBorders>
              <w:top w:val="single" w:sz="4" w:space="0" w:color="auto"/>
              <w:left w:val="nil"/>
              <w:bottom w:val="single" w:sz="4" w:space="0" w:color="auto"/>
              <w:right w:val="nil"/>
            </w:tcBorders>
            <w:shd w:val="clear" w:color="000000" w:fill="FFFFFF"/>
            <w:noWrap/>
            <w:vAlign w:val="bottom"/>
            <w:hideMark/>
          </w:tcPr>
          <w:p w14:paraId="1C588312" w14:textId="77777777" w:rsidR="009E6D34" w:rsidRPr="009E6D34" w:rsidRDefault="009E6D34" w:rsidP="00B92709">
            <w:pPr>
              <w:jc w:val="center"/>
              <w:rPr>
                <w:color w:val="000000"/>
                <w:sz w:val="22"/>
                <w:szCs w:val="22"/>
              </w:rPr>
            </w:pPr>
            <w:r w:rsidRPr="009E6D34">
              <w:rPr>
                <w:color w:val="000000"/>
                <w:sz w:val="22"/>
                <w:szCs w:val="22"/>
              </w:rPr>
              <w:t>Year</w:t>
            </w:r>
          </w:p>
        </w:tc>
        <w:tc>
          <w:tcPr>
            <w:tcW w:w="2095" w:type="dxa"/>
            <w:tcBorders>
              <w:top w:val="single" w:sz="4" w:space="0" w:color="auto"/>
              <w:left w:val="nil"/>
              <w:bottom w:val="single" w:sz="4" w:space="0" w:color="auto"/>
              <w:right w:val="nil"/>
            </w:tcBorders>
            <w:shd w:val="clear" w:color="000000" w:fill="FFFFFF"/>
            <w:noWrap/>
            <w:vAlign w:val="bottom"/>
            <w:hideMark/>
          </w:tcPr>
          <w:p w14:paraId="0AA90350" w14:textId="77777777" w:rsidR="009E6D34" w:rsidRPr="009E6D34" w:rsidRDefault="009E6D34" w:rsidP="00B92709">
            <w:pPr>
              <w:jc w:val="center"/>
              <w:rPr>
                <w:color w:val="000000"/>
                <w:sz w:val="22"/>
                <w:szCs w:val="22"/>
              </w:rPr>
            </w:pPr>
            <w:r w:rsidRPr="009E6D34">
              <w:rPr>
                <w:color w:val="000000"/>
                <w:sz w:val="22"/>
                <w:szCs w:val="22"/>
              </w:rPr>
              <w:t>Age 6+ Biomass</w:t>
            </w:r>
          </w:p>
        </w:tc>
        <w:tc>
          <w:tcPr>
            <w:tcW w:w="1227" w:type="dxa"/>
            <w:tcBorders>
              <w:top w:val="single" w:sz="4" w:space="0" w:color="auto"/>
              <w:left w:val="nil"/>
              <w:bottom w:val="single" w:sz="4" w:space="0" w:color="auto"/>
              <w:right w:val="nil"/>
            </w:tcBorders>
            <w:shd w:val="clear" w:color="000000" w:fill="FFFFFF"/>
            <w:noWrap/>
            <w:vAlign w:val="bottom"/>
            <w:hideMark/>
          </w:tcPr>
          <w:p w14:paraId="10F0C944" w14:textId="77777777" w:rsidR="009E6D34" w:rsidRPr="009E6D34" w:rsidRDefault="009E6D34" w:rsidP="00B92709">
            <w:pPr>
              <w:jc w:val="center"/>
              <w:rPr>
                <w:color w:val="000000"/>
                <w:sz w:val="22"/>
                <w:szCs w:val="22"/>
              </w:rPr>
            </w:pPr>
            <w:r w:rsidRPr="009E6D34">
              <w:rPr>
                <w:color w:val="000000"/>
                <w:sz w:val="22"/>
                <w:szCs w:val="22"/>
              </w:rPr>
              <w:t>OFL</w:t>
            </w:r>
          </w:p>
        </w:tc>
        <w:tc>
          <w:tcPr>
            <w:tcW w:w="1227" w:type="dxa"/>
            <w:tcBorders>
              <w:top w:val="single" w:sz="4" w:space="0" w:color="auto"/>
              <w:left w:val="nil"/>
              <w:bottom w:val="single" w:sz="4" w:space="0" w:color="auto"/>
              <w:right w:val="nil"/>
            </w:tcBorders>
            <w:shd w:val="clear" w:color="000000" w:fill="FFFFFF"/>
            <w:noWrap/>
            <w:vAlign w:val="bottom"/>
            <w:hideMark/>
          </w:tcPr>
          <w:p w14:paraId="0065E7D6" w14:textId="77777777" w:rsidR="009E6D34" w:rsidRPr="009E6D34" w:rsidRDefault="009E6D34" w:rsidP="00B92709">
            <w:pPr>
              <w:jc w:val="center"/>
              <w:rPr>
                <w:color w:val="000000"/>
                <w:sz w:val="22"/>
                <w:szCs w:val="22"/>
              </w:rPr>
            </w:pPr>
            <w:r w:rsidRPr="009E6D34">
              <w:rPr>
                <w:color w:val="000000"/>
                <w:sz w:val="22"/>
                <w:szCs w:val="22"/>
              </w:rPr>
              <w:t>ABC</w:t>
            </w:r>
          </w:p>
        </w:tc>
        <w:tc>
          <w:tcPr>
            <w:tcW w:w="1207" w:type="dxa"/>
            <w:tcBorders>
              <w:top w:val="single" w:sz="4" w:space="0" w:color="auto"/>
              <w:left w:val="nil"/>
              <w:bottom w:val="single" w:sz="4" w:space="0" w:color="auto"/>
              <w:right w:val="nil"/>
            </w:tcBorders>
            <w:shd w:val="clear" w:color="000000" w:fill="FFFFFF"/>
            <w:noWrap/>
            <w:vAlign w:val="bottom"/>
            <w:hideMark/>
          </w:tcPr>
          <w:p w14:paraId="607B9DB6" w14:textId="77777777" w:rsidR="009E6D34" w:rsidRPr="009E6D34" w:rsidRDefault="009E6D34" w:rsidP="00B92709">
            <w:pPr>
              <w:jc w:val="center"/>
              <w:rPr>
                <w:color w:val="000000"/>
                <w:sz w:val="22"/>
                <w:szCs w:val="22"/>
              </w:rPr>
            </w:pPr>
            <w:r w:rsidRPr="009E6D34">
              <w:rPr>
                <w:color w:val="000000"/>
                <w:sz w:val="22"/>
                <w:szCs w:val="22"/>
              </w:rPr>
              <w:t>TAC</w:t>
            </w:r>
          </w:p>
        </w:tc>
        <w:tc>
          <w:tcPr>
            <w:tcW w:w="1207" w:type="dxa"/>
            <w:tcBorders>
              <w:top w:val="single" w:sz="4" w:space="0" w:color="auto"/>
              <w:left w:val="nil"/>
              <w:bottom w:val="single" w:sz="4" w:space="0" w:color="auto"/>
              <w:right w:val="single" w:sz="4" w:space="0" w:color="auto"/>
            </w:tcBorders>
            <w:shd w:val="clear" w:color="000000" w:fill="FFFFFF"/>
            <w:noWrap/>
            <w:vAlign w:val="bottom"/>
            <w:hideMark/>
          </w:tcPr>
          <w:p w14:paraId="015E25F7" w14:textId="77777777" w:rsidR="009E6D34" w:rsidRPr="009E6D34" w:rsidRDefault="009E6D34" w:rsidP="00B92709">
            <w:pPr>
              <w:jc w:val="center"/>
              <w:rPr>
                <w:color w:val="000000"/>
                <w:sz w:val="22"/>
                <w:szCs w:val="22"/>
              </w:rPr>
            </w:pPr>
            <w:r w:rsidRPr="009E6D34">
              <w:rPr>
                <w:color w:val="000000"/>
                <w:sz w:val="22"/>
                <w:szCs w:val="22"/>
              </w:rPr>
              <w:t>Catch</w:t>
            </w:r>
          </w:p>
        </w:tc>
      </w:tr>
      <w:tr w:rsidR="009E6D34" w:rsidRPr="009E6D34" w14:paraId="4446D5DE" w14:textId="77777777" w:rsidTr="00B92709">
        <w:trPr>
          <w:trHeight w:val="292"/>
        </w:trPr>
        <w:tc>
          <w:tcPr>
            <w:tcW w:w="1183" w:type="dxa"/>
            <w:tcBorders>
              <w:top w:val="nil"/>
              <w:left w:val="single" w:sz="4" w:space="0" w:color="auto"/>
              <w:bottom w:val="nil"/>
              <w:right w:val="nil"/>
            </w:tcBorders>
            <w:shd w:val="clear" w:color="000000" w:fill="FFFFFF"/>
            <w:noWrap/>
            <w:vAlign w:val="bottom"/>
            <w:hideMark/>
          </w:tcPr>
          <w:p w14:paraId="0BF1F1C9" w14:textId="77777777" w:rsidR="009E6D34" w:rsidRPr="009E6D34" w:rsidRDefault="009E6D34" w:rsidP="00B92709">
            <w:pPr>
              <w:jc w:val="center"/>
              <w:rPr>
                <w:color w:val="000000"/>
                <w:sz w:val="22"/>
                <w:szCs w:val="22"/>
              </w:rPr>
            </w:pPr>
            <w:r w:rsidRPr="009E6D34">
              <w:rPr>
                <w:color w:val="000000"/>
                <w:sz w:val="22"/>
                <w:szCs w:val="22"/>
              </w:rPr>
              <w:t>BSAI</w:t>
            </w:r>
          </w:p>
        </w:tc>
        <w:tc>
          <w:tcPr>
            <w:tcW w:w="1207" w:type="dxa"/>
            <w:tcBorders>
              <w:top w:val="nil"/>
              <w:left w:val="nil"/>
              <w:bottom w:val="nil"/>
              <w:right w:val="nil"/>
            </w:tcBorders>
            <w:shd w:val="clear" w:color="000000" w:fill="FFFFFF"/>
            <w:noWrap/>
            <w:vAlign w:val="bottom"/>
            <w:hideMark/>
          </w:tcPr>
          <w:p w14:paraId="5BD55EC8" w14:textId="77777777" w:rsidR="009E6D34" w:rsidRPr="009E6D34" w:rsidRDefault="009E6D34" w:rsidP="00B92709">
            <w:pPr>
              <w:jc w:val="center"/>
              <w:rPr>
                <w:color w:val="000000"/>
                <w:sz w:val="22"/>
                <w:szCs w:val="22"/>
              </w:rPr>
            </w:pPr>
            <w:r w:rsidRPr="009E6D34">
              <w:rPr>
                <w:color w:val="000000"/>
                <w:sz w:val="22"/>
                <w:szCs w:val="22"/>
              </w:rPr>
              <w:t>2021</w:t>
            </w:r>
          </w:p>
        </w:tc>
        <w:tc>
          <w:tcPr>
            <w:tcW w:w="2095" w:type="dxa"/>
            <w:tcBorders>
              <w:top w:val="nil"/>
              <w:left w:val="nil"/>
              <w:bottom w:val="nil"/>
              <w:right w:val="nil"/>
            </w:tcBorders>
            <w:shd w:val="clear" w:color="000000" w:fill="FFFFFF"/>
            <w:noWrap/>
            <w:vAlign w:val="bottom"/>
            <w:hideMark/>
          </w:tcPr>
          <w:p w14:paraId="23A20E0A" w14:textId="77777777" w:rsidR="009E6D34" w:rsidRPr="009E6D34" w:rsidRDefault="009E6D34" w:rsidP="00B92709">
            <w:pPr>
              <w:jc w:val="center"/>
              <w:rPr>
                <w:color w:val="000000"/>
                <w:sz w:val="22"/>
                <w:szCs w:val="22"/>
              </w:rPr>
            </w:pPr>
            <w:r w:rsidRPr="009E6D34">
              <w:rPr>
                <w:color w:val="000000"/>
                <w:sz w:val="22"/>
                <w:szCs w:val="22"/>
              </w:rPr>
              <w:t>923,197</w:t>
            </w:r>
          </w:p>
        </w:tc>
        <w:tc>
          <w:tcPr>
            <w:tcW w:w="1227" w:type="dxa"/>
            <w:tcBorders>
              <w:top w:val="nil"/>
              <w:left w:val="nil"/>
              <w:bottom w:val="nil"/>
              <w:right w:val="nil"/>
            </w:tcBorders>
            <w:shd w:val="clear" w:color="000000" w:fill="FFFFFF"/>
            <w:noWrap/>
            <w:vAlign w:val="bottom"/>
            <w:hideMark/>
          </w:tcPr>
          <w:p w14:paraId="1B015CAB" w14:textId="77777777" w:rsidR="009E6D34" w:rsidRPr="009E6D34" w:rsidRDefault="009E6D34" w:rsidP="00B92709">
            <w:pPr>
              <w:jc w:val="center"/>
              <w:rPr>
                <w:color w:val="000000"/>
                <w:sz w:val="22"/>
                <w:szCs w:val="22"/>
              </w:rPr>
            </w:pPr>
            <w:r w:rsidRPr="009E6D34">
              <w:rPr>
                <w:color w:val="000000"/>
                <w:sz w:val="22"/>
                <w:szCs w:val="22"/>
              </w:rPr>
              <w:t>145,180</w:t>
            </w:r>
          </w:p>
        </w:tc>
        <w:tc>
          <w:tcPr>
            <w:tcW w:w="1227" w:type="dxa"/>
            <w:tcBorders>
              <w:top w:val="nil"/>
              <w:left w:val="nil"/>
              <w:bottom w:val="nil"/>
              <w:right w:val="nil"/>
            </w:tcBorders>
            <w:shd w:val="clear" w:color="000000" w:fill="FFFFFF"/>
            <w:noWrap/>
            <w:vAlign w:val="bottom"/>
            <w:hideMark/>
          </w:tcPr>
          <w:p w14:paraId="1E4CC718" w14:textId="77777777" w:rsidR="009E6D34" w:rsidRPr="009E6D34" w:rsidRDefault="009E6D34" w:rsidP="00B92709">
            <w:pPr>
              <w:jc w:val="center"/>
              <w:rPr>
                <w:color w:val="000000"/>
                <w:sz w:val="22"/>
                <w:szCs w:val="22"/>
              </w:rPr>
            </w:pPr>
            <w:r w:rsidRPr="009E6D34">
              <w:rPr>
                <w:color w:val="000000"/>
                <w:sz w:val="22"/>
                <w:szCs w:val="22"/>
              </w:rPr>
              <w:t>140,306</w:t>
            </w:r>
          </w:p>
        </w:tc>
        <w:tc>
          <w:tcPr>
            <w:tcW w:w="1207" w:type="dxa"/>
            <w:tcBorders>
              <w:top w:val="nil"/>
              <w:left w:val="nil"/>
              <w:bottom w:val="nil"/>
              <w:right w:val="nil"/>
            </w:tcBorders>
            <w:shd w:val="clear" w:color="000000" w:fill="FFFFFF"/>
            <w:noWrap/>
            <w:vAlign w:val="bottom"/>
            <w:hideMark/>
          </w:tcPr>
          <w:p w14:paraId="027E9553" w14:textId="77777777" w:rsidR="009E6D34" w:rsidRPr="009E6D34" w:rsidRDefault="009E6D34" w:rsidP="00B92709">
            <w:pPr>
              <w:jc w:val="center"/>
              <w:rPr>
                <w:color w:val="000000"/>
                <w:sz w:val="22"/>
                <w:szCs w:val="22"/>
              </w:rPr>
            </w:pPr>
            <w:r w:rsidRPr="009E6D34">
              <w:rPr>
                <w:color w:val="000000"/>
                <w:sz w:val="22"/>
                <w:szCs w:val="22"/>
              </w:rPr>
              <w:t>54,500</w:t>
            </w:r>
          </w:p>
        </w:tc>
        <w:tc>
          <w:tcPr>
            <w:tcW w:w="1207" w:type="dxa"/>
            <w:tcBorders>
              <w:top w:val="nil"/>
              <w:left w:val="nil"/>
              <w:bottom w:val="nil"/>
              <w:right w:val="single" w:sz="4" w:space="0" w:color="auto"/>
            </w:tcBorders>
            <w:shd w:val="clear" w:color="000000" w:fill="FFFFFF"/>
            <w:noWrap/>
            <w:vAlign w:val="bottom"/>
            <w:hideMark/>
          </w:tcPr>
          <w:p w14:paraId="4D334E12" w14:textId="77777777" w:rsidR="009E6D34" w:rsidRPr="009E6D34" w:rsidRDefault="009E6D34" w:rsidP="00B92709">
            <w:pPr>
              <w:jc w:val="center"/>
              <w:rPr>
                <w:color w:val="000000"/>
                <w:sz w:val="22"/>
                <w:szCs w:val="22"/>
              </w:rPr>
            </w:pPr>
            <w:r w:rsidRPr="009E6D34">
              <w:rPr>
                <w:color w:val="000000"/>
                <w:sz w:val="22"/>
                <w:szCs w:val="22"/>
              </w:rPr>
              <w:t>14,393</w:t>
            </w:r>
          </w:p>
        </w:tc>
      </w:tr>
      <w:tr w:rsidR="009E6D34" w:rsidRPr="009E6D34" w14:paraId="07F2B57E" w14:textId="77777777" w:rsidTr="00B92709">
        <w:trPr>
          <w:trHeight w:val="292"/>
        </w:trPr>
        <w:tc>
          <w:tcPr>
            <w:tcW w:w="1183" w:type="dxa"/>
            <w:tcBorders>
              <w:top w:val="nil"/>
              <w:left w:val="single" w:sz="4" w:space="0" w:color="auto"/>
              <w:bottom w:val="nil"/>
              <w:right w:val="nil"/>
            </w:tcBorders>
            <w:shd w:val="clear" w:color="000000" w:fill="FFFFFF"/>
            <w:noWrap/>
            <w:vAlign w:val="bottom"/>
            <w:hideMark/>
          </w:tcPr>
          <w:p w14:paraId="6C878182" w14:textId="77777777" w:rsidR="009E6D34" w:rsidRPr="009E6D34" w:rsidRDefault="009E6D34" w:rsidP="00B92709">
            <w:pPr>
              <w:jc w:val="center"/>
              <w:rPr>
                <w:color w:val="000000"/>
                <w:sz w:val="22"/>
                <w:szCs w:val="22"/>
              </w:rPr>
            </w:pPr>
            <w:r w:rsidRPr="009E6D34">
              <w:rPr>
                <w:color w:val="000000"/>
                <w:sz w:val="22"/>
                <w:szCs w:val="22"/>
              </w:rPr>
              <w:t> </w:t>
            </w:r>
          </w:p>
        </w:tc>
        <w:tc>
          <w:tcPr>
            <w:tcW w:w="1207" w:type="dxa"/>
            <w:tcBorders>
              <w:top w:val="nil"/>
              <w:left w:val="nil"/>
              <w:bottom w:val="nil"/>
              <w:right w:val="nil"/>
            </w:tcBorders>
            <w:shd w:val="clear" w:color="000000" w:fill="FFFFFF"/>
            <w:noWrap/>
            <w:vAlign w:val="bottom"/>
            <w:hideMark/>
          </w:tcPr>
          <w:p w14:paraId="25804C98" w14:textId="77777777" w:rsidR="009E6D34" w:rsidRPr="009E6D34" w:rsidRDefault="009E6D34" w:rsidP="00B92709">
            <w:pPr>
              <w:jc w:val="center"/>
              <w:rPr>
                <w:color w:val="000000"/>
                <w:sz w:val="22"/>
                <w:szCs w:val="22"/>
              </w:rPr>
            </w:pPr>
            <w:r w:rsidRPr="009E6D34">
              <w:rPr>
                <w:color w:val="000000"/>
                <w:sz w:val="22"/>
                <w:szCs w:val="22"/>
              </w:rPr>
              <w:t>2022</w:t>
            </w:r>
          </w:p>
        </w:tc>
        <w:tc>
          <w:tcPr>
            <w:tcW w:w="2095" w:type="dxa"/>
            <w:tcBorders>
              <w:top w:val="nil"/>
              <w:left w:val="nil"/>
              <w:bottom w:val="nil"/>
              <w:right w:val="nil"/>
            </w:tcBorders>
            <w:shd w:val="clear" w:color="000000" w:fill="FFFFFF"/>
            <w:noWrap/>
            <w:vAlign w:val="bottom"/>
            <w:hideMark/>
          </w:tcPr>
          <w:p w14:paraId="46071A24" w14:textId="77777777" w:rsidR="009E6D34" w:rsidRPr="009E6D34" w:rsidRDefault="009E6D34" w:rsidP="00B92709">
            <w:pPr>
              <w:jc w:val="center"/>
              <w:rPr>
                <w:color w:val="000000"/>
                <w:sz w:val="22"/>
                <w:szCs w:val="22"/>
              </w:rPr>
            </w:pPr>
            <w:r w:rsidRPr="009E6D34">
              <w:rPr>
                <w:color w:val="000000"/>
                <w:sz w:val="22"/>
                <w:szCs w:val="22"/>
              </w:rPr>
              <w:t>1,361,360</w:t>
            </w:r>
          </w:p>
        </w:tc>
        <w:tc>
          <w:tcPr>
            <w:tcW w:w="1227" w:type="dxa"/>
            <w:tcBorders>
              <w:top w:val="nil"/>
              <w:left w:val="nil"/>
              <w:bottom w:val="nil"/>
              <w:right w:val="nil"/>
            </w:tcBorders>
            <w:shd w:val="clear" w:color="000000" w:fill="FFFFFF"/>
            <w:noWrap/>
            <w:vAlign w:val="bottom"/>
            <w:hideMark/>
          </w:tcPr>
          <w:p w14:paraId="1982B664" w14:textId="77777777" w:rsidR="009E6D34" w:rsidRPr="009E6D34" w:rsidRDefault="009E6D34" w:rsidP="00B92709">
            <w:pPr>
              <w:jc w:val="center"/>
              <w:rPr>
                <w:color w:val="000000"/>
                <w:sz w:val="22"/>
                <w:szCs w:val="22"/>
              </w:rPr>
            </w:pPr>
            <w:r w:rsidRPr="009E6D34">
              <w:rPr>
                <w:color w:val="000000"/>
                <w:sz w:val="22"/>
                <w:szCs w:val="22"/>
              </w:rPr>
              <w:t>214,084</w:t>
            </w:r>
          </w:p>
        </w:tc>
        <w:tc>
          <w:tcPr>
            <w:tcW w:w="1227" w:type="dxa"/>
            <w:tcBorders>
              <w:top w:val="nil"/>
              <w:left w:val="nil"/>
              <w:bottom w:val="nil"/>
              <w:right w:val="nil"/>
            </w:tcBorders>
            <w:shd w:val="clear" w:color="000000" w:fill="FFFFFF"/>
            <w:noWrap/>
            <w:vAlign w:val="bottom"/>
            <w:hideMark/>
          </w:tcPr>
          <w:p w14:paraId="469BCF9A" w14:textId="77777777" w:rsidR="009E6D34" w:rsidRPr="009E6D34" w:rsidRDefault="009E6D34" w:rsidP="00B92709">
            <w:pPr>
              <w:jc w:val="center"/>
              <w:rPr>
                <w:color w:val="000000"/>
                <w:sz w:val="22"/>
                <w:szCs w:val="22"/>
              </w:rPr>
            </w:pPr>
            <w:r w:rsidRPr="009E6D34">
              <w:rPr>
                <w:color w:val="000000"/>
                <w:sz w:val="22"/>
                <w:szCs w:val="22"/>
              </w:rPr>
              <w:t>206,896</w:t>
            </w:r>
          </w:p>
        </w:tc>
        <w:tc>
          <w:tcPr>
            <w:tcW w:w="1207" w:type="dxa"/>
            <w:tcBorders>
              <w:top w:val="nil"/>
              <w:left w:val="nil"/>
              <w:bottom w:val="nil"/>
              <w:right w:val="nil"/>
            </w:tcBorders>
            <w:shd w:val="clear" w:color="000000" w:fill="FFFFFF"/>
            <w:noWrap/>
            <w:vAlign w:val="bottom"/>
            <w:hideMark/>
          </w:tcPr>
          <w:p w14:paraId="62782667" w14:textId="77777777" w:rsidR="009E6D34" w:rsidRPr="009E6D34" w:rsidRDefault="009E6D34" w:rsidP="00B92709">
            <w:pPr>
              <w:jc w:val="center"/>
              <w:rPr>
                <w:color w:val="000000"/>
                <w:sz w:val="22"/>
                <w:szCs w:val="22"/>
              </w:rPr>
            </w:pPr>
            <w:r w:rsidRPr="009E6D34">
              <w:rPr>
                <w:color w:val="000000"/>
                <w:sz w:val="22"/>
                <w:szCs w:val="22"/>
              </w:rPr>
              <w:t>66,000</w:t>
            </w:r>
          </w:p>
        </w:tc>
        <w:tc>
          <w:tcPr>
            <w:tcW w:w="1207" w:type="dxa"/>
            <w:tcBorders>
              <w:top w:val="nil"/>
              <w:left w:val="nil"/>
              <w:bottom w:val="nil"/>
              <w:right w:val="single" w:sz="4" w:space="0" w:color="auto"/>
            </w:tcBorders>
            <w:shd w:val="clear" w:color="000000" w:fill="FFFFFF"/>
            <w:noWrap/>
            <w:vAlign w:val="bottom"/>
            <w:hideMark/>
          </w:tcPr>
          <w:p w14:paraId="366626FE" w14:textId="77777777" w:rsidR="009E6D34" w:rsidRPr="009E6D34" w:rsidRDefault="009E6D34" w:rsidP="00B92709">
            <w:pPr>
              <w:jc w:val="center"/>
              <w:rPr>
                <w:color w:val="000000"/>
                <w:sz w:val="22"/>
                <w:szCs w:val="22"/>
              </w:rPr>
            </w:pPr>
            <w:r w:rsidRPr="009E6D34">
              <w:rPr>
                <w:color w:val="000000"/>
                <w:sz w:val="22"/>
                <w:szCs w:val="22"/>
              </w:rPr>
              <w:t>18,242</w:t>
            </w:r>
          </w:p>
        </w:tc>
      </w:tr>
      <w:tr w:rsidR="009E6D34" w:rsidRPr="009E6D34" w14:paraId="696A9BBD" w14:textId="77777777" w:rsidTr="00B92709">
        <w:trPr>
          <w:trHeight w:val="292"/>
        </w:trPr>
        <w:tc>
          <w:tcPr>
            <w:tcW w:w="1183" w:type="dxa"/>
            <w:tcBorders>
              <w:top w:val="nil"/>
              <w:left w:val="single" w:sz="4" w:space="0" w:color="auto"/>
              <w:bottom w:val="nil"/>
              <w:right w:val="nil"/>
            </w:tcBorders>
            <w:shd w:val="clear" w:color="000000" w:fill="FFFFFF"/>
            <w:noWrap/>
            <w:vAlign w:val="bottom"/>
            <w:hideMark/>
          </w:tcPr>
          <w:p w14:paraId="052966BD" w14:textId="77777777" w:rsidR="009E6D34" w:rsidRPr="009E6D34" w:rsidRDefault="009E6D34" w:rsidP="00B92709">
            <w:pPr>
              <w:jc w:val="center"/>
              <w:rPr>
                <w:color w:val="000000"/>
                <w:sz w:val="22"/>
                <w:szCs w:val="22"/>
              </w:rPr>
            </w:pPr>
            <w:r w:rsidRPr="009E6D34">
              <w:rPr>
                <w:color w:val="000000"/>
                <w:sz w:val="22"/>
                <w:szCs w:val="22"/>
              </w:rPr>
              <w:t> </w:t>
            </w:r>
          </w:p>
        </w:tc>
        <w:tc>
          <w:tcPr>
            <w:tcW w:w="1207" w:type="dxa"/>
            <w:tcBorders>
              <w:top w:val="nil"/>
              <w:left w:val="nil"/>
              <w:bottom w:val="nil"/>
              <w:right w:val="nil"/>
            </w:tcBorders>
            <w:shd w:val="clear" w:color="000000" w:fill="FFFFFF"/>
            <w:noWrap/>
            <w:vAlign w:val="bottom"/>
            <w:hideMark/>
          </w:tcPr>
          <w:p w14:paraId="20570A79" w14:textId="77777777" w:rsidR="009E6D34" w:rsidRPr="009E6D34" w:rsidRDefault="009E6D34" w:rsidP="00B92709">
            <w:pPr>
              <w:jc w:val="center"/>
              <w:rPr>
                <w:color w:val="000000"/>
                <w:sz w:val="22"/>
                <w:szCs w:val="22"/>
              </w:rPr>
            </w:pPr>
            <w:r w:rsidRPr="009E6D34">
              <w:rPr>
                <w:color w:val="000000"/>
                <w:sz w:val="22"/>
                <w:szCs w:val="22"/>
              </w:rPr>
              <w:t>2023</w:t>
            </w:r>
          </w:p>
        </w:tc>
        <w:tc>
          <w:tcPr>
            <w:tcW w:w="2095" w:type="dxa"/>
            <w:tcBorders>
              <w:top w:val="nil"/>
              <w:left w:val="nil"/>
              <w:bottom w:val="nil"/>
              <w:right w:val="nil"/>
            </w:tcBorders>
            <w:shd w:val="clear" w:color="000000" w:fill="FFFFFF"/>
            <w:noWrap/>
            <w:vAlign w:val="bottom"/>
            <w:hideMark/>
          </w:tcPr>
          <w:p w14:paraId="46398512" w14:textId="77777777" w:rsidR="009E6D34" w:rsidRPr="009E6D34" w:rsidRDefault="009E6D34" w:rsidP="00B92709">
            <w:pPr>
              <w:jc w:val="center"/>
              <w:rPr>
                <w:color w:val="000000"/>
                <w:sz w:val="22"/>
                <w:szCs w:val="22"/>
              </w:rPr>
            </w:pPr>
            <w:r w:rsidRPr="009E6D34">
              <w:rPr>
                <w:color w:val="000000"/>
                <w:sz w:val="22"/>
                <w:szCs w:val="22"/>
              </w:rPr>
              <w:t>941,359</w:t>
            </w:r>
          </w:p>
        </w:tc>
        <w:tc>
          <w:tcPr>
            <w:tcW w:w="1227" w:type="dxa"/>
            <w:tcBorders>
              <w:top w:val="nil"/>
              <w:left w:val="nil"/>
              <w:bottom w:val="nil"/>
              <w:right w:val="nil"/>
            </w:tcBorders>
            <w:shd w:val="clear" w:color="000000" w:fill="FFFFFF"/>
            <w:noWrap/>
            <w:vAlign w:val="bottom"/>
            <w:hideMark/>
          </w:tcPr>
          <w:p w14:paraId="27B2D776" w14:textId="77777777" w:rsidR="009E6D34" w:rsidRPr="009E6D34" w:rsidRDefault="009E6D34" w:rsidP="00B92709">
            <w:pPr>
              <w:jc w:val="center"/>
              <w:rPr>
                <w:color w:val="000000"/>
                <w:sz w:val="22"/>
                <w:szCs w:val="22"/>
              </w:rPr>
            </w:pPr>
            <w:r w:rsidRPr="009E6D34">
              <w:rPr>
                <w:color w:val="000000"/>
                <w:sz w:val="22"/>
                <w:szCs w:val="22"/>
              </w:rPr>
              <w:t>166,034</w:t>
            </w:r>
          </w:p>
        </w:tc>
        <w:tc>
          <w:tcPr>
            <w:tcW w:w="1227" w:type="dxa"/>
            <w:tcBorders>
              <w:top w:val="nil"/>
              <w:left w:val="nil"/>
              <w:bottom w:val="nil"/>
              <w:right w:val="nil"/>
            </w:tcBorders>
            <w:shd w:val="clear" w:color="000000" w:fill="FFFFFF"/>
            <w:noWrap/>
            <w:vAlign w:val="bottom"/>
            <w:hideMark/>
          </w:tcPr>
          <w:p w14:paraId="13008E21" w14:textId="77777777" w:rsidR="009E6D34" w:rsidRPr="009E6D34" w:rsidRDefault="009E6D34" w:rsidP="00B92709">
            <w:pPr>
              <w:jc w:val="center"/>
              <w:rPr>
                <w:color w:val="000000"/>
                <w:sz w:val="22"/>
                <w:szCs w:val="22"/>
              </w:rPr>
            </w:pPr>
            <w:r w:rsidRPr="009E6D34">
              <w:rPr>
                <w:color w:val="000000"/>
                <w:sz w:val="22"/>
                <w:szCs w:val="22"/>
              </w:rPr>
              <w:t>121,719</w:t>
            </w:r>
          </w:p>
        </w:tc>
        <w:tc>
          <w:tcPr>
            <w:tcW w:w="1207" w:type="dxa"/>
            <w:tcBorders>
              <w:top w:val="nil"/>
              <w:left w:val="nil"/>
              <w:bottom w:val="nil"/>
              <w:right w:val="nil"/>
            </w:tcBorders>
            <w:shd w:val="clear" w:color="000000" w:fill="FFFFFF"/>
            <w:noWrap/>
            <w:vAlign w:val="bottom"/>
            <w:hideMark/>
          </w:tcPr>
          <w:p w14:paraId="17594DAD" w14:textId="77777777" w:rsidR="009E6D34" w:rsidRPr="009E6D34" w:rsidRDefault="009E6D34" w:rsidP="00B92709">
            <w:pPr>
              <w:jc w:val="center"/>
              <w:rPr>
                <w:color w:val="000000"/>
                <w:sz w:val="22"/>
                <w:szCs w:val="22"/>
              </w:rPr>
            </w:pPr>
            <w:r w:rsidRPr="009E6D34">
              <w:rPr>
                <w:color w:val="000000"/>
                <w:sz w:val="22"/>
                <w:szCs w:val="22"/>
              </w:rPr>
              <w:t>n/a</w:t>
            </w:r>
          </w:p>
        </w:tc>
        <w:tc>
          <w:tcPr>
            <w:tcW w:w="1207" w:type="dxa"/>
            <w:tcBorders>
              <w:top w:val="nil"/>
              <w:left w:val="nil"/>
              <w:bottom w:val="nil"/>
              <w:right w:val="single" w:sz="4" w:space="0" w:color="auto"/>
            </w:tcBorders>
            <w:shd w:val="clear" w:color="000000" w:fill="FFFFFF"/>
            <w:noWrap/>
            <w:vAlign w:val="bottom"/>
            <w:hideMark/>
          </w:tcPr>
          <w:p w14:paraId="5805967A" w14:textId="77777777" w:rsidR="009E6D34" w:rsidRPr="009E6D34" w:rsidRDefault="009E6D34" w:rsidP="00B92709">
            <w:pPr>
              <w:jc w:val="center"/>
              <w:rPr>
                <w:color w:val="000000"/>
                <w:sz w:val="22"/>
                <w:szCs w:val="22"/>
              </w:rPr>
            </w:pPr>
            <w:r w:rsidRPr="009E6D34">
              <w:rPr>
                <w:color w:val="000000"/>
                <w:sz w:val="22"/>
                <w:szCs w:val="22"/>
              </w:rPr>
              <w:t>n/a</w:t>
            </w:r>
          </w:p>
        </w:tc>
      </w:tr>
      <w:tr w:rsidR="009E6D34" w:rsidRPr="009E6D34" w14:paraId="3ACBEC5A" w14:textId="77777777" w:rsidTr="00B92709">
        <w:trPr>
          <w:trHeight w:val="292"/>
        </w:trPr>
        <w:tc>
          <w:tcPr>
            <w:tcW w:w="1183" w:type="dxa"/>
            <w:tcBorders>
              <w:top w:val="nil"/>
              <w:left w:val="single" w:sz="4" w:space="0" w:color="auto"/>
              <w:bottom w:val="single" w:sz="4" w:space="0" w:color="auto"/>
              <w:right w:val="nil"/>
            </w:tcBorders>
            <w:shd w:val="clear" w:color="000000" w:fill="FFFFFF"/>
            <w:noWrap/>
            <w:vAlign w:val="bottom"/>
            <w:hideMark/>
          </w:tcPr>
          <w:p w14:paraId="39E57E33" w14:textId="77777777" w:rsidR="009E6D34" w:rsidRPr="009E6D34" w:rsidRDefault="009E6D34" w:rsidP="00B92709">
            <w:pPr>
              <w:jc w:val="center"/>
              <w:rPr>
                <w:color w:val="000000"/>
                <w:sz w:val="22"/>
                <w:szCs w:val="22"/>
              </w:rPr>
            </w:pPr>
            <w:r w:rsidRPr="009E6D34">
              <w:rPr>
                <w:color w:val="000000"/>
                <w:sz w:val="22"/>
                <w:szCs w:val="22"/>
              </w:rPr>
              <w:t> </w:t>
            </w:r>
          </w:p>
        </w:tc>
        <w:tc>
          <w:tcPr>
            <w:tcW w:w="1207" w:type="dxa"/>
            <w:tcBorders>
              <w:top w:val="nil"/>
              <w:left w:val="nil"/>
              <w:bottom w:val="single" w:sz="4" w:space="0" w:color="auto"/>
              <w:right w:val="nil"/>
            </w:tcBorders>
            <w:shd w:val="clear" w:color="000000" w:fill="FFFFFF"/>
            <w:noWrap/>
            <w:vAlign w:val="bottom"/>
            <w:hideMark/>
          </w:tcPr>
          <w:p w14:paraId="34272A84" w14:textId="77777777" w:rsidR="009E6D34" w:rsidRPr="009E6D34" w:rsidRDefault="009E6D34" w:rsidP="00B92709">
            <w:pPr>
              <w:jc w:val="center"/>
              <w:rPr>
                <w:color w:val="000000"/>
                <w:sz w:val="22"/>
                <w:szCs w:val="22"/>
              </w:rPr>
            </w:pPr>
            <w:r w:rsidRPr="009E6D34">
              <w:rPr>
                <w:color w:val="000000"/>
                <w:sz w:val="22"/>
                <w:szCs w:val="22"/>
              </w:rPr>
              <w:t>2024</w:t>
            </w:r>
          </w:p>
        </w:tc>
        <w:tc>
          <w:tcPr>
            <w:tcW w:w="2095" w:type="dxa"/>
            <w:tcBorders>
              <w:top w:val="nil"/>
              <w:left w:val="nil"/>
              <w:bottom w:val="single" w:sz="4" w:space="0" w:color="auto"/>
              <w:right w:val="nil"/>
            </w:tcBorders>
            <w:shd w:val="clear" w:color="000000" w:fill="FFFFFF"/>
            <w:noWrap/>
            <w:vAlign w:val="bottom"/>
            <w:hideMark/>
          </w:tcPr>
          <w:p w14:paraId="5D96E870" w14:textId="77777777" w:rsidR="009E6D34" w:rsidRPr="009E6D34" w:rsidRDefault="009E6D34" w:rsidP="00B92709">
            <w:pPr>
              <w:jc w:val="center"/>
              <w:rPr>
                <w:color w:val="000000"/>
                <w:sz w:val="22"/>
                <w:szCs w:val="22"/>
              </w:rPr>
            </w:pPr>
            <w:r w:rsidRPr="009E6D34">
              <w:rPr>
                <w:color w:val="000000"/>
                <w:sz w:val="22"/>
                <w:szCs w:val="22"/>
              </w:rPr>
              <w:t>1,111,320</w:t>
            </w:r>
          </w:p>
        </w:tc>
        <w:tc>
          <w:tcPr>
            <w:tcW w:w="1227" w:type="dxa"/>
            <w:tcBorders>
              <w:top w:val="nil"/>
              <w:left w:val="nil"/>
              <w:bottom w:val="single" w:sz="4" w:space="0" w:color="auto"/>
              <w:right w:val="nil"/>
            </w:tcBorders>
            <w:shd w:val="clear" w:color="000000" w:fill="FFFFFF"/>
            <w:noWrap/>
            <w:vAlign w:val="bottom"/>
            <w:hideMark/>
          </w:tcPr>
          <w:p w14:paraId="015FEC67" w14:textId="77777777" w:rsidR="009E6D34" w:rsidRPr="009E6D34" w:rsidRDefault="009E6D34" w:rsidP="00B92709">
            <w:pPr>
              <w:jc w:val="center"/>
              <w:rPr>
                <w:color w:val="000000"/>
                <w:sz w:val="22"/>
                <w:szCs w:val="22"/>
              </w:rPr>
            </w:pPr>
            <w:r w:rsidRPr="009E6D34">
              <w:rPr>
                <w:color w:val="000000"/>
                <w:sz w:val="22"/>
                <w:szCs w:val="22"/>
              </w:rPr>
              <w:t>196,011</w:t>
            </w:r>
          </w:p>
        </w:tc>
        <w:tc>
          <w:tcPr>
            <w:tcW w:w="1227" w:type="dxa"/>
            <w:tcBorders>
              <w:top w:val="nil"/>
              <w:left w:val="nil"/>
              <w:bottom w:val="single" w:sz="4" w:space="0" w:color="auto"/>
              <w:right w:val="nil"/>
            </w:tcBorders>
            <w:shd w:val="clear" w:color="000000" w:fill="FFFFFF"/>
            <w:noWrap/>
            <w:vAlign w:val="bottom"/>
            <w:hideMark/>
          </w:tcPr>
          <w:p w14:paraId="57FCEB7B" w14:textId="77777777" w:rsidR="009E6D34" w:rsidRPr="009E6D34" w:rsidRDefault="009E6D34" w:rsidP="00B92709">
            <w:pPr>
              <w:jc w:val="center"/>
              <w:rPr>
                <w:color w:val="000000"/>
                <w:sz w:val="22"/>
                <w:szCs w:val="22"/>
              </w:rPr>
            </w:pPr>
            <w:r w:rsidRPr="009E6D34">
              <w:rPr>
                <w:color w:val="000000"/>
                <w:sz w:val="22"/>
                <w:szCs w:val="22"/>
              </w:rPr>
              <w:t>119,969</w:t>
            </w:r>
          </w:p>
        </w:tc>
        <w:tc>
          <w:tcPr>
            <w:tcW w:w="1207" w:type="dxa"/>
            <w:tcBorders>
              <w:top w:val="nil"/>
              <w:left w:val="nil"/>
              <w:bottom w:val="single" w:sz="4" w:space="0" w:color="auto"/>
              <w:right w:val="nil"/>
            </w:tcBorders>
            <w:shd w:val="clear" w:color="000000" w:fill="FFFFFF"/>
            <w:noWrap/>
            <w:vAlign w:val="bottom"/>
            <w:hideMark/>
          </w:tcPr>
          <w:p w14:paraId="1CE2B324" w14:textId="77777777" w:rsidR="009E6D34" w:rsidRPr="009E6D34" w:rsidRDefault="009E6D34" w:rsidP="00B92709">
            <w:pPr>
              <w:jc w:val="center"/>
              <w:rPr>
                <w:color w:val="000000"/>
                <w:sz w:val="22"/>
                <w:szCs w:val="22"/>
              </w:rPr>
            </w:pPr>
            <w:r w:rsidRPr="009E6D34">
              <w:rPr>
                <w:color w:val="000000"/>
                <w:sz w:val="22"/>
                <w:szCs w:val="22"/>
              </w:rPr>
              <w:t>n/a</w:t>
            </w:r>
          </w:p>
        </w:tc>
        <w:tc>
          <w:tcPr>
            <w:tcW w:w="1207" w:type="dxa"/>
            <w:tcBorders>
              <w:top w:val="nil"/>
              <w:left w:val="nil"/>
              <w:bottom w:val="single" w:sz="4" w:space="0" w:color="auto"/>
              <w:right w:val="single" w:sz="4" w:space="0" w:color="auto"/>
            </w:tcBorders>
            <w:shd w:val="clear" w:color="000000" w:fill="FFFFFF"/>
            <w:noWrap/>
            <w:vAlign w:val="bottom"/>
            <w:hideMark/>
          </w:tcPr>
          <w:p w14:paraId="3FFF28C5" w14:textId="77777777" w:rsidR="009E6D34" w:rsidRPr="009E6D34" w:rsidRDefault="009E6D34" w:rsidP="00B92709">
            <w:pPr>
              <w:jc w:val="center"/>
              <w:rPr>
                <w:color w:val="000000"/>
                <w:sz w:val="22"/>
                <w:szCs w:val="22"/>
              </w:rPr>
            </w:pPr>
            <w:r w:rsidRPr="009E6D34">
              <w:rPr>
                <w:color w:val="000000"/>
                <w:sz w:val="22"/>
                <w:szCs w:val="22"/>
              </w:rPr>
              <w:t>n/a</w:t>
            </w:r>
          </w:p>
        </w:tc>
      </w:tr>
    </w:tbl>
    <w:p w14:paraId="3C3709EB" w14:textId="77777777" w:rsidR="009E6D34" w:rsidRPr="009E6D34" w:rsidRDefault="009E6D34" w:rsidP="009E6D34">
      <w:pPr>
        <w:rPr>
          <w:color w:val="000000"/>
          <w:sz w:val="22"/>
          <w:szCs w:val="22"/>
        </w:rPr>
      </w:pPr>
    </w:p>
    <w:p w14:paraId="26845251" w14:textId="77777777" w:rsidR="009E6D34" w:rsidRPr="009E6D34" w:rsidRDefault="009E6D34" w:rsidP="009E6D34">
      <w:pPr>
        <w:pStyle w:val="Default"/>
        <w:rPr>
          <w:sz w:val="22"/>
          <w:szCs w:val="22"/>
        </w:rPr>
      </w:pPr>
      <w:r w:rsidRPr="009E6D34">
        <w:rPr>
          <w:sz w:val="22"/>
          <w:szCs w:val="22"/>
        </w:rPr>
        <w:t xml:space="preserve">The vast majority of rock sole in the BSAI region is northern rock sole, and it </w:t>
      </w:r>
      <w:proofErr w:type="gramStart"/>
      <w:r w:rsidRPr="009E6D34">
        <w:rPr>
          <w:sz w:val="22"/>
          <w:szCs w:val="22"/>
        </w:rPr>
        <w:t>is managed</w:t>
      </w:r>
      <w:proofErr w:type="gramEnd"/>
      <w:r w:rsidRPr="009E6D34">
        <w:rPr>
          <w:sz w:val="22"/>
          <w:szCs w:val="22"/>
        </w:rPr>
        <w:t xml:space="preserve"> as a single stock. The stock </w:t>
      </w:r>
      <w:proofErr w:type="gramStart"/>
      <w:r w:rsidRPr="009E6D34">
        <w:rPr>
          <w:sz w:val="22"/>
          <w:szCs w:val="22"/>
        </w:rPr>
        <w:t>is assessed</w:t>
      </w:r>
      <w:proofErr w:type="gramEnd"/>
      <w:r w:rsidRPr="009E6D34">
        <w:rPr>
          <w:sz w:val="22"/>
          <w:szCs w:val="22"/>
        </w:rPr>
        <w:t xml:space="preserve"> biennially using an age-structured population dynamics model implemented </w:t>
      </w:r>
      <w:r w:rsidRPr="009E6D34">
        <w:rPr>
          <w:sz w:val="22"/>
          <w:szCs w:val="22"/>
        </w:rPr>
        <w:lastRenderedPageBreak/>
        <w:t xml:space="preserve">in the software program AD Model Builder. No changes </w:t>
      </w:r>
      <w:proofErr w:type="gramStart"/>
      <w:r w:rsidRPr="009E6D34">
        <w:rPr>
          <w:sz w:val="22"/>
          <w:szCs w:val="22"/>
        </w:rPr>
        <w:t>were made</w:t>
      </w:r>
      <w:proofErr w:type="gramEnd"/>
      <w:r w:rsidRPr="009E6D34">
        <w:rPr>
          <w:sz w:val="22"/>
          <w:szCs w:val="22"/>
        </w:rPr>
        <w:t xml:space="preserve"> to the assessment methodology in the accepted model. However, two alternative models </w:t>
      </w:r>
      <w:proofErr w:type="gramStart"/>
      <w:r w:rsidRPr="009E6D34">
        <w:rPr>
          <w:i/>
          <w:iCs/>
          <w:sz w:val="22"/>
          <w:szCs w:val="22"/>
        </w:rPr>
        <w:t xml:space="preserve">were </w:t>
      </w:r>
      <w:r w:rsidRPr="009E6D34">
        <w:rPr>
          <w:sz w:val="22"/>
          <w:szCs w:val="22"/>
        </w:rPr>
        <w:t>used</w:t>
      </w:r>
      <w:proofErr w:type="gramEnd"/>
      <w:r w:rsidRPr="009E6D34">
        <w:rPr>
          <w:sz w:val="22"/>
          <w:szCs w:val="22"/>
        </w:rPr>
        <w:t xml:space="preserve">, but only as a method for deriving the reductions from maxABC. </w:t>
      </w:r>
      <w:proofErr w:type="gramStart"/>
      <w:r w:rsidRPr="009E6D34">
        <w:rPr>
          <w:sz w:val="22"/>
          <w:szCs w:val="22"/>
        </w:rPr>
        <w:t>Changes to the input data include 2022 catch biomass through October 10, 2022, and 2021 catches, 2020 catch biomass was updated to reflect October – December 2020 catches, 2020-2021 fishery age composition data were added to the model, 2020-2021 survey age composition data were added to the model, and 2021-2022 Eastern Bering Sea (EBS) shelf survey biomass was added to the model</w:t>
      </w:r>
      <w:proofErr w:type="gramEnd"/>
      <w:r w:rsidRPr="009E6D34">
        <w:rPr>
          <w:sz w:val="22"/>
          <w:szCs w:val="22"/>
        </w:rPr>
        <w:t xml:space="preserve"> </w:t>
      </w:r>
    </w:p>
    <w:p w14:paraId="3D56AE04" w14:textId="77777777" w:rsidR="009E6D34" w:rsidRPr="009E6D34" w:rsidRDefault="009E6D34" w:rsidP="009E6D34">
      <w:pPr>
        <w:outlineLvl w:val="4"/>
        <w:rPr>
          <w:sz w:val="22"/>
          <w:szCs w:val="22"/>
        </w:rPr>
      </w:pPr>
    </w:p>
    <w:p w14:paraId="415E98F5" w14:textId="77777777" w:rsidR="009E6D34" w:rsidRPr="009E6D34" w:rsidRDefault="009E6D34" w:rsidP="009E6D34">
      <w:pPr>
        <w:outlineLvl w:val="4"/>
        <w:rPr>
          <w:sz w:val="22"/>
          <w:szCs w:val="22"/>
        </w:rPr>
      </w:pPr>
      <w:r w:rsidRPr="009E6D34">
        <w:rPr>
          <w:sz w:val="22"/>
          <w:szCs w:val="22"/>
        </w:rPr>
        <w:t xml:space="preserve">Spawning biomass was at a low in 2008, increased through the early 2010s, steadily decreased from 2015-2020, and models indicate steady decline. Recruitment </w:t>
      </w:r>
      <w:proofErr w:type="gramStart"/>
      <w:r w:rsidRPr="009E6D34">
        <w:rPr>
          <w:sz w:val="22"/>
          <w:szCs w:val="22"/>
        </w:rPr>
        <w:t>was maintained</w:t>
      </w:r>
      <w:proofErr w:type="gramEnd"/>
      <w:r w:rsidRPr="009E6D34">
        <w:rPr>
          <w:sz w:val="22"/>
          <w:szCs w:val="22"/>
        </w:rPr>
        <w:t xml:space="preserve"> at near historic lows for several years straight in the mid-2010s. More </w:t>
      </w:r>
      <w:proofErr w:type="gramStart"/>
      <w:r w:rsidRPr="009E6D34">
        <w:rPr>
          <w:sz w:val="22"/>
          <w:szCs w:val="22"/>
        </w:rPr>
        <w:t>recently</w:t>
      </w:r>
      <w:proofErr w:type="gramEnd"/>
      <w:r w:rsidRPr="009E6D34">
        <w:rPr>
          <w:sz w:val="22"/>
          <w:szCs w:val="22"/>
        </w:rPr>
        <w:t xml:space="preserve"> a pulse of recruits has begun to show up in the surveys including a strong 2020-year class; however, there was uncertainty regarding the true strength of this year class. The stock assessment model projects a 2023 female spawning biomass of 260,887 t, an 18.6% decrease from the previous 2023 female spawning biomass estimate of 320,399 t. The projected spawning biomass for 2024 is 291,774 t. Exploitation rates are relatively low and recent catches have typically been well below TAC’s.</w:t>
      </w:r>
    </w:p>
    <w:p w14:paraId="651ED01C" w14:textId="77777777" w:rsidR="009E6D34" w:rsidRPr="009E6D34" w:rsidRDefault="009E6D34" w:rsidP="009E6D34">
      <w:pPr>
        <w:outlineLvl w:val="4"/>
        <w:rPr>
          <w:iCs/>
          <w:color w:val="000000"/>
          <w:sz w:val="22"/>
          <w:szCs w:val="22"/>
        </w:rPr>
      </w:pPr>
    </w:p>
    <w:p w14:paraId="6A22AB98" w14:textId="77777777" w:rsidR="009E6D34" w:rsidRPr="009E6D34" w:rsidRDefault="009E6D34" w:rsidP="009E6D34">
      <w:pPr>
        <w:outlineLvl w:val="4"/>
        <w:rPr>
          <w:iCs/>
          <w:color w:val="000000"/>
          <w:sz w:val="22"/>
          <w:szCs w:val="22"/>
        </w:rPr>
      </w:pPr>
      <w:r w:rsidRPr="009E6D34">
        <w:rPr>
          <w:iCs/>
          <w:color w:val="000000"/>
          <w:sz w:val="22"/>
          <w:szCs w:val="22"/>
        </w:rPr>
        <w:t xml:space="preserve">For further </w:t>
      </w:r>
      <w:proofErr w:type="gramStart"/>
      <w:r w:rsidRPr="009E6D34">
        <w:rPr>
          <w:iCs/>
          <w:color w:val="000000"/>
          <w:sz w:val="22"/>
          <w:szCs w:val="22"/>
        </w:rPr>
        <w:t>information</w:t>
      </w:r>
      <w:proofErr w:type="gramEnd"/>
      <w:r w:rsidRPr="009E6D34">
        <w:rPr>
          <w:iCs/>
          <w:color w:val="000000"/>
          <w:sz w:val="22"/>
          <w:szCs w:val="22"/>
        </w:rPr>
        <w:t xml:space="preserve"> contact Carey McGilliard, carey.mcgilliard@noaa.gov</w:t>
      </w:r>
    </w:p>
    <w:p w14:paraId="0D041FDA" w14:textId="77777777" w:rsidR="00DE3EE8" w:rsidRPr="002B7E6B" w:rsidRDefault="00DE3EE8" w:rsidP="00DE3EE8">
      <w:pPr>
        <w:rPr>
          <w:sz w:val="22"/>
          <w:szCs w:val="22"/>
        </w:rPr>
      </w:pPr>
    </w:p>
    <w:p w14:paraId="7246B66C" w14:textId="61BDB19C" w:rsidR="00DE3EE8" w:rsidRDefault="00DE3EE8" w:rsidP="00017EC4">
      <w:pPr>
        <w:pStyle w:val="Heading5"/>
      </w:pPr>
      <w:bookmarkStart w:id="151" w:name="_Toc131503892"/>
      <w:r w:rsidRPr="00017EC4">
        <w:t>Northern and southern rock sole</w:t>
      </w:r>
      <w:r w:rsidR="0024271A">
        <w:t xml:space="preserve"> – </w:t>
      </w:r>
      <w:r w:rsidRPr="00017EC4">
        <w:t xml:space="preserve">Gulf of Alaska </w:t>
      </w:r>
      <w:r w:rsidR="00017EC4">
        <w:t>–</w:t>
      </w:r>
      <w:r w:rsidRPr="00017EC4">
        <w:t xml:space="preserve"> REFM</w:t>
      </w:r>
      <w:bookmarkEnd w:id="151"/>
    </w:p>
    <w:p w14:paraId="31927437" w14:textId="77777777" w:rsidR="00017EC4" w:rsidRPr="00017EC4" w:rsidRDefault="00017EC4" w:rsidP="00017EC4"/>
    <w:p w14:paraId="62664DF3" w14:textId="52A597DB" w:rsidR="009E6D34" w:rsidRDefault="009E6D34" w:rsidP="009E6D34">
      <w:pPr>
        <w:rPr>
          <w:color w:val="000000"/>
          <w:sz w:val="22"/>
          <w:szCs w:val="22"/>
        </w:rPr>
      </w:pPr>
      <w:r w:rsidRPr="009E6D34">
        <w:rPr>
          <w:color w:val="000000"/>
          <w:sz w:val="22"/>
          <w:szCs w:val="22"/>
        </w:rPr>
        <w:t xml:space="preserve">Northern and southern rock sole in the GOA </w:t>
      </w:r>
      <w:proofErr w:type="gramStart"/>
      <w:r w:rsidRPr="009E6D34">
        <w:rPr>
          <w:color w:val="000000"/>
          <w:sz w:val="22"/>
          <w:szCs w:val="22"/>
        </w:rPr>
        <w:t>are managed</w:t>
      </w:r>
      <w:proofErr w:type="gramEnd"/>
      <w:r w:rsidRPr="009E6D34">
        <w:rPr>
          <w:color w:val="000000"/>
          <w:sz w:val="22"/>
          <w:szCs w:val="22"/>
        </w:rPr>
        <w:t xml:space="preserve"> as part of the shallow-water flatfish complex and assessments are conducted every four years. This year was a partial assessment for this stock. More details </w:t>
      </w:r>
      <w:proofErr w:type="gramStart"/>
      <w:r w:rsidRPr="009E6D34">
        <w:rPr>
          <w:color w:val="000000"/>
          <w:sz w:val="22"/>
          <w:szCs w:val="22"/>
        </w:rPr>
        <w:t>are given</w:t>
      </w:r>
      <w:proofErr w:type="gramEnd"/>
      <w:r w:rsidRPr="009E6D34">
        <w:rPr>
          <w:color w:val="000000"/>
          <w:sz w:val="22"/>
          <w:szCs w:val="22"/>
        </w:rPr>
        <w:t xml:space="preserve"> in the shallow-water flatfish description.</w:t>
      </w:r>
    </w:p>
    <w:p w14:paraId="35BF8820" w14:textId="77777777" w:rsidR="009E6D34" w:rsidRPr="009E6D34" w:rsidRDefault="009E6D34" w:rsidP="009E6D34">
      <w:pPr>
        <w:rPr>
          <w:color w:val="000000"/>
          <w:sz w:val="22"/>
          <w:szCs w:val="22"/>
        </w:rPr>
      </w:pPr>
    </w:p>
    <w:p w14:paraId="09C93D1F" w14:textId="77777777" w:rsidR="009E6D34" w:rsidRPr="009E6D34" w:rsidRDefault="009E6D34" w:rsidP="009E6D34">
      <w:pPr>
        <w:rPr>
          <w:sz w:val="22"/>
          <w:szCs w:val="22"/>
        </w:rPr>
      </w:pPr>
      <w:r w:rsidRPr="009E6D34">
        <w:rPr>
          <w:color w:val="000000"/>
          <w:sz w:val="22"/>
          <w:szCs w:val="22"/>
        </w:rPr>
        <w:t xml:space="preserve">For further </w:t>
      </w:r>
      <w:proofErr w:type="gramStart"/>
      <w:r w:rsidRPr="009E6D34">
        <w:rPr>
          <w:color w:val="000000"/>
          <w:sz w:val="22"/>
          <w:szCs w:val="22"/>
        </w:rPr>
        <w:t>information</w:t>
      </w:r>
      <w:proofErr w:type="gramEnd"/>
      <w:r w:rsidRPr="009E6D34">
        <w:rPr>
          <w:color w:val="000000"/>
          <w:sz w:val="22"/>
          <w:szCs w:val="22"/>
        </w:rPr>
        <w:t xml:space="preserve"> contact Meaghan Bryan, meaghan.bryan@noaa.gov</w:t>
      </w:r>
    </w:p>
    <w:p w14:paraId="022A0CB7" w14:textId="77777777" w:rsidR="00DE3EE8" w:rsidRPr="002B7E6B" w:rsidRDefault="00DE3EE8" w:rsidP="00DE3EE8">
      <w:pPr>
        <w:rPr>
          <w:sz w:val="22"/>
          <w:szCs w:val="22"/>
        </w:rPr>
      </w:pPr>
    </w:p>
    <w:p w14:paraId="22366C00" w14:textId="7A99BFF7" w:rsidR="00DE3EE8" w:rsidRDefault="00DE3EE8" w:rsidP="00017EC4">
      <w:pPr>
        <w:pStyle w:val="Heading5"/>
      </w:pPr>
      <w:bookmarkStart w:id="152" w:name="_Toc131503893"/>
      <w:r w:rsidRPr="00017EC4">
        <w:t>Flathead sole</w:t>
      </w:r>
      <w:r w:rsidR="0024271A">
        <w:t xml:space="preserve"> – </w:t>
      </w:r>
      <w:r w:rsidRPr="00017EC4">
        <w:t xml:space="preserve">Bering Sea and Aleutian Islands </w:t>
      </w:r>
      <w:r w:rsidR="00017EC4">
        <w:t>–</w:t>
      </w:r>
      <w:r w:rsidRPr="00017EC4">
        <w:t xml:space="preserve"> REFM</w:t>
      </w:r>
      <w:bookmarkEnd w:id="152"/>
    </w:p>
    <w:p w14:paraId="74F19246" w14:textId="77777777" w:rsidR="009E6D34" w:rsidRPr="009E6D34" w:rsidRDefault="009E6D34" w:rsidP="009E6D34">
      <w:pPr>
        <w:outlineLvl w:val="4"/>
        <w:rPr>
          <w:b/>
          <w:bCs/>
          <w:sz w:val="22"/>
          <w:szCs w:val="22"/>
        </w:rPr>
      </w:pPr>
    </w:p>
    <w:tbl>
      <w:tblPr>
        <w:tblW w:w="9151" w:type="dxa"/>
        <w:tblLook w:val="04A0" w:firstRow="1" w:lastRow="0" w:firstColumn="1" w:lastColumn="0" w:noHBand="0" w:noVBand="1"/>
      </w:tblPr>
      <w:tblGrid>
        <w:gridCol w:w="1187"/>
        <w:gridCol w:w="1187"/>
        <w:gridCol w:w="2029"/>
        <w:gridCol w:w="1187"/>
        <w:gridCol w:w="1187"/>
        <w:gridCol w:w="1187"/>
        <w:gridCol w:w="1187"/>
      </w:tblGrid>
      <w:tr w:rsidR="009E6D34" w:rsidRPr="009E6D34" w14:paraId="3C2A0F35" w14:textId="77777777" w:rsidTr="00B92709">
        <w:trPr>
          <w:trHeight w:val="303"/>
        </w:trPr>
        <w:tc>
          <w:tcPr>
            <w:tcW w:w="1187" w:type="dxa"/>
            <w:tcBorders>
              <w:top w:val="single" w:sz="4" w:space="0" w:color="auto"/>
              <w:left w:val="single" w:sz="4" w:space="0" w:color="auto"/>
              <w:bottom w:val="single" w:sz="4" w:space="0" w:color="auto"/>
              <w:right w:val="nil"/>
            </w:tcBorders>
            <w:shd w:val="clear" w:color="000000" w:fill="FFFFFF"/>
            <w:noWrap/>
            <w:vAlign w:val="bottom"/>
            <w:hideMark/>
          </w:tcPr>
          <w:p w14:paraId="72856CBB" w14:textId="77777777" w:rsidR="009E6D34" w:rsidRPr="009E6D34" w:rsidRDefault="009E6D34" w:rsidP="00B92709">
            <w:pPr>
              <w:jc w:val="center"/>
              <w:rPr>
                <w:color w:val="000000"/>
                <w:sz w:val="22"/>
                <w:szCs w:val="22"/>
              </w:rPr>
            </w:pPr>
            <w:r w:rsidRPr="009E6D34">
              <w:rPr>
                <w:color w:val="000000"/>
                <w:sz w:val="22"/>
                <w:szCs w:val="22"/>
              </w:rPr>
              <w:t>Area</w:t>
            </w:r>
          </w:p>
        </w:tc>
        <w:tc>
          <w:tcPr>
            <w:tcW w:w="1187" w:type="dxa"/>
            <w:tcBorders>
              <w:top w:val="single" w:sz="4" w:space="0" w:color="auto"/>
              <w:left w:val="nil"/>
              <w:bottom w:val="single" w:sz="4" w:space="0" w:color="auto"/>
              <w:right w:val="nil"/>
            </w:tcBorders>
            <w:shd w:val="clear" w:color="000000" w:fill="FFFFFF"/>
            <w:noWrap/>
            <w:vAlign w:val="bottom"/>
            <w:hideMark/>
          </w:tcPr>
          <w:p w14:paraId="03A931F5" w14:textId="77777777" w:rsidR="009E6D34" w:rsidRPr="009E6D34" w:rsidRDefault="009E6D34" w:rsidP="00B92709">
            <w:pPr>
              <w:jc w:val="center"/>
              <w:rPr>
                <w:color w:val="000000"/>
                <w:sz w:val="22"/>
                <w:szCs w:val="22"/>
              </w:rPr>
            </w:pPr>
            <w:r w:rsidRPr="009E6D34">
              <w:rPr>
                <w:color w:val="000000"/>
                <w:sz w:val="22"/>
                <w:szCs w:val="22"/>
              </w:rPr>
              <w:t>Year</w:t>
            </w:r>
          </w:p>
        </w:tc>
        <w:tc>
          <w:tcPr>
            <w:tcW w:w="2029" w:type="dxa"/>
            <w:tcBorders>
              <w:top w:val="single" w:sz="4" w:space="0" w:color="auto"/>
              <w:left w:val="nil"/>
              <w:bottom w:val="single" w:sz="4" w:space="0" w:color="auto"/>
              <w:right w:val="nil"/>
            </w:tcBorders>
            <w:shd w:val="clear" w:color="000000" w:fill="FFFFFF"/>
            <w:noWrap/>
            <w:vAlign w:val="bottom"/>
            <w:hideMark/>
          </w:tcPr>
          <w:p w14:paraId="0CEE2666" w14:textId="77777777" w:rsidR="009E6D34" w:rsidRPr="009E6D34" w:rsidRDefault="009E6D34" w:rsidP="00B92709">
            <w:pPr>
              <w:jc w:val="center"/>
              <w:rPr>
                <w:color w:val="000000"/>
                <w:sz w:val="22"/>
                <w:szCs w:val="22"/>
              </w:rPr>
            </w:pPr>
            <w:r w:rsidRPr="009E6D34">
              <w:rPr>
                <w:color w:val="000000"/>
                <w:sz w:val="22"/>
                <w:szCs w:val="22"/>
              </w:rPr>
              <w:t>Age 3+Biomass</w:t>
            </w:r>
          </w:p>
        </w:tc>
        <w:tc>
          <w:tcPr>
            <w:tcW w:w="1187" w:type="dxa"/>
            <w:tcBorders>
              <w:top w:val="single" w:sz="4" w:space="0" w:color="auto"/>
              <w:left w:val="nil"/>
              <w:bottom w:val="single" w:sz="4" w:space="0" w:color="auto"/>
              <w:right w:val="nil"/>
            </w:tcBorders>
            <w:shd w:val="clear" w:color="000000" w:fill="FFFFFF"/>
            <w:noWrap/>
            <w:vAlign w:val="bottom"/>
            <w:hideMark/>
          </w:tcPr>
          <w:p w14:paraId="2743D8D8" w14:textId="77777777" w:rsidR="009E6D34" w:rsidRPr="009E6D34" w:rsidRDefault="009E6D34" w:rsidP="00B92709">
            <w:pPr>
              <w:jc w:val="center"/>
              <w:rPr>
                <w:color w:val="000000"/>
                <w:sz w:val="22"/>
                <w:szCs w:val="22"/>
              </w:rPr>
            </w:pPr>
            <w:r w:rsidRPr="009E6D34">
              <w:rPr>
                <w:color w:val="000000"/>
                <w:sz w:val="22"/>
                <w:szCs w:val="22"/>
              </w:rPr>
              <w:t>OFL</w:t>
            </w:r>
          </w:p>
        </w:tc>
        <w:tc>
          <w:tcPr>
            <w:tcW w:w="1187" w:type="dxa"/>
            <w:tcBorders>
              <w:top w:val="single" w:sz="4" w:space="0" w:color="auto"/>
              <w:left w:val="nil"/>
              <w:bottom w:val="single" w:sz="4" w:space="0" w:color="auto"/>
              <w:right w:val="nil"/>
            </w:tcBorders>
            <w:shd w:val="clear" w:color="000000" w:fill="FFFFFF"/>
            <w:noWrap/>
            <w:vAlign w:val="bottom"/>
            <w:hideMark/>
          </w:tcPr>
          <w:p w14:paraId="70E29C60" w14:textId="77777777" w:rsidR="009E6D34" w:rsidRPr="009E6D34" w:rsidRDefault="009E6D34" w:rsidP="00B92709">
            <w:pPr>
              <w:jc w:val="center"/>
              <w:rPr>
                <w:color w:val="000000"/>
                <w:sz w:val="22"/>
                <w:szCs w:val="22"/>
              </w:rPr>
            </w:pPr>
            <w:r w:rsidRPr="009E6D34">
              <w:rPr>
                <w:color w:val="000000"/>
                <w:sz w:val="22"/>
                <w:szCs w:val="22"/>
              </w:rPr>
              <w:t>ABC</w:t>
            </w:r>
          </w:p>
        </w:tc>
        <w:tc>
          <w:tcPr>
            <w:tcW w:w="1187" w:type="dxa"/>
            <w:tcBorders>
              <w:top w:val="single" w:sz="4" w:space="0" w:color="auto"/>
              <w:left w:val="nil"/>
              <w:bottom w:val="single" w:sz="4" w:space="0" w:color="auto"/>
              <w:right w:val="nil"/>
            </w:tcBorders>
            <w:shd w:val="clear" w:color="000000" w:fill="FFFFFF"/>
            <w:noWrap/>
            <w:vAlign w:val="bottom"/>
            <w:hideMark/>
          </w:tcPr>
          <w:p w14:paraId="4095FAC6" w14:textId="77777777" w:rsidR="009E6D34" w:rsidRPr="009E6D34" w:rsidRDefault="009E6D34" w:rsidP="00B92709">
            <w:pPr>
              <w:jc w:val="center"/>
              <w:rPr>
                <w:color w:val="000000"/>
                <w:sz w:val="22"/>
                <w:szCs w:val="22"/>
              </w:rPr>
            </w:pPr>
            <w:r w:rsidRPr="009E6D34">
              <w:rPr>
                <w:color w:val="000000"/>
                <w:sz w:val="22"/>
                <w:szCs w:val="22"/>
              </w:rPr>
              <w:t>TAC</w:t>
            </w:r>
          </w:p>
        </w:tc>
        <w:tc>
          <w:tcPr>
            <w:tcW w:w="1187" w:type="dxa"/>
            <w:tcBorders>
              <w:top w:val="single" w:sz="4" w:space="0" w:color="auto"/>
              <w:left w:val="nil"/>
              <w:bottom w:val="single" w:sz="4" w:space="0" w:color="auto"/>
              <w:right w:val="single" w:sz="4" w:space="0" w:color="auto"/>
            </w:tcBorders>
            <w:shd w:val="clear" w:color="000000" w:fill="FFFFFF"/>
            <w:noWrap/>
            <w:vAlign w:val="bottom"/>
            <w:hideMark/>
          </w:tcPr>
          <w:p w14:paraId="54C246FC" w14:textId="77777777" w:rsidR="009E6D34" w:rsidRPr="009E6D34" w:rsidRDefault="009E6D34" w:rsidP="00B92709">
            <w:pPr>
              <w:jc w:val="center"/>
              <w:rPr>
                <w:color w:val="000000"/>
                <w:sz w:val="22"/>
                <w:szCs w:val="22"/>
              </w:rPr>
            </w:pPr>
            <w:r w:rsidRPr="009E6D34">
              <w:rPr>
                <w:color w:val="000000"/>
                <w:sz w:val="22"/>
                <w:szCs w:val="22"/>
              </w:rPr>
              <w:t>Catch</w:t>
            </w:r>
          </w:p>
        </w:tc>
      </w:tr>
      <w:tr w:rsidR="009E6D34" w:rsidRPr="009E6D34" w14:paraId="05C479E5" w14:textId="77777777" w:rsidTr="00B92709">
        <w:trPr>
          <w:trHeight w:val="303"/>
        </w:trPr>
        <w:tc>
          <w:tcPr>
            <w:tcW w:w="1187" w:type="dxa"/>
            <w:tcBorders>
              <w:top w:val="nil"/>
              <w:left w:val="single" w:sz="4" w:space="0" w:color="auto"/>
              <w:bottom w:val="nil"/>
              <w:right w:val="nil"/>
            </w:tcBorders>
            <w:shd w:val="clear" w:color="000000" w:fill="FFFFFF"/>
            <w:noWrap/>
            <w:vAlign w:val="bottom"/>
            <w:hideMark/>
          </w:tcPr>
          <w:p w14:paraId="3496400B" w14:textId="77777777" w:rsidR="009E6D34" w:rsidRPr="009E6D34" w:rsidRDefault="009E6D34" w:rsidP="00B92709">
            <w:pPr>
              <w:jc w:val="center"/>
              <w:rPr>
                <w:color w:val="000000"/>
                <w:sz w:val="22"/>
                <w:szCs w:val="22"/>
              </w:rPr>
            </w:pPr>
            <w:r w:rsidRPr="009E6D34">
              <w:rPr>
                <w:color w:val="000000"/>
                <w:sz w:val="22"/>
                <w:szCs w:val="22"/>
              </w:rPr>
              <w:t>BSAI</w:t>
            </w:r>
          </w:p>
        </w:tc>
        <w:tc>
          <w:tcPr>
            <w:tcW w:w="1187" w:type="dxa"/>
            <w:tcBorders>
              <w:top w:val="nil"/>
              <w:left w:val="nil"/>
              <w:bottom w:val="nil"/>
              <w:right w:val="nil"/>
            </w:tcBorders>
            <w:shd w:val="clear" w:color="000000" w:fill="FFFFFF"/>
            <w:noWrap/>
            <w:vAlign w:val="bottom"/>
            <w:hideMark/>
          </w:tcPr>
          <w:p w14:paraId="0323AD08" w14:textId="77777777" w:rsidR="009E6D34" w:rsidRPr="009E6D34" w:rsidRDefault="009E6D34" w:rsidP="00B92709">
            <w:pPr>
              <w:jc w:val="center"/>
              <w:rPr>
                <w:color w:val="000000"/>
                <w:sz w:val="22"/>
                <w:szCs w:val="22"/>
              </w:rPr>
            </w:pPr>
            <w:r w:rsidRPr="009E6D34">
              <w:rPr>
                <w:color w:val="000000"/>
                <w:sz w:val="22"/>
                <w:szCs w:val="22"/>
              </w:rPr>
              <w:t>2021</w:t>
            </w:r>
          </w:p>
        </w:tc>
        <w:tc>
          <w:tcPr>
            <w:tcW w:w="2029" w:type="dxa"/>
            <w:tcBorders>
              <w:top w:val="nil"/>
              <w:left w:val="nil"/>
              <w:bottom w:val="nil"/>
              <w:right w:val="nil"/>
            </w:tcBorders>
            <w:shd w:val="clear" w:color="000000" w:fill="FFFFFF"/>
            <w:noWrap/>
            <w:vAlign w:val="bottom"/>
            <w:hideMark/>
          </w:tcPr>
          <w:p w14:paraId="0AB1C6E1" w14:textId="77777777" w:rsidR="009E6D34" w:rsidRPr="009E6D34" w:rsidRDefault="009E6D34" w:rsidP="00B92709">
            <w:pPr>
              <w:jc w:val="center"/>
              <w:rPr>
                <w:color w:val="000000"/>
                <w:sz w:val="22"/>
                <w:szCs w:val="22"/>
              </w:rPr>
            </w:pPr>
            <w:r w:rsidRPr="009E6D34">
              <w:rPr>
                <w:color w:val="000000"/>
                <w:sz w:val="22"/>
                <w:szCs w:val="22"/>
              </w:rPr>
              <w:t>602,497</w:t>
            </w:r>
          </w:p>
        </w:tc>
        <w:tc>
          <w:tcPr>
            <w:tcW w:w="1187" w:type="dxa"/>
            <w:tcBorders>
              <w:top w:val="nil"/>
              <w:left w:val="nil"/>
              <w:bottom w:val="nil"/>
              <w:right w:val="nil"/>
            </w:tcBorders>
            <w:shd w:val="clear" w:color="000000" w:fill="FFFFFF"/>
            <w:noWrap/>
            <w:vAlign w:val="bottom"/>
            <w:hideMark/>
          </w:tcPr>
          <w:p w14:paraId="61275757" w14:textId="77777777" w:rsidR="009E6D34" w:rsidRPr="009E6D34" w:rsidRDefault="009E6D34" w:rsidP="00B92709">
            <w:pPr>
              <w:jc w:val="center"/>
              <w:rPr>
                <w:color w:val="000000"/>
                <w:sz w:val="22"/>
                <w:szCs w:val="22"/>
              </w:rPr>
            </w:pPr>
            <w:r w:rsidRPr="009E6D34">
              <w:rPr>
                <w:color w:val="000000"/>
                <w:sz w:val="22"/>
                <w:szCs w:val="22"/>
              </w:rPr>
              <w:t>75,863</w:t>
            </w:r>
          </w:p>
        </w:tc>
        <w:tc>
          <w:tcPr>
            <w:tcW w:w="1187" w:type="dxa"/>
            <w:tcBorders>
              <w:top w:val="nil"/>
              <w:left w:val="nil"/>
              <w:bottom w:val="nil"/>
              <w:right w:val="nil"/>
            </w:tcBorders>
            <w:shd w:val="clear" w:color="000000" w:fill="FFFFFF"/>
            <w:noWrap/>
            <w:vAlign w:val="bottom"/>
            <w:hideMark/>
          </w:tcPr>
          <w:p w14:paraId="3D4E9EE1" w14:textId="77777777" w:rsidR="009E6D34" w:rsidRPr="009E6D34" w:rsidRDefault="009E6D34" w:rsidP="00B92709">
            <w:pPr>
              <w:jc w:val="center"/>
              <w:rPr>
                <w:color w:val="000000"/>
                <w:sz w:val="22"/>
                <w:szCs w:val="22"/>
              </w:rPr>
            </w:pPr>
            <w:r w:rsidRPr="009E6D34">
              <w:rPr>
                <w:color w:val="000000"/>
                <w:sz w:val="22"/>
                <w:szCs w:val="22"/>
              </w:rPr>
              <w:t>62,567</w:t>
            </w:r>
          </w:p>
        </w:tc>
        <w:tc>
          <w:tcPr>
            <w:tcW w:w="1187" w:type="dxa"/>
            <w:tcBorders>
              <w:top w:val="nil"/>
              <w:left w:val="nil"/>
              <w:bottom w:val="nil"/>
              <w:right w:val="nil"/>
            </w:tcBorders>
            <w:shd w:val="clear" w:color="000000" w:fill="FFFFFF"/>
            <w:noWrap/>
            <w:vAlign w:val="bottom"/>
            <w:hideMark/>
          </w:tcPr>
          <w:p w14:paraId="0C31F914" w14:textId="77777777" w:rsidR="009E6D34" w:rsidRPr="009E6D34" w:rsidRDefault="009E6D34" w:rsidP="00B92709">
            <w:pPr>
              <w:jc w:val="center"/>
              <w:rPr>
                <w:color w:val="000000"/>
                <w:sz w:val="22"/>
                <w:szCs w:val="22"/>
              </w:rPr>
            </w:pPr>
            <w:r w:rsidRPr="009E6D34">
              <w:rPr>
                <w:color w:val="000000"/>
                <w:sz w:val="22"/>
                <w:szCs w:val="22"/>
              </w:rPr>
              <w:t>25,000</w:t>
            </w:r>
          </w:p>
        </w:tc>
        <w:tc>
          <w:tcPr>
            <w:tcW w:w="1187" w:type="dxa"/>
            <w:tcBorders>
              <w:top w:val="nil"/>
              <w:left w:val="nil"/>
              <w:bottom w:val="nil"/>
              <w:right w:val="single" w:sz="4" w:space="0" w:color="auto"/>
            </w:tcBorders>
            <w:shd w:val="clear" w:color="000000" w:fill="FFFFFF"/>
            <w:noWrap/>
            <w:vAlign w:val="bottom"/>
            <w:hideMark/>
          </w:tcPr>
          <w:p w14:paraId="742D37D9" w14:textId="77777777" w:rsidR="009E6D34" w:rsidRPr="009E6D34" w:rsidRDefault="009E6D34" w:rsidP="00B92709">
            <w:pPr>
              <w:jc w:val="center"/>
              <w:rPr>
                <w:color w:val="000000"/>
                <w:sz w:val="22"/>
                <w:szCs w:val="22"/>
              </w:rPr>
            </w:pPr>
            <w:r w:rsidRPr="009E6D34">
              <w:rPr>
                <w:color w:val="000000"/>
                <w:sz w:val="22"/>
                <w:szCs w:val="22"/>
              </w:rPr>
              <w:t>10,259</w:t>
            </w:r>
          </w:p>
        </w:tc>
      </w:tr>
      <w:tr w:rsidR="009E6D34" w:rsidRPr="009E6D34" w14:paraId="7215F3A8" w14:textId="77777777" w:rsidTr="00B92709">
        <w:trPr>
          <w:trHeight w:val="303"/>
        </w:trPr>
        <w:tc>
          <w:tcPr>
            <w:tcW w:w="1187" w:type="dxa"/>
            <w:tcBorders>
              <w:top w:val="nil"/>
              <w:left w:val="single" w:sz="4" w:space="0" w:color="auto"/>
              <w:bottom w:val="nil"/>
              <w:right w:val="nil"/>
            </w:tcBorders>
            <w:shd w:val="clear" w:color="000000" w:fill="FFFFFF"/>
            <w:noWrap/>
            <w:vAlign w:val="bottom"/>
            <w:hideMark/>
          </w:tcPr>
          <w:p w14:paraId="5D84F59F" w14:textId="77777777" w:rsidR="009E6D34" w:rsidRPr="009E6D34" w:rsidRDefault="009E6D34" w:rsidP="00B92709">
            <w:pPr>
              <w:jc w:val="center"/>
              <w:rPr>
                <w:color w:val="000000"/>
                <w:sz w:val="22"/>
                <w:szCs w:val="22"/>
              </w:rPr>
            </w:pPr>
            <w:r w:rsidRPr="009E6D34">
              <w:rPr>
                <w:color w:val="000000"/>
                <w:sz w:val="22"/>
                <w:szCs w:val="22"/>
              </w:rPr>
              <w:t> </w:t>
            </w:r>
          </w:p>
        </w:tc>
        <w:tc>
          <w:tcPr>
            <w:tcW w:w="1187" w:type="dxa"/>
            <w:tcBorders>
              <w:top w:val="nil"/>
              <w:left w:val="nil"/>
              <w:bottom w:val="nil"/>
              <w:right w:val="nil"/>
            </w:tcBorders>
            <w:shd w:val="clear" w:color="000000" w:fill="FFFFFF"/>
            <w:noWrap/>
            <w:vAlign w:val="bottom"/>
            <w:hideMark/>
          </w:tcPr>
          <w:p w14:paraId="50CFADC7" w14:textId="77777777" w:rsidR="009E6D34" w:rsidRPr="009E6D34" w:rsidRDefault="009E6D34" w:rsidP="00B92709">
            <w:pPr>
              <w:jc w:val="center"/>
              <w:rPr>
                <w:color w:val="000000"/>
                <w:sz w:val="22"/>
                <w:szCs w:val="22"/>
              </w:rPr>
            </w:pPr>
            <w:r w:rsidRPr="009E6D34">
              <w:rPr>
                <w:color w:val="000000"/>
                <w:sz w:val="22"/>
                <w:szCs w:val="22"/>
              </w:rPr>
              <w:t>2022</w:t>
            </w:r>
          </w:p>
        </w:tc>
        <w:tc>
          <w:tcPr>
            <w:tcW w:w="2029" w:type="dxa"/>
            <w:tcBorders>
              <w:top w:val="nil"/>
              <w:left w:val="nil"/>
              <w:bottom w:val="nil"/>
              <w:right w:val="nil"/>
            </w:tcBorders>
            <w:shd w:val="clear" w:color="000000" w:fill="FFFFFF"/>
            <w:noWrap/>
            <w:vAlign w:val="bottom"/>
            <w:hideMark/>
          </w:tcPr>
          <w:p w14:paraId="4A4A7D0A" w14:textId="77777777" w:rsidR="009E6D34" w:rsidRPr="009E6D34" w:rsidRDefault="009E6D34" w:rsidP="00B92709">
            <w:pPr>
              <w:jc w:val="center"/>
              <w:rPr>
                <w:color w:val="000000"/>
                <w:sz w:val="22"/>
                <w:szCs w:val="22"/>
              </w:rPr>
            </w:pPr>
            <w:r w:rsidRPr="009E6D34">
              <w:rPr>
                <w:color w:val="000000"/>
                <w:sz w:val="22"/>
                <w:szCs w:val="22"/>
              </w:rPr>
              <w:t>608,631</w:t>
            </w:r>
          </w:p>
        </w:tc>
        <w:tc>
          <w:tcPr>
            <w:tcW w:w="1187" w:type="dxa"/>
            <w:tcBorders>
              <w:top w:val="nil"/>
              <w:left w:val="nil"/>
              <w:bottom w:val="nil"/>
              <w:right w:val="nil"/>
            </w:tcBorders>
            <w:shd w:val="clear" w:color="000000" w:fill="FFFFFF"/>
            <w:noWrap/>
            <w:vAlign w:val="bottom"/>
            <w:hideMark/>
          </w:tcPr>
          <w:p w14:paraId="26ABC8FE" w14:textId="77777777" w:rsidR="009E6D34" w:rsidRPr="009E6D34" w:rsidRDefault="009E6D34" w:rsidP="00B92709">
            <w:pPr>
              <w:jc w:val="center"/>
              <w:rPr>
                <w:color w:val="000000"/>
                <w:sz w:val="22"/>
                <w:szCs w:val="22"/>
              </w:rPr>
            </w:pPr>
            <w:r w:rsidRPr="009E6D34">
              <w:rPr>
                <w:color w:val="000000"/>
                <w:sz w:val="22"/>
                <w:szCs w:val="22"/>
              </w:rPr>
              <w:t>77,967</w:t>
            </w:r>
          </w:p>
        </w:tc>
        <w:tc>
          <w:tcPr>
            <w:tcW w:w="1187" w:type="dxa"/>
            <w:tcBorders>
              <w:top w:val="nil"/>
              <w:left w:val="nil"/>
              <w:bottom w:val="nil"/>
              <w:right w:val="nil"/>
            </w:tcBorders>
            <w:shd w:val="clear" w:color="000000" w:fill="FFFFFF"/>
            <w:noWrap/>
            <w:vAlign w:val="bottom"/>
            <w:hideMark/>
          </w:tcPr>
          <w:p w14:paraId="274A8261" w14:textId="77777777" w:rsidR="009E6D34" w:rsidRPr="009E6D34" w:rsidRDefault="009E6D34" w:rsidP="00B92709">
            <w:pPr>
              <w:jc w:val="center"/>
              <w:rPr>
                <w:color w:val="000000"/>
                <w:sz w:val="22"/>
                <w:szCs w:val="22"/>
              </w:rPr>
            </w:pPr>
            <w:r w:rsidRPr="009E6D34">
              <w:rPr>
                <w:color w:val="000000"/>
                <w:sz w:val="22"/>
                <w:szCs w:val="22"/>
              </w:rPr>
              <w:t>64,288</w:t>
            </w:r>
          </w:p>
        </w:tc>
        <w:tc>
          <w:tcPr>
            <w:tcW w:w="1187" w:type="dxa"/>
            <w:tcBorders>
              <w:top w:val="nil"/>
              <w:left w:val="nil"/>
              <w:bottom w:val="nil"/>
              <w:right w:val="nil"/>
            </w:tcBorders>
            <w:shd w:val="clear" w:color="000000" w:fill="FFFFFF"/>
            <w:noWrap/>
            <w:vAlign w:val="bottom"/>
            <w:hideMark/>
          </w:tcPr>
          <w:p w14:paraId="70788F5D" w14:textId="77777777" w:rsidR="009E6D34" w:rsidRPr="009E6D34" w:rsidRDefault="009E6D34" w:rsidP="00B92709">
            <w:pPr>
              <w:jc w:val="center"/>
              <w:rPr>
                <w:color w:val="000000"/>
                <w:sz w:val="22"/>
                <w:szCs w:val="22"/>
              </w:rPr>
            </w:pPr>
            <w:r w:rsidRPr="009E6D34">
              <w:rPr>
                <w:color w:val="000000"/>
                <w:sz w:val="22"/>
                <w:szCs w:val="22"/>
              </w:rPr>
              <w:t>35,500</w:t>
            </w:r>
          </w:p>
        </w:tc>
        <w:tc>
          <w:tcPr>
            <w:tcW w:w="1187" w:type="dxa"/>
            <w:tcBorders>
              <w:top w:val="nil"/>
              <w:left w:val="nil"/>
              <w:bottom w:val="nil"/>
              <w:right w:val="single" w:sz="4" w:space="0" w:color="auto"/>
            </w:tcBorders>
            <w:shd w:val="clear" w:color="000000" w:fill="FFFFFF"/>
            <w:noWrap/>
            <w:vAlign w:val="bottom"/>
            <w:hideMark/>
          </w:tcPr>
          <w:p w14:paraId="5C20D19A" w14:textId="77777777" w:rsidR="009E6D34" w:rsidRPr="009E6D34" w:rsidRDefault="009E6D34" w:rsidP="00B92709">
            <w:pPr>
              <w:jc w:val="center"/>
              <w:rPr>
                <w:color w:val="000000"/>
                <w:sz w:val="22"/>
                <w:szCs w:val="22"/>
              </w:rPr>
            </w:pPr>
            <w:r w:rsidRPr="009E6D34">
              <w:rPr>
                <w:color w:val="000000"/>
                <w:sz w:val="22"/>
                <w:szCs w:val="22"/>
              </w:rPr>
              <w:t>14,559</w:t>
            </w:r>
          </w:p>
        </w:tc>
      </w:tr>
      <w:tr w:rsidR="009E6D34" w:rsidRPr="009E6D34" w14:paraId="13E77A07" w14:textId="77777777" w:rsidTr="00B92709">
        <w:trPr>
          <w:trHeight w:val="303"/>
        </w:trPr>
        <w:tc>
          <w:tcPr>
            <w:tcW w:w="1187" w:type="dxa"/>
            <w:tcBorders>
              <w:top w:val="nil"/>
              <w:left w:val="single" w:sz="4" w:space="0" w:color="auto"/>
              <w:bottom w:val="nil"/>
              <w:right w:val="nil"/>
            </w:tcBorders>
            <w:shd w:val="clear" w:color="000000" w:fill="FFFFFF"/>
            <w:noWrap/>
            <w:vAlign w:val="bottom"/>
            <w:hideMark/>
          </w:tcPr>
          <w:p w14:paraId="4F3177C1" w14:textId="77777777" w:rsidR="009E6D34" w:rsidRPr="009E6D34" w:rsidRDefault="009E6D34" w:rsidP="00B92709">
            <w:pPr>
              <w:jc w:val="center"/>
              <w:rPr>
                <w:color w:val="000000"/>
                <w:sz w:val="22"/>
                <w:szCs w:val="22"/>
              </w:rPr>
            </w:pPr>
            <w:r w:rsidRPr="009E6D34">
              <w:rPr>
                <w:color w:val="000000"/>
                <w:sz w:val="22"/>
                <w:szCs w:val="22"/>
              </w:rPr>
              <w:t> </w:t>
            </w:r>
          </w:p>
        </w:tc>
        <w:tc>
          <w:tcPr>
            <w:tcW w:w="1187" w:type="dxa"/>
            <w:tcBorders>
              <w:top w:val="nil"/>
              <w:left w:val="nil"/>
              <w:bottom w:val="nil"/>
              <w:right w:val="nil"/>
            </w:tcBorders>
            <w:shd w:val="clear" w:color="000000" w:fill="FFFFFF"/>
            <w:noWrap/>
            <w:vAlign w:val="bottom"/>
            <w:hideMark/>
          </w:tcPr>
          <w:p w14:paraId="37CC0D8B" w14:textId="77777777" w:rsidR="009E6D34" w:rsidRPr="009E6D34" w:rsidRDefault="009E6D34" w:rsidP="00B92709">
            <w:pPr>
              <w:jc w:val="center"/>
              <w:rPr>
                <w:color w:val="000000"/>
                <w:sz w:val="22"/>
                <w:szCs w:val="22"/>
              </w:rPr>
            </w:pPr>
            <w:r w:rsidRPr="009E6D34">
              <w:rPr>
                <w:color w:val="000000"/>
                <w:sz w:val="22"/>
                <w:szCs w:val="22"/>
              </w:rPr>
              <w:t>2023</w:t>
            </w:r>
          </w:p>
        </w:tc>
        <w:tc>
          <w:tcPr>
            <w:tcW w:w="2029" w:type="dxa"/>
            <w:tcBorders>
              <w:top w:val="nil"/>
              <w:left w:val="nil"/>
              <w:bottom w:val="nil"/>
              <w:right w:val="nil"/>
            </w:tcBorders>
            <w:shd w:val="clear" w:color="000000" w:fill="FFFFFF"/>
            <w:noWrap/>
            <w:vAlign w:val="bottom"/>
            <w:hideMark/>
          </w:tcPr>
          <w:p w14:paraId="2A304C96" w14:textId="77777777" w:rsidR="009E6D34" w:rsidRPr="009E6D34" w:rsidRDefault="009E6D34" w:rsidP="00B92709">
            <w:pPr>
              <w:jc w:val="center"/>
              <w:rPr>
                <w:color w:val="000000"/>
                <w:sz w:val="22"/>
                <w:szCs w:val="22"/>
              </w:rPr>
            </w:pPr>
            <w:r w:rsidRPr="009E6D34">
              <w:rPr>
                <w:color w:val="000000"/>
                <w:sz w:val="22"/>
                <w:szCs w:val="22"/>
              </w:rPr>
              <w:t>606,522</w:t>
            </w:r>
          </w:p>
        </w:tc>
        <w:tc>
          <w:tcPr>
            <w:tcW w:w="1187" w:type="dxa"/>
            <w:tcBorders>
              <w:top w:val="nil"/>
              <w:left w:val="nil"/>
              <w:bottom w:val="nil"/>
              <w:right w:val="nil"/>
            </w:tcBorders>
            <w:shd w:val="clear" w:color="000000" w:fill="FFFFFF"/>
            <w:noWrap/>
            <w:vAlign w:val="bottom"/>
            <w:hideMark/>
          </w:tcPr>
          <w:p w14:paraId="19F6EE16" w14:textId="77777777" w:rsidR="009E6D34" w:rsidRPr="009E6D34" w:rsidRDefault="009E6D34" w:rsidP="00B92709">
            <w:pPr>
              <w:jc w:val="center"/>
              <w:rPr>
                <w:color w:val="000000"/>
                <w:sz w:val="22"/>
                <w:szCs w:val="22"/>
              </w:rPr>
            </w:pPr>
            <w:r w:rsidRPr="009E6D34">
              <w:rPr>
                <w:color w:val="000000"/>
                <w:sz w:val="22"/>
                <w:szCs w:val="22"/>
              </w:rPr>
              <w:t>79,256</w:t>
            </w:r>
          </w:p>
        </w:tc>
        <w:tc>
          <w:tcPr>
            <w:tcW w:w="1187" w:type="dxa"/>
            <w:tcBorders>
              <w:top w:val="nil"/>
              <w:left w:val="nil"/>
              <w:bottom w:val="nil"/>
              <w:right w:val="nil"/>
            </w:tcBorders>
            <w:shd w:val="clear" w:color="000000" w:fill="FFFFFF"/>
            <w:noWrap/>
            <w:vAlign w:val="bottom"/>
            <w:hideMark/>
          </w:tcPr>
          <w:p w14:paraId="3118826F" w14:textId="77777777" w:rsidR="009E6D34" w:rsidRPr="009E6D34" w:rsidRDefault="009E6D34" w:rsidP="00B92709">
            <w:pPr>
              <w:jc w:val="center"/>
              <w:rPr>
                <w:color w:val="000000"/>
                <w:sz w:val="22"/>
                <w:szCs w:val="22"/>
              </w:rPr>
            </w:pPr>
            <w:r w:rsidRPr="009E6D34">
              <w:rPr>
                <w:color w:val="000000"/>
                <w:sz w:val="22"/>
                <w:szCs w:val="22"/>
              </w:rPr>
              <w:t>65,344</w:t>
            </w:r>
          </w:p>
        </w:tc>
        <w:tc>
          <w:tcPr>
            <w:tcW w:w="1187" w:type="dxa"/>
            <w:tcBorders>
              <w:top w:val="nil"/>
              <w:left w:val="nil"/>
              <w:bottom w:val="nil"/>
              <w:right w:val="nil"/>
            </w:tcBorders>
            <w:shd w:val="clear" w:color="000000" w:fill="FFFFFF"/>
            <w:noWrap/>
            <w:vAlign w:val="bottom"/>
            <w:hideMark/>
          </w:tcPr>
          <w:p w14:paraId="145097E5" w14:textId="77777777" w:rsidR="009E6D34" w:rsidRPr="009E6D34" w:rsidRDefault="009E6D34" w:rsidP="00B92709">
            <w:pPr>
              <w:jc w:val="center"/>
              <w:rPr>
                <w:color w:val="000000"/>
                <w:sz w:val="22"/>
                <w:szCs w:val="22"/>
              </w:rPr>
            </w:pPr>
            <w:r w:rsidRPr="009E6D34">
              <w:rPr>
                <w:color w:val="000000"/>
                <w:sz w:val="22"/>
                <w:szCs w:val="22"/>
              </w:rPr>
              <w:t>n/a</w:t>
            </w:r>
          </w:p>
        </w:tc>
        <w:tc>
          <w:tcPr>
            <w:tcW w:w="1187" w:type="dxa"/>
            <w:tcBorders>
              <w:top w:val="nil"/>
              <w:left w:val="nil"/>
              <w:bottom w:val="nil"/>
              <w:right w:val="single" w:sz="4" w:space="0" w:color="auto"/>
            </w:tcBorders>
            <w:shd w:val="clear" w:color="000000" w:fill="FFFFFF"/>
            <w:noWrap/>
            <w:vAlign w:val="bottom"/>
            <w:hideMark/>
          </w:tcPr>
          <w:p w14:paraId="72DFEF2D" w14:textId="77777777" w:rsidR="009E6D34" w:rsidRPr="009E6D34" w:rsidRDefault="009E6D34" w:rsidP="00B92709">
            <w:pPr>
              <w:jc w:val="center"/>
              <w:rPr>
                <w:color w:val="000000"/>
                <w:sz w:val="22"/>
                <w:szCs w:val="22"/>
              </w:rPr>
            </w:pPr>
            <w:r w:rsidRPr="009E6D34">
              <w:rPr>
                <w:color w:val="000000"/>
                <w:sz w:val="22"/>
                <w:szCs w:val="22"/>
              </w:rPr>
              <w:t>n/a</w:t>
            </w:r>
          </w:p>
        </w:tc>
      </w:tr>
      <w:tr w:rsidR="009E6D34" w:rsidRPr="009E6D34" w14:paraId="6B9F1681" w14:textId="77777777" w:rsidTr="00B92709">
        <w:trPr>
          <w:trHeight w:val="303"/>
        </w:trPr>
        <w:tc>
          <w:tcPr>
            <w:tcW w:w="1187" w:type="dxa"/>
            <w:tcBorders>
              <w:top w:val="nil"/>
              <w:left w:val="single" w:sz="4" w:space="0" w:color="auto"/>
              <w:bottom w:val="single" w:sz="4" w:space="0" w:color="auto"/>
              <w:right w:val="nil"/>
            </w:tcBorders>
            <w:shd w:val="clear" w:color="000000" w:fill="FFFFFF"/>
            <w:noWrap/>
            <w:vAlign w:val="bottom"/>
            <w:hideMark/>
          </w:tcPr>
          <w:p w14:paraId="32410894" w14:textId="77777777" w:rsidR="009E6D34" w:rsidRPr="009E6D34" w:rsidRDefault="009E6D34" w:rsidP="00B92709">
            <w:pPr>
              <w:jc w:val="center"/>
              <w:rPr>
                <w:color w:val="000000"/>
                <w:sz w:val="22"/>
                <w:szCs w:val="22"/>
              </w:rPr>
            </w:pPr>
            <w:r w:rsidRPr="009E6D34">
              <w:rPr>
                <w:color w:val="000000"/>
                <w:sz w:val="22"/>
                <w:szCs w:val="22"/>
              </w:rPr>
              <w:t> </w:t>
            </w:r>
          </w:p>
        </w:tc>
        <w:tc>
          <w:tcPr>
            <w:tcW w:w="1187" w:type="dxa"/>
            <w:tcBorders>
              <w:top w:val="nil"/>
              <w:left w:val="nil"/>
              <w:bottom w:val="single" w:sz="4" w:space="0" w:color="auto"/>
              <w:right w:val="nil"/>
            </w:tcBorders>
            <w:shd w:val="clear" w:color="000000" w:fill="FFFFFF"/>
            <w:noWrap/>
            <w:vAlign w:val="bottom"/>
            <w:hideMark/>
          </w:tcPr>
          <w:p w14:paraId="03F2EBCA" w14:textId="77777777" w:rsidR="009E6D34" w:rsidRPr="009E6D34" w:rsidRDefault="009E6D34" w:rsidP="00B92709">
            <w:pPr>
              <w:jc w:val="center"/>
              <w:rPr>
                <w:color w:val="000000"/>
                <w:sz w:val="22"/>
                <w:szCs w:val="22"/>
              </w:rPr>
            </w:pPr>
            <w:r w:rsidRPr="009E6D34">
              <w:rPr>
                <w:color w:val="000000"/>
                <w:sz w:val="22"/>
                <w:szCs w:val="22"/>
              </w:rPr>
              <w:t>2024</w:t>
            </w:r>
          </w:p>
        </w:tc>
        <w:tc>
          <w:tcPr>
            <w:tcW w:w="2029" w:type="dxa"/>
            <w:tcBorders>
              <w:top w:val="nil"/>
              <w:left w:val="nil"/>
              <w:bottom w:val="single" w:sz="4" w:space="0" w:color="auto"/>
              <w:right w:val="nil"/>
            </w:tcBorders>
            <w:shd w:val="clear" w:color="000000" w:fill="FFFFFF"/>
            <w:noWrap/>
            <w:vAlign w:val="bottom"/>
            <w:hideMark/>
          </w:tcPr>
          <w:p w14:paraId="194C4594" w14:textId="77777777" w:rsidR="009E6D34" w:rsidRPr="009E6D34" w:rsidRDefault="009E6D34" w:rsidP="00B92709">
            <w:pPr>
              <w:jc w:val="center"/>
              <w:rPr>
                <w:color w:val="000000"/>
                <w:sz w:val="22"/>
                <w:szCs w:val="22"/>
              </w:rPr>
            </w:pPr>
            <w:r w:rsidRPr="009E6D34">
              <w:rPr>
                <w:color w:val="000000"/>
                <w:sz w:val="22"/>
                <w:szCs w:val="22"/>
              </w:rPr>
              <w:t>606,080</w:t>
            </w:r>
          </w:p>
        </w:tc>
        <w:tc>
          <w:tcPr>
            <w:tcW w:w="1187" w:type="dxa"/>
            <w:tcBorders>
              <w:top w:val="nil"/>
              <w:left w:val="nil"/>
              <w:bottom w:val="single" w:sz="4" w:space="0" w:color="auto"/>
              <w:right w:val="nil"/>
            </w:tcBorders>
            <w:shd w:val="clear" w:color="000000" w:fill="FFFFFF"/>
            <w:noWrap/>
            <w:vAlign w:val="bottom"/>
            <w:hideMark/>
          </w:tcPr>
          <w:p w14:paraId="1E160427" w14:textId="77777777" w:rsidR="009E6D34" w:rsidRPr="009E6D34" w:rsidRDefault="009E6D34" w:rsidP="00B92709">
            <w:pPr>
              <w:jc w:val="center"/>
              <w:rPr>
                <w:color w:val="000000"/>
                <w:sz w:val="22"/>
                <w:szCs w:val="22"/>
              </w:rPr>
            </w:pPr>
            <w:r w:rsidRPr="009E6D34">
              <w:rPr>
                <w:color w:val="000000"/>
                <w:sz w:val="22"/>
                <w:szCs w:val="22"/>
              </w:rPr>
              <w:t>81,167</w:t>
            </w:r>
          </w:p>
        </w:tc>
        <w:tc>
          <w:tcPr>
            <w:tcW w:w="1187" w:type="dxa"/>
            <w:tcBorders>
              <w:top w:val="nil"/>
              <w:left w:val="nil"/>
              <w:bottom w:val="single" w:sz="4" w:space="0" w:color="auto"/>
              <w:right w:val="nil"/>
            </w:tcBorders>
            <w:shd w:val="clear" w:color="000000" w:fill="FFFFFF"/>
            <w:noWrap/>
            <w:vAlign w:val="bottom"/>
            <w:hideMark/>
          </w:tcPr>
          <w:p w14:paraId="4DAA0749" w14:textId="77777777" w:rsidR="009E6D34" w:rsidRPr="009E6D34" w:rsidRDefault="009E6D34" w:rsidP="00B92709">
            <w:pPr>
              <w:jc w:val="center"/>
              <w:rPr>
                <w:color w:val="000000"/>
                <w:sz w:val="22"/>
                <w:szCs w:val="22"/>
              </w:rPr>
            </w:pPr>
            <w:r w:rsidRPr="009E6D34">
              <w:rPr>
                <w:color w:val="000000"/>
                <w:sz w:val="22"/>
                <w:szCs w:val="22"/>
              </w:rPr>
              <w:t>66,927</w:t>
            </w:r>
          </w:p>
        </w:tc>
        <w:tc>
          <w:tcPr>
            <w:tcW w:w="1187" w:type="dxa"/>
            <w:tcBorders>
              <w:top w:val="nil"/>
              <w:left w:val="nil"/>
              <w:bottom w:val="single" w:sz="4" w:space="0" w:color="auto"/>
              <w:right w:val="nil"/>
            </w:tcBorders>
            <w:shd w:val="clear" w:color="000000" w:fill="FFFFFF"/>
            <w:noWrap/>
            <w:vAlign w:val="bottom"/>
            <w:hideMark/>
          </w:tcPr>
          <w:p w14:paraId="0EE6616D" w14:textId="77777777" w:rsidR="009E6D34" w:rsidRPr="009E6D34" w:rsidRDefault="009E6D34" w:rsidP="00B92709">
            <w:pPr>
              <w:jc w:val="center"/>
              <w:rPr>
                <w:color w:val="000000"/>
                <w:sz w:val="22"/>
                <w:szCs w:val="22"/>
              </w:rPr>
            </w:pPr>
            <w:r w:rsidRPr="009E6D34">
              <w:rPr>
                <w:color w:val="000000"/>
                <w:sz w:val="22"/>
                <w:szCs w:val="22"/>
              </w:rPr>
              <w:t>n/a</w:t>
            </w:r>
          </w:p>
        </w:tc>
        <w:tc>
          <w:tcPr>
            <w:tcW w:w="1187" w:type="dxa"/>
            <w:tcBorders>
              <w:top w:val="nil"/>
              <w:left w:val="nil"/>
              <w:bottom w:val="single" w:sz="4" w:space="0" w:color="auto"/>
              <w:right w:val="single" w:sz="4" w:space="0" w:color="auto"/>
            </w:tcBorders>
            <w:shd w:val="clear" w:color="000000" w:fill="FFFFFF"/>
            <w:noWrap/>
            <w:vAlign w:val="bottom"/>
            <w:hideMark/>
          </w:tcPr>
          <w:p w14:paraId="37344746" w14:textId="77777777" w:rsidR="009E6D34" w:rsidRPr="009E6D34" w:rsidRDefault="009E6D34" w:rsidP="00B92709">
            <w:pPr>
              <w:jc w:val="center"/>
              <w:rPr>
                <w:color w:val="000000"/>
                <w:sz w:val="22"/>
                <w:szCs w:val="22"/>
              </w:rPr>
            </w:pPr>
            <w:r w:rsidRPr="009E6D34">
              <w:rPr>
                <w:color w:val="000000"/>
                <w:sz w:val="22"/>
                <w:szCs w:val="22"/>
              </w:rPr>
              <w:t>n/a</w:t>
            </w:r>
          </w:p>
        </w:tc>
      </w:tr>
    </w:tbl>
    <w:p w14:paraId="512F370B" w14:textId="77777777" w:rsidR="009E6D34" w:rsidRPr="009E6D34" w:rsidRDefault="009E6D34" w:rsidP="009E6D34">
      <w:pPr>
        <w:rPr>
          <w:sz w:val="22"/>
          <w:szCs w:val="22"/>
        </w:rPr>
      </w:pPr>
    </w:p>
    <w:p w14:paraId="1B5F754B" w14:textId="77777777" w:rsidR="009E6D34" w:rsidRPr="009E6D34" w:rsidRDefault="009E6D34" w:rsidP="009E6D34">
      <w:pPr>
        <w:rPr>
          <w:sz w:val="22"/>
          <w:szCs w:val="22"/>
        </w:rPr>
      </w:pPr>
      <w:r w:rsidRPr="009E6D34">
        <w:rPr>
          <w:sz w:val="22"/>
          <w:szCs w:val="22"/>
        </w:rPr>
        <w:t xml:space="preserve">In 2018, the BSAI flathead sole assessment </w:t>
      </w:r>
      <w:proofErr w:type="gramStart"/>
      <w:r w:rsidRPr="009E6D34">
        <w:rPr>
          <w:sz w:val="22"/>
          <w:szCs w:val="22"/>
        </w:rPr>
        <w:t>was transitioned</w:t>
      </w:r>
      <w:proofErr w:type="gramEnd"/>
      <w:r w:rsidRPr="009E6D34">
        <w:rPr>
          <w:sz w:val="22"/>
          <w:szCs w:val="22"/>
        </w:rPr>
        <w:t xml:space="preserve"> to the Stock Synthesis modeling platform. This assessment </w:t>
      </w:r>
      <w:proofErr w:type="gramStart"/>
      <w:r w:rsidRPr="009E6D34">
        <w:rPr>
          <w:sz w:val="22"/>
          <w:szCs w:val="22"/>
        </w:rPr>
        <w:t>was changed</w:t>
      </w:r>
      <w:proofErr w:type="gramEnd"/>
      <w:r w:rsidRPr="009E6D34">
        <w:rPr>
          <w:sz w:val="22"/>
          <w:szCs w:val="22"/>
        </w:rPr>
        <w:t xml:space="preserve"> to a biennial cycle beginning with the 2014 assessment. This was supposed to be a full assessment year, but due to limited staff resources, a partial assessment </w:t>
      </w:r>
      <w:proofErr w:type="gramStart"/>
      <w:r w:rsidRPr="009E6D34">
        <w:rPr>
          <w:sz w:val="22"/>
          <w:szCs w:val="22"/>
        </w:rPr>
        <w:t>was presented</w:t>
      </w:r>
      <w:proofErr w:type="gramEnd"/>
      <w:r w:rsidRPr="009E6D34">
        <w:rPr>
          <w:sz w:val="22"/>
          <w:szCs w:val="22"/>
        </w:rPr>
        <w:t xml:space="preserve"> this year. Changes to the input data in this analysis include updated catch information for 2021 and estimated catches for 2022 and 2023-2024. There were no changes to the assessment methodology.</w:t>
      </w:r>
    </w:p>
    <w:p w14:paraId="38237EFC" w14:textId="77777777" w:rsidR="009E6D34" w:rsidRPr="009E6D34" w:rsidRDefault="009E6D34" w:rsidP="009E6D34">
      <w:pPr>
        <w:rPr>
          <w:sz w:val="22"/>
          <w:szCs w:val="22"/>
        </w:rPr>
      </w:pPr>
    </w:p>
    <w:p w14:paraId="44CB60FD" w14:textId="77777777" w:rsidR="009E6D34" w:rsidRPr="009E6D34" w:rsidRDefault="009E6D34" w:rsidP="009E6D34">
      <w:pPr>
        <w:rPr>
          <w:sz w:val="22"/>
          <w:szCs w:val="22"/>
        </w:rPr>
      </w:pPr>
      <w:r w:rsidRPr="009E6D34">
        <w:rPr>
          <w:sz w:val="22"/>
          <w:szCs w:val="22"/>
        </w:rPr>
        <w:t xml:space="preserve">Spawning biomass </w:t>
      </w:r>
      <w:proofErr w:type="gramStart"/>
      <w:r w:rsidRPr="009E6D34">
        <w:rPr>
          <w:sz w:val="22"/>
          <w:szCs w:val="22"/>
        </w:rPr>
        <w:t>is projected</w:t>
      </w:r>
      <w:proofErr w:type="gramEnd"/>
      <w:r w:rsidRPr="009E6D34">
        <w:rPr>
          <w:sz w:val="22"/>
          <w:szCs w:val="22"/>
        </w:rPr>
        <w:t xml:space="preserve"> to increase slightly in 202 and in 2024. Age 3+ biomass </w:t>
      </w:r>
      <w:proofErr w:type="gramStart"/>
      <w:r w:rsidRPr="009E6D34">
        <w:rPr>
          <w:sz w:val="22"/>
          <w:szCs w:val="22"/>
        </w:rPr>
        <w:t>is also projected</w:t>
      </w:r>
      <w:proofErr w:type="gramEnd"/>
      <w:r w:rsidRPr="009E6D34">
        <w:rPr>
          <w:sz w:val="22"/>
          <w:szCs w:val="22"/>
        </w:rPr>
        <w:t xml:space="preserve"> to have small decreases in 2023 and 2024.</w:t>
      </w:r>
    </w:p>
    <w:p w14:paraId="4954A2C6" w14:textId="77777777" w:rsidR="009E6D34" w:rsidRPr="009E6D34" w:rsidRDefault="009E6D34" w:rsidP="009E6D34">
      <w:pPr>
        <w:rPr>
          <w:sz w:val="22"/>
          <w:szCs w:val="22"/>
        </w:rPr>
      </w:pPr>
    </w:p>
    <w:p w14:paraId="4EF5701A" w14:textId="77777777" w:rsidR="009E6D34" w:rsidRPr="009E6D34" w:rsidRDefault="009E6D34" w:rsidP="009E6D34">
      <w:pPr>
        <w:rPr>
          <w:sz w:val="22"/>
          <w:szCs w:val="22"/>
        </w:rPr>
      </w:pPr>
      <w:r w:rsidRPr="009E6D34">
        <w:rPr>
          <w:color w:val="000000"/>
          <w:sz w:val="22"/>
          <w:szCs w:val="22"/>
        </w:rPr>
        <w:t xml:space="preserve">For further </w:t>
      </w:r>
      <w:proofErr w:type="gramStart"/>
      <w:r w:rsidRPr="009E6D34">
        <w:rPr>
          <w:color w:val="000000"/>
          <w:sz w:val="22"/>
          <w:szCs w:val="22"/>
        </w:rPr>
        <w:t>information</w:t>
      </w:r>
      <w:proofErr w:type="gramEnd"/>
      <w:r w:rsidRPr="009E6D34">
        <w:rPr>
          <w:color w:val="000000"/>
          <w:sz w:val="22"/>
          <w:szCs w:val="22"/>
        </w:rPr>
        <w:t xml:space="preserve"> contact Maia Kapur, maia.kapur@noaa.gov</w:t>
      </w:r>
    </w:p>
    <w:p w14:paraId="7054BD87" w14:textId="77777777" w:rsidR="00DE3EE8" w:rsidRPr="002B7E6B" w:rsidRDefault="00DE3EE8" w:rsidP="00DE3EE8">
      <w:pPr>
        <w:rPr>
          <w:sz w:val="22"/>
          <w:szCs w:val="22"/>
        </w:rPr>
      </w:pPr>
    </w:p>
    <w:p w14:paraId="7DF7CC7D" w14:textId="0DDE9ED0" w:rsidR="00DE3EE8" w:rsidRDefault="00DE3EE8" w:rsidP="00017EC4">
      <w:pPr>
        <w:pStyle w:val="Heading5"/>
      </w:pPr>
      <w:bookmarkStart w:id="153" w:name="_Toc131503894"/>
      <w:r w:rsidRPr="00017EC4">
        <w:t>Flathead sole</w:t>
      </w:r>
      <w:r w:rsidR="0024271A">
        <w:t xml:space="preserve"> – </w:t>
      </w:r>
      <w:r w:rsidRPr="00017EC4">
        <w:t xml:space="preserve">Gulf of Alaska </w:t>
      </w:r>
      <w:r w:rsidR="00017EC4">
        <w:t>–</w:t>
      </w:r>
      <w:r w:rsidRPr="00017EC4">
        <w:t xml:space="preserve"> REFM</w:t>
      </w:r>
      <w:bookmarkEnd w:id="153"/>
    </w:p>
    <w:p w14:paraId="0F6768D5" w14:textId="77777777" w:rsidR="00017EC4" w:rsidRPr="00017EC4" w:rsidRDefault="00017EC4" w:rsidP="00017EC4"/>
    <w:p w14:paraId="0A06109F" w14:textId="77777777" w:rsidR="009E6D34" w:rsidRPr="009E6D34" w:rsidRDefault="009E6D34" w:rsidP="009E6D34">
      <w:pPr>
        <w:rPr>
          <w:color w:val="000000"/>
          <w:sz w:val="22"/>
          <w:szCs w:val="22"/>
        </w:rPr>
      </w:pPr>
      <w:r w:rsidRPr="009E6D34">
        <w:rPr>
          <w:color w:val="000000"/>
          <w:sz w:val="22"/>
          <w:szCs w:val="22"/>
        </w:rPr>
        <w:t xml:space="preserve">This assessment </w:t>
      </w:r>
      <w:proofErr w:type="gramStart"/>
      <w:r w:rsidRPr="009E6D34">
        <w:rPr>
          <w:color w:val="000000"/>
          <w:sz w:val="22"/>
          <w:szCs w:val="22"/>
        </w:rPr>
        <w:t>is conducted</w:t>
      </w:r>
      <w:proofErr w:type="gramEnd"/>
      <w:r w:rsidRPr="009E6D34">
        <w:rPr>
          <w:color w:val="000000"/>
          <w:sz w:val="22"/>
          <w:szCs w:val="22"/>
        </w:rPr>
        <w:t xml:space="preserve"> using Stock Synthesis on a four-year schedule. </w:t>
      </w:r>
      <w:r w:rsidRPr="009E6D34">
        <w:rPr>
          <w:sz w:val="22"/>
          <w:szCs w:val="22"/>
        </w:rPr>
        <w:t xml:space="preserve">The flathead sole stock </w:t>
      </w:r>
      <w:proofErr w:type="gramStart"/>
      <w:r w:rsidRPr="009E6D34">
        <w:rPr>
          <w:sz w:val="22"/>
          <w:szCs w:val="22"/>
        </w:rPr>
        <w:t xml:space="preserve">is </w:t>
      </w:r>
      <w:r w:rsidRPr="009E6D34">
        <w:rPr>
          <w:sz w:val="22"/>
          <w:szCs w:val="22"/>
        </w:rPr>
        <w:lastRenderedPageBreak/>
        <w:t>assessed</w:t>
      </w:r>
      <w:proofErr w:type="gramEnd"/>
      <w:r w:rsidRPr="009E6D34">
        <w:rPr>
          <w:sz w:val="22"/>
          <w:szCs w:val="22"/>
        </w:rPr>
        <w:t xml:space="preserve"> on a four-year schedule. Due to limited staff resources, the full stock assessment planned for last year </w:t>
      </w:r>
      <w:proofErr w:type="gramStart"/>
      <w:r w:rsidRPr="009E6D34">
        <w:rPr>
          <w:sz w:val="22"/>
          <w:szCs w:val="22"/>
        </w:rPr>
        <w:t>was postponed</w:t>
      </w:r>
      <w:proofErr w:type="gramEnd"/>
      <w:r w:rsidRPr="009E6D34">
        <w:rPr>
          <w:sz w:val="22"/>
          <w:szCs w:val="22"/>
        </w:rPr>
        <w:t xml:space="preserve"> until this year.</w:t>
      </w:r>
    </w:p>
    <w:p w14:paraId="25B84DCC" w14:textId="77777777" w:rsidR="009E6D34" w:rsidRPr="009E6D34" w:rsidRDefault="009E6D34" w:rsidP="009E6D34">
      <w:pPr>
        <w:rPr>
          <w:sz w:val="22"/>
          <w:szCs w:val="22"/>
        </w:rPr>
      </w:pPr>
    </w:p>
    <w:p w14:paraId="2A8D6121" w14:textId="77777777" w:rsidR="009E6D34" w:rsidRPr="009E6D34" w:rsidRDefault="009E6D34" w:rsidP="009E6D34">
      <w:pPr>
        <w:rPr>
          <w:sz w:val="22"/>
          <w:szCs w:val="22"/>
        </w:rPr>
      </w:pPr>
      <w:r w:rsidRPr="009E6D34">
        <w:rPr>
          <w:color w:val="000000"/>
          <w:sz w:val="22"/>
          <w:szCs w:val="22"/>
        </w:rPr>
        <w:t xml:space="preserve">For further </w:t>
      </w:r>
      <w:proofErr w:type="gramStart"/>
      <w:r w:rsidRPr="009E6D34">
        <w:rPr>
          <w:color w:val="000000"/>
          <w:sz w:val="22"/>
          <w:szCs w:val="22"/>
        </w:rPr>
        <w:t>information</w:t>
      </w:r>
      <w:proofErr w:type="gramEnd"/>
      <w:r w:rsidRPr="009E6D34">
        <w:rPr>
          <w:color w:val="000000"/>
          <w:sz w:val="22"/>
          <w:szCs w:val="22"/>
        </w:rPr>
        <w:t xml:space="preserve"> contact Maia Kapur, maia.kapur@noaa.gov</w:t>
      </w:r>
    </w:p>
    <w:p w14:paraId="315BFA2B" w14:textId="77777777" w:rsidR="00DE3EE8" w:rsidRPr="002B7E6B" w:rsidRDefault="00DE3EE8" w:rsidP="00DE3EE8">
      <w:pPr>
        <w:rPr>
          <w:sz w:val="22"/>
          <w:szCs w:val="22"/>
        </w:rPr>
      </w:pPr>
    </w:p>
    <w:p w14:paraId="30990423" w14:textId="3075E876" w:rsidR="00DE3EE8" w:rsidRDefault="00DE3EE8" w:rsidP="00017EC4">
      <w:pPr>
        <w:pStyle w:val="Heading5"/>
      </w:pPr>
      <w:bookmarkStart w:id="154" w:name="_Toc131503895"/>
      <w:r w:rsidRPr="00017EC4">
        <w:t>Alaska plaice</w:t>
      </w:r>
      <w:r w:rsidR="0024271A">
        <w:t xml:space="preserve"> – </w:t>
      </w:r>
      <w:r w:rsidRPr="00017EC4">
        <w:t xml:space="preserve">Bering Sea and Aleutian Islands </w:t>
      </w:r>
      <w:r w:rsidR="00017EC4">
        <w:t>–</w:t>
      </w:r>
      <w:r w:rsidRPr="00017EC4">
        <w:t xml:space="preserve"> REFM</w:t>
      </w:r>
      <w:bookmarkEnd w:id="154"/>
    </w:p>
    <w:p w14:paraId="114FA63C" w14:textId="77777777" w:rsidR="009E6D34" w:rsidRPr="009E6D34" w:rsidRDefault="009E6D34" w:rsidP="009E6D34">
      <w:pPr>
        <w:outlineLvl w:val="4"/>
        <w:rPr>
          <w:i/>
          <w:iCs/>
          <w:color w:val="000000"/>
          <w:sz w:val="22"/>
          <w:szCs w:val="22"/>
        </w:rPr>
      </w:pPr>
    </w:p>
    <w:tbl>
      <w:tblPr>
        <w:tblW w:w="9179" w:type="dxa"/>
        <w:tblLook w:val="04A0" w:firstRow="1" w:lastRow="0" w:firstColumn="1" w:lastColumn="0" w:noHBand="0" w:noVBand="1"/>
      </w:tblPr>
      <w:tblGrid>
        <w:gridCol w:w="1172"/>
        <w:gridCol w:w="1196"/>
        <w:gridCol w:w="2027"/>
        <w:gridCol w:w="1196"/>
        <w:gridCol w:w="1196"/>
        <w:gridCol w:w="1196"/>
        <w:gridCol w:w="1196"/>
      </w:tblGrid>
      <w:tr w:rsidR="009E6D34" w:rsidRPr="009E6D34" w14:paraId="2454B8C3" w14:textId="77777777" w:rsidTr="00B92709">
        <w:trPr>
          <w:trHeight w:val="304"/>
        </w:trPr>
        <w:tc>
          <w:tcPr>
            <w:tcW w:w="1172" w:type="dxa"/>
            <w:tcBorders>
              <w:top w:val="single" w:sz="4" w:space="0" w:color="auto"/>
              <w:left w:val="single" w:sz="4" w:space="0" w:color="auto"/>
              <w:bottom w:val="single" w:sz="4" w:space="0" w:color="auto"/>
              <w:right w:val="nil"/>
            </w:tcBorders>
            <w:shd w:val="clear" w:color="000000" w:fill="FFFFFF"/>
            <w:noWrap/>
            <w:vAlign w:val="bottom"/>
            <w:hideMark/>
          </w:tcPr>
          <w:p w14:paraId="37A8F3F6" w14:textId="77777777" w:rsidR="009E6D34" w:rsidRPr="009E6D34" w:rsidRDefault="009E6D34" w:rsidP="00B92709">
            <w:pPr>
              <w:jc w:val="center"/>
              <w:rPr>
                <w:color w:val="000000"/>
                <w:sz w:val="22"/>
                <w:szCs w:val="22"/>
              </w:rPr>
            </w:pPr>
            <w:r w:rsidRPr="009E6D34">
              <w:rPr>
                <w:color w:val="000000"/>
                <w:sz w:val="22"/>
                <w:szCs w:val="22"/>
              </w:rPr>
              <w:t>Area</w:t>
            </w:r>
          </w:p>
        </w:tc>
        <w:tc>
          <w:tcPr>
            <w:tcW w:w="1196" w:type="dxa"/>
            <w:tcBorders>
              <w:top w:val="single" w:sz="4" w:space="0" w:color="auto"/>
              <w:left w:val="nil"/>
              <w:bottom w:val="single" w:sz="4" w:space="0" w:color="auto"/>
              <w:right w:val="nil"/>
            </w:tcBorders>
            <w:shd w:val="clear" w:color="000000" w:fill="FFFFFF"/>
            <w:noWrap/>
            <w:vAlign w:val="bottom"/>
            <w:hideMark/>
          </w:tcPr>
          <w:p w14:paraId="67A3E5A1" w14:textId="77777777" w:rsidR="009E6D34" w:rsidRPr="009E6D34" w:rsidRDefault="009E6D34" w:rsidP="00B92709">
            <w:pPr>
              <w:jc w:val="center"/>
              <w:rPr>
                <w:color w:val="000000"/>
                <w:sz w:val="22"/>
                <w:szCs w:val="22"/>
              </w:rPr>
            </w:pPr>
            <w:r w:rsidRPr="009E6D34">
              <w:rPr>
                <w:color w:val="000000"/>
                <w:sz w:val="22"/>
                <w:szCs w:val="22"/>
              </w:rPr>
              <w:t>Year</w:t>
            </w:r>
          </w:p>
        </w:tc>
        <w:tc>
          <w:tcPr>
            <w:tcW w:w="2027" w:type="dxa"/>
            <w:tcBorders>
              <w:top w:val="single" w:sz="4" w:space="0" w:color="auto"/>
              <w:left w:val="nil"/>
              <w:bottom w:val="single" w:sz="4" w:space="0" w:color="auto"/>
              <w:right w:val="nil"/>
            </w:tcBorders>
            <w:shd w:val="clear" w:color="000000" w:fill="FFFFFF"/>
            <w:noWrap/>
            <w:vAlign w:val="bottom"/>
            <w:hideMark/>
          </w:tcPr>
          <w:p w14:paraId="15AD3359" w14:textId="77777777" w:rsidR="009E6D34" w:rsidRPr="009E6D34" w:rsidRDefault="009E6D34" w:rsidP="00B92709">
            <w:pPr>
              <w:jc w:val="center"/>
              <w:rPr>
                <w:color w:val="000000"/>
                <w:sz w:val="22"/>
                <w:szCs w:val="22"/>
              </w:rPr>
            </w:pPr>
            <w:r w:rsidRPr="009E6D34">
              <w:rPr>
                <w:color w:val="000000"/>
                <w:sz w:val="22"/>
                <w:szCs w:val="22"/>
              </w:rPr>
              <w:t>Age 3 + Biomass</w:t>
            </w:r>
          </w:p>
        </w:tc>
        <w:tc>
          <w:tcPr>
            <w:tcW w:w="1196" w:type="dxa"/>
            <w:tcBorders>
              <w:top w:val="single" w:sz="4" w:space="0" w:color="auto"/>
              <w:left w:val="nil"/>
              <w:bottom w:val="single" w:sz="4" w:space="0" w:color="auto"/>
              <w:right w:val="nil"/>
            </w:tcBorders>
            <w:shd w:val="clear" w:color="000000" w:fill="FFFFFF"/>
            <w:noWrap/>
            <w:vAlign w:val="bottom"/>
            <w:hideMark/>
          </w:tcPr>
          <w:p w14:paraId="3097995A" w14:textId="77777777" w:rsidR="009E6D34" w:rsidRPr="009E6D34" w:rsidRDefault="009E6D34" w:rsidP="00B92709">
            <w:pPr>
              <w:jc w:val="center"/>
              <w:rPr>
                <w:color w:val="000000"/>
                <w:sz w:val="22"/>
                <w:szCs w:val="22"/>
              </w:rPr>
            </w:pPr>
            <w:r w:rsidRPr="009E6D34">
              <w:rPr>
                <w:color w:val="000000"/>
                <w:sz w:val="22"/>
                <w:szCs w:val="22"/>
              </w:rPr>
              <w:t>OFL</w:t>
            </w:r>
          </w:p>
        </w:tc>
        <w:tc>
          <w:tcPr>
            <w:tcW w:w="1196" w:type="dxa"/>
            <w:tcBorders>
              <w:top w:val="single" w:sz="4" w:space="0" w:color="auto"/>
              <w:left w:val="nil"/>
              <w:bottom w:val="single" w:sz="4" w:space="0" w:color="auto"/>
              <w:right w:val="nil"/>
            </w:tcBorders>
            <w:shd w:val="clear" w:color="000000" w:fill="FFFFFF"/>
            <w:noWrap/>
            <w:vAlign w:val="bottom"/>
            <w:hideMark/>
          </w:tcPr>
          <w:p w14:paraId="42E2D821" w14:textId="77777777" w:rsidR="009E6D34" w:rsidRPr="009E6D34" w:rsidRDefault="009E6D34" w:rsidP="00B92709">
            <w:pPr>
              <w:jc w:val="center"/>
              <w:rPr>
                <w:color w:val="000000"/>
                <w:sz w:val="22"/>
                <w:szCs w:val="22"/>
              </w:rPr>
            </w:pPr>
            <w:r w:rsidRPr="009E6D34">
              <w:rPr>
                <w:color w:val="000000"/>
                <w:sz w:val="22"/>
                <w:szCs w:val="22"/>
              </w:rPr>
              <w:t>ABC</w:t>
            </w:r>
          </w:p>
        </w:tc>
        <w:tc>
          <w:tcPr>
            <w:tcW w:w="1196" w:type="dxa"/>
            <w:tcBorders>
              <w:top w:val="single" w:sz="4" w:space="0" w:color="auto"/>
              <w:left w:val="nil"/>
              <w:bottom w:val="single" w:sz="4" w:space="0" w:color="auto"/>
              <w:right w:val="nil"/>
            </w:tcBorders>
            <w:shd w:val="clear" w:color="000000" w:fill="FFFFFF"/>
            <w:noWrap/>
            <w:vAlign w:val="bottom"/>
            <w:hideMark/>
          </w:tcPr>
          <w:p w14:paraId="138A39F1" w14:textId="77777777" w:rsidR="009E6D34" w:rsidRPr="009E6D34" w:rsidRDefault="009E6D34" w:rsidP="00B92709">
            <w:pPr>
              <w:jc w:val="center"/>
              <w:rPr>
                <w:color w:val="000000"/>
                <w:sz w:val="22"/>
                <w:szCs w:val="22"/>
              </w:rPr>
            </w:pPr>
            <w:r w:rsidRPr="009E6D34">
              <w:rPr>
                <w:color w:val="000000"/>
                <w:sz w:val="22"/>
                <w:szCs w:val="22"/>
              </w:rPr>
              <w:t>TAC</w:t>
            </w:r>
          </w:p>
        </w:tc>
        <w:tc>
          <w:tcPr>
            <w:tcW w:w="1196" w:type="dxa"/>
            <w:tcBorders>
              <w:top w:val="single" w:sz="4" w:space="0" w:color="auto"/>
              <w:left w:val="nil"/>
              <w:bottom w:val="single" w:sz="4" w:space="0" w:color="auto"/>
              <w:right w:val="single" w:sz="4" w:space="0" w:color="auto"/>
            </w:tcBorders>
            <w:shd w:val="clear" w:color="000000" w:fill="FFFFFF"/>
            <w:noWrap/>
            <w:vAlign w:val="bottom"/>
            <w:hideMark/>
          </w:tcPr>
          <w:p w14:paraId="38DD7EC2" w14:textId="77777777" w:rsidR="009E6D34" w:rsidRPr="009E6D34" w:rsidRDefault="009E6D34" w:rsidP="00B92709">
            <w:pPr>
              <w:jc w:val="center"/>
              <w:rPr>
                <w:color w:val="000000"/>
                <w:sz w:val="22"/>
                <w:szCs w:val="22"/>
              </w:rPr>
            </w:pPr>
            <w:r w:rsidRPr="009E6D34">
              <w:rPr>
                <w:color w:val="000000"/>
                <w:sz w:val="22"/>
                <w:szCs w:val="22"/>
              </w:rPr>
              <w:t>Catch</w:t>
            </w:r>
          </w:p>
        </w:tc>
      </w:tr>
      <w:tr w:rsidR="009E6D34" w:rsidRPr="009E6D34" w14:paraId="3A2173FB" w14:textId="77777777" w:rsidTr="00B92709">
        <w:trPr>
          <w:trHeight w:val="304"/>
        </w:trPr>
        <w:tc>
          <w:tcPr>
            <w:tcW w:w="1172" w:type="dxa"/>
            <w:tcBorders>
              <w:top w:val="nil"/>
              <w:left w:val="single" w:sz="4" w:space="0" w:color="auto"/>
              <w:bottom w:val="nil"/>
              <w:right w:val="nil"/>
            </w:tcBorders>
            <w:shd w:val="clear" w:color="000000" w:fill="FFFFFF"/>
            <w:noWrap/>
            <w:vAlign w:val="bottom"/>
            <w:hideMark/>
          </w:tcPr>
          <w:p w14:paraId="6140D3F9" w14:textId="77777777" w:rsidR="009E6D34" w:rsidRPr="009E6D34" w:rsidRDefault="009E6D34" w:rsidP="00B92709">
            <w:pPr>
              <w:jc w:val="center"/>
              <w:rPr>
                <w:color w:val="000000"/>
                <w:sz w:val="22"/>
                <w:szCs w:val="22"/>
              </w:rPr>
            </w:pPr>
            <w:r w:rsidRPr="009E6D34">
              <w:rPr>
                <w:color w:val="000000"/>
                <w:sz w:val="22"/>
                <w:szCs w:val="22"/>
              </w:rPr>
              <w:t>BSAI</w:t>
            </w:r>
          </w:p>
        </w:tc>
        <w:tc>
          <w:tcPr>
            <w:tcW w:w="1196" w:type="dxa"/>
            <w:tcBorders>
              <w:top w:val="nil"/>
              <w:left w:val="nil"/>
              <w:bottom w:val="nil"/>
              <w:right w:val="nil"/>
            </w:tcBorders>
            <w:shd w:val="clear" w:color="000000" w:fill="FFFFFF"/>
            <w:noWrap/>
            <w:vAlign w:val="bottom"/>
            <w:hideMark/>
          </w:tcPr>
          <w:p w14:paraId="0F10EE12" w14:textId="77777777" w:rsidR="009E6D34" w:rsidRPr="009E6D34" w:rsidRDefault="009E6D34" w:rsidP="00B92709">
            <w:pPr>
              <w:jc w:val="center"/>
              <w:rPr>
                <w:color w:val="000000"/>
                <w:sz w:val="22"/>
                <w:szCs w:val="22"/>
              </w:rPr>
            </w:pPr>
            <w:r w:rsidRPr="009E6D34">
              <w:rPr>
                <w:color w:val="000000"/>
                <w:sz w:val="22"/>
                <w:szCs w:val="22"/>
              </w:rPr>
              <w:t>2020</w:t>
            </w:r>
          </w:p>
        </w:tc>
        <w:tc>
          <w:tcPr>
            <w:tcW w:w="2027" w:type="dxa"/>
            <w:tcBorders>
              <w:top w:val="nil"/>
              <w:left w:val="nil"/>
              <w:bottom w:val="nil"/>
              <w:right w:val="nil"/>
            </w:tcBorders>
            <w:shd w:val="clear" w:color="000000" w:fill="FFFFFF"/>
            <w:noWrap/>
            <w:vAlign w:val="bottom"/>
            <w:hideMark/>
          </w:tcPr>
          <w:p w14:paraId="1789F09F" w14:textId="77777777" w:rsidR="009E6D34" w:rsidRPr="009E6D34" w:rsidRDefault="009E6D34" w:rsidP="00B92709">
            <w:pPr>
              <w:jc w:val="center"/>
              <w:rPr>
                <w:color w:val="000000"/>
                <w:sz w:val="22"/>
                <w:szCs w:val="22"/>
              </w:rPr>
            </w:pPr>
            <w:r w:rsidRPr="009E6D34">
              <w:rPr>
                <w:color w:val="000000"/>
                <w:sz w:val="22"/>
                <w:szCs w:val="22"/>
              </w:rPr>
              <w:t>428,800</w:t>
            </w:r>
          </w:p>
        </w:tc>
        <w:tc>
          <w:tcPr>
            <w:tcW w:w="1196" w:type="dxa"/>
            <w:tcBorders>
              <w:top w:val="nil"/>
              <w:left w:val="nil"/>
              <w:bottom w:val="nil"/>
              <w:right w:val="nil"/>
            </w:tcBorders>
            <w:shd w:val="clear" w:color="000000" w:fill="FFFFFF"/>
            <w:noWrap/>
            <w:vAlign w:val="bottom"/>
            <w:hideMark/>
          </w:tcPr>
          <w:p w14:paraId="21E0D390" w14:textId="77777777" w:rsidR="009E6D34" w:rsidRPr="009E6D34" w:rsidRDefault="009E6D34" w:rsidP="00B92709">
            <w:pPr>
              <w:jc w:val="center"/>
              <w:rPr>
                <w:color w:val="000000"/>
                <w:sz w:val="22"/>
                <w:szCs w:val="22"/>
              </w:rPr>
            </w:pPr>
            <w:r w:rsidRPr="009E6D34">
              <w:rPr>
                <w:color w:val="000000"/>
                <w:sz w:val="22"/>
                <w:szCs w:val="22"/>
              </w:rPr>
              <w:t>37,600</w:t>
            </w:r>
          </w:p>
        </w:tc>
        <w:tc>
          <w:tcPr>
            <w:tcW w:w="1196" w:type="dxa"/>
            <w:tcBorders>
              <w:top w:val="nil"/>
              <w:left w:val="nil"/>
              <w:bottom w:val="nil"/>
              <w:right w:val="nil"/>
            </w:tcBorders>
            <w:shd w:val="clear" w:color="000000" w:fill="FFFFFF"/>
            <w:noWrap/>
            <w:vAlign w:val="bottom"/>
            <w:hideMark/>
          </w:tcPr>
          <w:p w14:paraId="4920FFF2" w14:textId="77777777" w:rsidR="009E6D34" w:rsidRPr="009E6D34" w:rsidRDefault="009E6D34" w:rsidP="00B92709">
            <w:pPr>
              <w:jc w:val="center"/>
              <w:rPr>
                <w:color w:val="000000"/>
                <w:sz w:val="22"/>
                <w:szCs w:val="22"/>
              </w:rPr>
            </w:pPr>
            <w:r w:rsidRPr="009E6D34">
              <w:rPr>
                <w:color w:val="000000"/>
                <w:sz w:val="22"/>
                <w:szCs w:val="22"/>
              </w:rPr>
              <w:t>31,600</w:t>
            </w:r>
          </w:p>
        </w:tc>
        <w:tc>
          <w:tcPr>
            <w:tcW w:w="1196" w:type="dxa"/>
            <w:tcBorders>
              <w:top w:val="nil"/>
              <w:left w:val="nil"/>
              <w:bottom w:val="nil"/>
              <w:right w:val="nil"/>
            </w:tcBorders>
            <w:shd w:val="clear" w:color="000000" w:fill="FFFFFF"/>
            <w:noWrap/>
            <w:vAlign w:val="bottom"/>
            <w:hideMark/>
          </w:tcPr>
          <w:p w14:paraId="1207CF71" w14:textId="77777777" w:rsidR="009E6D34" w:rsidRPr="009E6D34" w:rsidRDefault="009E6D34" w:rsidP="00B92709">
            <w:pPr>
              <w:jc w:val="center"/>
              <w:rPr>
                <w:color w:val="000000"/>
                <w:sz w:val="22"/>
                <w:szCs w:val="22"/>
              </w:rPr>
            </w:pPr>
            <w:r w:rsidRPr="009E6D34">
              <w:rPr>
                <w:color w:val="000000"/>
                <w:sz w:val="22"/>
                <w:szCs w:val="22"/>
              </w:rPr>
              <w:t>17,000</w:t>
            </w:r>
          </w:p>
        </w:tc>
        <w:tc>
          <w:tcPr>
            <w:tcW w:w="1196" w:type="dxa"/>
            <w:tcBorders>
              <w:top w:val="nil"/>
              <w:left w:val="nil"/>
              <w:bottom w:val="nil"/>
              <w:right w:val="single" w:sz="4" w:space="0" w:color="auto"/>
            </w:tcBorders>
            <w:shd w:val="clear" w:color="000000" w:fill="FFFFFF"/>
            <w:noWrap/>
            <w:vAlign w:val="bottom"/>
            <w:hideMark/>
          </w:tcPr>
          <w:p w14:paraId="50ADE470" w14:textId="77777777" w:rsidR="009E6D34" w:rsidRPr="009E6D34" w:rsidRDefault="009E6D34" w:rsidP="00B92709">
            <w:pPr>
              <w:jc w:val="center"/>
              <w:rPr>
                <w:color w:val="000000"/>
                <w:sz w:val="22"/>
                <w:szCs w:val="22"/>
              </w:rPr>
            </w:pPr>
            <w:r w:rsidRPr="009E6D34">
              <w:rPr>
                <w:color w:val="000000"/>
                <w:sz w:val="22"/>
                <w:szCs w:val="22"/>
              </w:rPr>
              <w:t>20,078</w:t>
            </w:r>
          </w:p>
        </w:tc>
      </w:tr>
      <w:tr w:rsidR="009E6D34" w:rsidRPr="009E6D34" w14:paraId="0AB39213" w14:textId="77777777" w:rsidTr="00B92709">
        <w:trPr>
          <w:trHeight w:val="304"/>
        </w:trPr>
        <w:tc>
          <w:tcPr>
            <w:tcW w:w="1172" w:type="dxa"/>
            <w:tcBorders>
              <w:top w:val="nil"/>
              <w:left w:val="single" w:sz="4" w:space="0" w:color="auto"/>
              <w:bottom w:val="nil"/>
              <w:right w:val="nil"/>
            </w:tcBorders>
            <w:shd w:val="clear" w:color="000000" w:fill="FFFFFF"/>
            <w:noWrap/>
            <w:vAlign w:val="bottom"/>
            <w:hideMark/>
          </w:tcPr>
          <w:p w14:paraId="306B2F1D" w14:textId="77777777" w:rsidR="009E6D34" w:rsidRPr="009E6D34" w:rsidRDefault="009E6D34" w:rsidP="00B92709">
            <w:pPr>
              <w:jc w:val="center"/>
              <w:rPr>
                <w:color w:val="000000"/>
                <w:sz w:val="22"/>
                <w:szCs w:val="22"/>
              </w:rPr>
            </w:pPr>
            <w:r w:rsidRPr="009E6D34">
              <w:rPr>
                <w:color w:val="000000"/>
                <w:sz w:val="22"/>
                <w:szCs w:val="22"/>
              </w:rPr>
              <w:t> </w:t>
            </w:r>
          </w:p>
        </w:tc>
        <w:tc>
          <w:tcPr>
            <w:tcW w:w="1196" w:type="dxa"/>
            <w:tcBorders>
              <w:top w:val="nil"/>
              <w:left w:val="nil"/>
              <w:bottom w:val="nil"/>
              <w:right w:val="nil"/>
            </w:tcBorders>
            <w:shd w:val="clear" w:color="000000" w:fill="FFFFFF"/>
            <w:noWrap/>
            <w:vAlign w:val="bottom"/>
            <w:hideMark/>
          </w:tcPr>
          <w:p w14:paraId="1AFB3797" w14:textId="77777777" w:rsidR="009E6D34" w:rsidRPr="009E6D34" w:rsidRDefault="009E6D34" w:rsidP="00B92709">
            <w:pPr>
              <w:jc w:val="center"/>
              <w:rPr>
                <w:color w:val="000000"/>
                <w:sz w:val="22"/>
                <w:szCs w:val="22"/>
              </w:rPr>
            </w:pPr>
            <w:r w:rsidRPr="009E6D34">
              <w:rPr>
                <w:color w:val="000000"/>
                <w:sz w:val="22"/>
                <w:szCs w:val="22"/>
              </w:rPr>
              <w:t>2021</w:t>
            </w:r>
          </w:p>
        </w:tc>
        <w:tc>
          <w:tcPr>
            <w:tcW w:w="2027" w:type="dxa"/>
            <w:tcBorders>
              <w:top w:val="nil"/>
              <w:left w:val="nil"/>
              <w:bottom w:val="nil"/>
              <w:right w:val="nil"/>
            </w:tcBorders>
            <w:shd w:val="clear" w:color="000000" w:fill="FFFFFF"/>
            <w:noWrap/>
            <w:vAlign w:val="bottom"/>
            <w:hideMark/>
          </w:tcPr>
          <w:p w14:paraId="32905D58" w14:textId="77777777" w:rsidR="009E6D34" w:rsidRPr="009E6D34" w:rsidRDefault="009E6D34" w:rsidP="00B92709">
            <w:pPr>
              <w:jc w:val="center"/>
              <w:rPr>
                <w:color w:val="000000"/>
                <w:sz w:val="22"/>
                <w:szCs w:val="22"/>
              </w:rPr>
            </w:pPr>
            <w:r w:rsidRPr="009E6D34">
              <w:rPr>
                <w:color w:val="000000"/>
                <w:sz w:val="22"/>
                <w:szCs w:val="22"/>
              </w:rPr>
              <w:t>427,587</w:t>
            </w:r>
          </w:p>
        </w:tc>
        <w:tc>
          <w:tcPr>
            <w:tcW w:w="1196" w:type="dxa"/>
            <w:tcBorders>
              <w:top w:val="nil"/>
              <w:left w:val="nil"/>
              <w:bottom w:val="nil"/>
              <w:right w:val="nil"/>
            </w:tcBorders>
            <w:shd w:val="clear" w:color="000000" w:fill="FFFFFF"/>
            <w:noWrap/>
            <w:vAlign w:val="bottom"/>
            <w:hideMark/>
          </w:tcPr>
          <w:p w14:paraId="6759C95D" w14:textId="77777777" w:rsidR="009E6D34" w:rsidRPr="009E6D34" w:rsidRDefault="009E6D34" w:rsidP="00B92709">
            <w:pPr>
              <w:jc w:val="center"/>
              <w:rPr>
                <w:color w:val="000000"/>
                <w:sz w:val="22"/>
                <w:szCs w:val="22"/>
              </w:rPr>
            </w:pPr>
            <w:r w:rsidRPr="009E6D34">
              <w:rPr>
                <w:color w:val="000000"/>
                <w:sz w:val="22"/>
                <w:szCs w:val="22"/>
              </w:rPr>
              <w:t>37,924</w:t>
            </w:r>
          </w:p>
        </w:tc>
        <w:tc>
          <w:tcPr>
            <w:tcW w:w="1196" w:type="dxa"/>
            <w:tcBorders>
              <w:top w:val="nil"/>
              <w:left w:val="nil"/>
              <w:bottom w:val="nil"/>
              <w:right w:val="nil"/>
            </w:tcBorders>
            <w:shd w:val="clear" w:color="000000" w:fill="FFFFFF"/>
            <w:noWrap/>
            <w:vAlign w:val="bottom"/>
            <w:hideMark/>
          </w:tcPr>
          <w:p w14:paraId="7A8EF12A" w14:textId="77777777" w:rsidR="009E6D34" w:rsidRPr="009E6D34" w:rsidRDefault="009E6D34" w:rsidP="00B92709">
            <w:pPr>
              <w:jc w:val="center"/>
              <w:rPr>
                <w:color w:val="000000"/>
                <w:sz w:val="22"/>
                <w:szCs w:val="22"/>
              </w:rPr>
            </w:pPr>
            <w:r w:rsidRPr="009E6D34">
              <w:rPr>
                <w:color w:val="000000"/>
                <w:sz w:val="22"/>
                <w:szCs w:val="22"/>
              </w:rPr>
              <w:t>31,657</w:t>
            </w:r>
          </w:p>
        </w:tc>
        <w:tc>
          <w:tcPr>
            <w:tcW w:w="1196" w:type="dxa"/>
            <w:tcBorders>
              <w:top w:val="nil"/>
              <w:left w:val="nil"/>
              <w:bottom w:val="nil"/>
              <w:right w:val="nil"/>
            </w:tcBorders>
            <w:shd w:val="clear" w:color="000000" w:fill="FFFFFF"/>
            <w:noWrap/>
            <w:vAlign w:val="bottom"/>
            <w:hideMark/>
          </w:tcPr>
          <w:p w14:paraId="58C6C62D" w14:textId="77777777" w:rsidR="009E6D34" w:rsidRPr="009E6D34" w:rsidRDefault="009E6D34" w:rsidP="00B92709">
            <w:pPr>
              <w:jc w:val="center"/>
              <w:rPr>
                <w:color w:val="000000"/>
                <w:sz w:val="22"/>
                <w:szCs w:val="22"/>
              </w:rPr>
            </w:pPr>
            <w:r w:rsidRPr="009E6D34">
              <w:rPr>
                <w:color w:val="000000"/>
                <w:sz w:val="22"/>
                <w:szCs w:val="22"/>
              </w:rPr>
              <w:t>24,500</w:t>
            </w:r>
          </w:p>
        </w:tc>
        <w:tc>
          <w:tcPr>
            <w:tcW w:w="1196" w:type="dxa"/>
            <w:tcBorders>
              <w:top w:val="nil"/>
              <w:left w:val="nil"/>
              <w:bottom w:val="nil"/>
              <w:right w:val="single" w:sz="4" w:space="0" w:color="auto"/>
            </w:tcBorders>
            <w:shd w:val="clear" w:color="000000" w:fill="FFFFFF"/>
            <w:noWrap/>
            <w:vAlign w:val="bottom"/>
            <w:hideMark/>
          </w:tcPr>
          <w:p w14:paraId="5CAD982B" w14:textId="77777777" w:rsidR="009E6D34" w:rsidRPr="009E6D34" w:rsidRDefault="009E6D34" w:rsidP="00B92709">
            <w:pPr>
              <w:jc w:val="center"/>
              <w:rPr>
                <w:color w:val="000000"/>
                <w:sz w:val="22"/>
                <w:szCs w:val="22"/>
              </w:rPr>
            </w:pPr>
            <w:r w:rsidRPr="009E6D34">
              <w:rPr>
                <w:color w:val="000000"/>
                <w:sz w:val="22"/>
                <w:szCs w:val="22"/>
              </w:rPr>
              <w:t>15,653</w:t>
            </w:r>
          </w:p>
        </w:tc>
      </w:tr>
      <w:tr w:rsidR="009E6D34" w:rsidRPr="009E6D34" w14:paraId="2CA50C37" w14:textId="77777777" w:rsidTr="00B92709">
        <w:trPr>
          <w:trHeight w:val="304"/>
        </w:trPr>
        <w:tc>
          <w:tcPr>
            <w:tcW w:w="1172" w:type="dxa"/>
            <w:tcBorders>
              <w:top w:val="nil"/>
              <w:left w:val="single" w:sz="4" w:space="0" w:color="auto"/>
              <w:bottom w:val="nil"/>
              <w:right w:val="nil"/>
            </w:tcBorders>
            <w:shd w:val="clear" w:color="000000" w:fill="FFFFFF"/>
            <w:noWrap/>
            <w:vAlign w:val="bottom"/>
            <w:hideMark/>
          </w:tcPr>
          <w:p w14:paraId="25F79E53" w14:textId="77777777" w:rsidR="009E6D34" w:rsidRPr="009E6D34" w:rsidRDefault="009E6D34" w:rsidP="00B92709">
            <w:pPr>
              <w:jc w:val="center"/>
              <w:rPr>
                <w:color w:val="000000"/>
                <w:sz w:val="22"/>
                <w:szCs w:val="22"/>
              </w:rPr>
            </w:pPr>
            <w:r w:rsidRPr="009E6D34">
              <w:rPr>
                <w:color w:val="000000"/>
                <w:sz w:val="22"/>
                <w:szCs w:val="22"/>
              </w:rPr>
              <w:t> </w:t>
            </w:r>
          </w:p>
        </w:tc>
        <w:tc>
          <w:tcPr>
            <w:tcW w:w="1196" w:type="dxa"/>
            <w:tcBorders>
              <w:top w:val="nil"/>
              <w:left w:val="nil"/>
              <w:bottom w:val="nil"/>
              <w:right w:val="nil"/>
            </w:tcBorders>
            <w:shd w:val="clear" w:color="000000" w:fill="FFFFFF"/>
            <w:noWrap/>
            <w:vAlign w:val="bottom"/>
            <w:hideMark/>
          </w:tcPr>
          <w:p w14:paraId="27818B34" w14:textId="77777777" w:rsidR="009E6D34" w:rsidRPr="009E6D34" w:rsidRDefault="009E6D34" w:rsidP="00B92709">
            <w:pPr>
              <w:jc w:val="center"/>
              <w:rPr>
                <w:color w:val="000000"/>
                <w:sz w:val="22"/>
                <w:szCs w:val="22"/>
              </w:rPr>
            </w:pPr>
            <w:r w:rsidRPr="009E6D34">
              <w:rPr>
                <w:color w:val="000000"/>
                <w:sz w:val="22"/>
                <w:szCs w:val="22"/>
              </w:rPr>
              <w:t>2022</w:t>
            </w:r>
          </w:p>
        </w:tc>
        <w:tc>
          <w:tcPr>
            <w:tcW w:w="2027" w:type="dxa"/>
            <w:tcBorders>
              <w:top w:val="nil"/>
              <w:left w:val="nil"/>
              <w:bottom w:val="nil"/>
              <w:right w:val="nil"/>
            </w:tcBorders>
            <w:shd w:val="clear" w:color="000000" w:fill="FFFFFF"/>
            <w:noWrap/>
            <w:vAlign w:val="bottom"/>
            <w:hideMark/>
          </w:tcPr>
          <w:p w14:paraId="2FC61472" w14:textId="77777777" w:rsidR="009E6D34" w:rsidRPr="009E6D34" w:rsidRDefault="009E6D34" w:rsidP="00B92709">
            <w:pPr>
              <w:jc w:val="center"/>
              <w:rPr>
                <w:color w:val="000000"/>
                <w:sz w:val="22"/>
                <w:szCs w:val="22"/>
              </w:rPr>
            </w:pPr>
            <w:r w:rsidRPr="009E6D34">
              <w:rPr>
                <w:color w:val="000000"/>
                <w:sz w:val="22"/>
                <w:szCs w:val="22"/>
              </w:rPr>
              <w:t>442,946</w:t>
            </w:r>
          </w:p>
        </w:tc>
        <w:tc>
          <w:tcPr>
            <w:tcW w:w="1196" w:type="dxa"/>
            <w:tcBorders>
              <w:top w:val="nil"/>
              <w:left w:val="nil"/>
              <w:bottom w:val="nil"/>
              <w:right w:val="nil"/>
            </w:tcBorders>
            <w:shd w:val="clear" w:color="000000" w:fill="FFFFFF"/>
            <w:noWrap/>
            <w:vAlign w:val="bottom"/>
            <w:hideMark/>
          </w:tcPr>
          <w:p w14:paraId="5D0B28FD" w14:textId="77777777" w:rsidR="009E6D34" w:rsidRPr="009E6D34" w:rsidRDefault="009E6D34" w:rsidP="00B92709">
            <w:pPr>
              <w:jc w:val="center"/>
              <w:rPr>
                <w:color w:val="000000"/>
                <w:sz w:val="22"/>
                <w:szCs w:val="22"/>
              </w:rPr>
            </w:pPr>
            <w:r w:rsidRPr="009E6D34">
              <w:rPr>
                <w:color w:val="000000"/>
                <w:sz w:val="22"/>
                <w:szCs w:val="22"/>
              </w:rPr>
              <w:t>40,823</w:t>
            </w:r>
          </w:p>
        </w:tc>
        <w:tc>
          <w:tcPr>
            <w:tcW w:w="1196" w:type="dxa"/>
            <w:tcBorders>
              <w:top w:val="nil"/>
              <w:left w:val="nil"/>
              <w:bottom w:val="nil"/>
              <w:right w:val="nil"/>
            </w:tcBorders>
            <w:shd w:val="clear" w:color="000000" w:fill="FFFFFF"/>
            <w:noWrap/>
            <w:vAlign w:val="bottom"/>
            <w:hideMark/>
          </w:tcPr>
          <w:p w14:paraId="10304802" w14:textId="77777777" w:rsidR="009E6D34" w:rsidRPr="009E6D34" w:rsidRDefault="009E6D34" w:rsidP="00B92709">
            <w:pPr>
              <w:jc w:val="center"/>
              <w:rPr>
                <w:color w:val="000000"/>
                <w:sz w:val="22"/>
                <w:szCs w:val="22"/>
              </w:rPr>
            </w:pPr>
            <w:r w:rsidRPr="009E6D34">
              <w:rPr>
                <w:color w:val="000000"/>
                <w:sz w:val="22"/>
                <w:szCs w:val="22"/>
              </w:rPr>
              <w:t>33,946</w:t>
            </w:r>
          </w:p>
        </w:tc>
        <w:tc>
          <w:tcPr>
            <w:tcW w:w="1196" w:type="dxa"/>
            <w:tcBorders>
              <w:top w:val="nil"/>
              <w:left w:val="nil"/>
              <w:bottom w:val="nil"/>
              <w:right w:val="nil"/>
            </w:tcBorders>
            <w:shd w:val="clear" w:color="000000" w:fill="FFFFFF"/>
            <w:noWrap/>
            <w:vAlign w:val="bottom"/>
            <w:hideMark/>
          </w:tcPr>
          <w:p w14:paraId="27471CE4" w14:textId="77777777" w:rsidR="009E6D34" w:rsidRPr="009E6D34" w:rsidRDefault="009E6D34" w:rsidP="00B92709">
            <w:pPr>
              <w:jc w:val="center"/>
              <w:rPr>
                <w:color w:val="000000"/>
                <w:sz w:val="22"/>
                <w:szCs w:val="22"/>
              </w:rPr>
            </w:pPr>
            <w:r w:rsidRPr="009E6D34">
              <w:rPr>
                <w:color w:val="000000"/>
                <w:sz w:val="22"/>
                <w:szCs w:val="22"/>
              </w:rPr>
              <w:t>n/a</w:t>
            </w:r>
          </w:p>
        </w:tc>
        <w:tc>
          <w:tcPr>
            <w:tcW w:w="1196" w:type="dxa"/>
            <w:tcBorders>
              <w:top w:val="nil"/>
              <w:left w:val="nil"/>
              <w:bottom w:val="nil"/>
              <w:right w:val="single" w:sz="4" w:space="0" w:color="auto"/>
            </w:tcBorders>
            <w:shd w:val="clear" w:color="000000" w:fill="FFFFFF"/>
            <w:noWrap/>
            <w:vAlign w:val="bottom"/>
            <w:hideMark/>
          </w:tcPr>
          <w:p w14:paraId="6E2C1817" w14:textId="77777777" w:rsidR="009E6D34" w:rsidRPr="009E6D34" w:rsidRDefault="009E6D34" w:rsidP="00B92709">
            <w:pPr>
              <w:jc w:val="center"/>
              <w:rPr>
                <w:color w:val="000000"/>
                <w:sz w:val="22"/>
                <w:szCs w:val="22"/>
              </w:rPr>
            </w:pPr>
            <w:r w:rsidRPr="009E6D34">
              <w:rPr>
                <w:color w:val="000000"/>
                <w:sz w:val="22"/>
                <w:szCs w:val="22"/>
              </w:rPr>
              <w:t>n/a</w:t>
            </w:r>
          </w:p>
        </w:tc>
      </w:tr>
      <w:tr w:rsidR="009E6D34" w:rsidRPr="009E6D34" w14:paraId="05B1FE16" w14:textId="77777777" w:rsidTr="00B92709">
        <w:trPr>
          <w:trHeight w:val="304"/>
        </w:trPr>
        <w:tc>
          <w:tcPr>
            <w:tcW w:w="1172" w:type="dxa"/>
            <w:tcBorders>
              <w:top w:val="nil"/>
              <w:left w:val="single" w:sz="4" w:space="0" w:color="auto"/>
              <w:bottom w:val="single" w:sz="4" w:space="0" w:color="auto"/>
              <w:right w:val="nil"/>
            </w:tcBorders>
            <w:shd w:val="clear" w:color="000000" w:fill="FFFFFF"/>
            <w:noWrap/>
            <w:vAlign w:val="bottom"/>
            <w:hideMark/>
          </w:tcPr>
          <w:p w14:paraId="52D25626" w14:textId="77777777" w:rsidR="009E6D34" w:rsidRPr="009E6D34" w:rsidRDefault="009E6D34" w:rsidP="00B92709">
            <w:pPr>
              <w:jc w:val="center"/>
              <w:rPr>
                <w:color w:val="000000"/>
                <w:sz w:val="22"/>
                <w:szCs w:val="22"/>
              </w:rPr>
            </w:pPr>
            <w:r w:rsidRPr="009E6D34">
              <w:rPr>
                <w:color w:val="000000"/>
                <w:sz w:val="22"/>
                <w:szCs w:val="22"/>
              </w:rPr>
              <w:t> </w:t>
            </w:r>
          </w:p>
        </w:tc>
        <w:tc>
          <w:tcPr>
            <w:tcW w:w="1196" w:type="dxa"/>
            <w:tcBorders>
              <w:top w:val="nil"/>
              <w:left w:val="nil"/>
              <w:bottom w:val="single" w:sz="4" w:space="0" w:color="auto"/>
              <w:right w:val="nil"/>
            </w:tcBorders>
            <w:shd w:val="clear" w:color="000000" w:fill="FFFFFF"/>
            <w:noWrap/>
            <w:vAlign w:val="bottom"/>
            <w:hideMark/>
          </w:tcPr>
          <w:p w14:paraId="6A3FC42C" w14:textId="77777777" w:rsidR="009E6D34" w:rsidRPr="009E6D34" w:rsidRDefault="009E6D34" w:rsidP="00B92709">
            <w:pPr>
              <w:jc w:val="center"/>
              <w:rPr>
                <w:color w:val="000000"/>
                <w:sz w:val="22"/>
                <w:szCs w:val="22"/>
              </w:rPr>
            </w:pPr>
            <w:r w:rsidRPr="009E6D34">
              <w:rPr>
                <w:color w:val="000000"/>
                <w:sz w:val="22"/>
                <w:szCs w:val="22"/>
              </w:rPr>
              <w:t>2023</w:t>
            </w:r>
          </w:p>
        </w:tc>
        <w:tc>
          <w:tcPr>
            <w:tcW w:w="2027" w:type="dxa"/>
            <w:tcBorders>
              <w:top w:val="nil"/>
              <w:left w:val="nil"/>
              <w:bottom w:val="single" w:sz="4" w:space="0" w:color="auto"/>
              <w:right w:val="nil"/>
            </w:tcBorders>
            <w:shd w:val="clear" w:color="000000" w:fill="FFFFFF"/>
            <w:noWrap/>
            <w:vAlign w:val="bottom"/>
            <w:hideMark/>
          </w:tcPr>
          <w:p w14:paraId="2B55BA0E" w14:textId="77777777" w:rsidR="009E6D34" w:rsidRPr="009E6D34" w:rsidRDefault="009E6D34" w:rsidP="00B92709">
            <w:pPr>
              <w:jc w:val="center"/>
              <w:rPr>
                <w:color w:val="000000"/>
                <w:sz w:val="22"/>
                <w:szCs w:val="22"/>
              </w:rPr>
            </w:pPr>
            <w:r w:rsidRPr="009E6D34">
              <w:rPr>
                <w:color w:val="000000"/>
                <w:sz w:val="22"/>
                <w:szCs w:val="22"/>
              </w:rPr>
              <w:t>454,030</w:t>
            </w:r>
          </w:p>
        </w:tc>
        <w:tc>
          <w:tcPr>
            <w:tcW w:w="1196" w:type="dxa"/>
            <w:tcBorders>
              <w:top w:val="nil"/>
              <w:left w:val="nil"/>
              <w:bottom w:val="single" w:sz="4" w:space="0" w:color="auto"/>
              <w:right w:val="nil"/>
            </w:tcBorders>
            <w:shd w:val="clear" w:color="000000" w:fill="FFFFFF"/>
            <w:noWrap/>
            <w:vAlign w:val="bottom"/>
            <w:hideMark/>
          </w:tcPr>
          <w:p w14:paraId="12CF7E69" w14:textId="77777777" w:rsidR="009E6D34" w:rsidRPr="009E6D34" w:rsidRDefault="009E6D34" w:rsidP="00B92709">
            <w:pPr>
              <w:jc w:val="center"/>
              <w:rPr>
                <w:color w:val="000000"/>
                <w:sz w:val="22"/>
                <w:szCs w:val="22"/>
              </w:rPr>
            </w:pPr>
            <w:r w:rsidRPr="009E6D34">
              <w:rPr>
                <w:color w:val="000000"/>
                <w:sz w:val="22"/>
                <w:szCs w:val="22"/>
              </w:rPr>
              <w:t>43,328</w:t>
            </w:r>
          </w:p>
        </w:tc>
        <w:tc>
          <w:tcPr>
            <w:tcW w:w="1196" w:type="dxa"/>
            <w:tcBorders>
              <w:top w:val="nil"/>
              <w:left w:val="nil"/>
              <w:bottom w:val="single" w:sz="4" w:space="0" w:color="auto"/>
              <w:right w:val="nil"/>
            </w:tcBorders>
            <w:shd w:val="clear" w:color="000000" w:fill="FFFFFF"/>
            <w:noWrap/>
            <w:vAlign w:val="bottom"/>
            <w:hideMark/>
          </w:tcPr>
          <w:p w14:paraId="3D313505" w14:textId="77777777" w:rsidR="009E6D34" w:rsidRPr="009E6D34" w:rsidRDefault="009E6D34" w:rsidP="00B92709">
            <w:pPr>
              <w:jc w:val="center"/>
              <w:rPr>
                <w:color w:val="000000"/>
                <w:sz w:val="22"/>
                <w:szCs w:val="22"/>
              </w:rPr>
            </w:pPr>
            <w:r w:rsidRPr="009E6D34">
              <w:rPr>
                <w:color w:val="000000"/>
                <w:sz w:val="22"/>
                <w:szCs w:val="22"/>
              </w:rPr>
              <w:t>36,021</w:t>
            </w:r>
          </w:p>
        </w:tc>
        <w:tc>
          <w:tcPr>
            <w:tcW w:w="1196" w:type="dxa"/>
            <w:tcBorders>
              <w:top w:val="nil"/>
              <w:left w:val="nil"/>
              <w:bottom w:val="single" w:sz="4" w:space="0" w:color="auto"/>
              <w:right w:val="nil"/>
            </w:tcBorders>
            <w:shd w:val="clear" w:color="000000" w:fill="FFFFFF"/>
            <w:noWrap/>
            <w:vAlign w:val="bottom"/>
            <w:hideMark/>
          </w:tcPr>
          <w:p w14:paraId="23CBE778" w14:textId="77777777" w:rsidR="009E6D34" w:rsidRPr="009E6D34" w:rsidRDefault="009E6D34" w:rsidP="00B92709">
            <w:pPr>
              <w:jc w:val="center"/>
              <w:rPr>
                <w:color w:val="000000"/>
                <w:sz w:val="22"/>
                <w:szCs w:val="22"/>
              </w:rPr>
            </w:pPr>
            <w:r w:rsidRPr="009E6D34">
              <w:rPr>
                <w:color w:val="000000"/>
                <w:sz w:val="22"/>
                <w:szCs w:val="22"/>
              </w:rPr>
              <w:t>n/a</w:t>
            </w:r>
          </w:p>
        </w:tc>
        <w:tc>
          <w:tcPr>
            <w:tcW w:w="1196" w:type="dxa"/>
            <w:tcBorders>
              <w:top w:val="nil"/>
              <w:left w:val="nil"/>
              <w:bottom w:val="single" w:sz="4" w:space="0" w:color="auto"/>
              <w:right w:val="single" w:sz="4" w:space="0" w:color="auto"/>
            </w:tcBorders>
            <w:shd w:val="clear" w:color="000000" w:fill="FFFFFF"/>
            <w:noWrap/>
            <w:vAlign w:val="bottom"/>
            <w:hideMark/>
          </w:tcPr>
          <w:p w14:paraId="607BBA96" w14:textId="77777777" w:rsidR="009E6D34" w:rsidRPr="009E6D34" w:rsidRDefault="009E6D34" w:rsidP="00B92709">
            <w:pPr>
              <w:jc w:val="center"/>
              <w:rPr>
                <w:color w:val="000000"/>
                <w:sz w:val="22"/>
                <w:szCs w:val="22"/>
              </w:rPr>
            </w:pPr>
            <w:r w:rsidRPr="009E6D34">
              <w:rPr>
                <w:color w:val="000000"/>
                <w:sz w:val="22"/>
                <w:szCs w:val="22"/>
              </w:rPr>
              <w:t>n/a</w:t>
            </w:r>
          </w:p>
        </w:tc>
      </w:tr>
    </w:tbl>
    <w:p w14:paraId="186D538F" w14:textId="77777777" w:rsidR="009E6D34" w:rsidRPr="009E6D34" w:rsidRDefault="009E6D34" w:rsidP="009E6D34">
      <w:pPr>
        <w:outlineLvl w:val="4"/>
        <w:rPr>
          <w:b/>
          <w:bCs/>
          <w:sz w:val="22"/>
          <w:szCs w:val="22"/>
        </w:rPr>
      </w:pPr>
    </w:p>
    <w:p w14:paraId="352B45F4" w14:textId="77777777" w:rsidR="009E6D34" w:rsidRPr="009E6D34" w:rsidRDefault="009E6D34" w:rsidP="009E6D34">
      <w:pPr>
        <w:rPr>
          <w:sz w:val="22"/>
          <w:szCs w:val="22"/>
        </w:rPr>
      </w:pPr>
      <w:r w:rsidRPr="009E6D34">
        <w:rPr>
          <w:color w:val="000000"/>
          <w:sz w:val="22"/>
          <w:szCs w:val="22"/>
        </w:rPr>
        <w:t xml:space="preserve">Alaska plaice </w:t>
      </w:r>
      <w:proofErr w:type="gramStart"/>
      <w:r w:rsidRPr="009E6D34">
        <w:rPr>
          <w:color w:val="000000"/>
          <w:sz w:val="22"/>
          <w:szCs w:val="22"/>
        </w:rPr>
        <w:t>are assessed</w:t>
      </w:r>
      <w:proofErr w:type="gramEnd"/>
      <w:r w:rsidRPr="009E6D34">
        <w:rPr>
          <w:color w:val="000000"/>
          <w:sz w:val="22"/>
          <w:szCs w:val="22"/>
        </w:rPr>
        <w:t xml:space="preserve"> biennially using an age-structured population dynamics model implemented in the software program AD Model Builder. Changes to the assessment model </w:t>
      </w:r>
      <w:proofErr w:type="gramStart"/>
      <w:r w:rsidRPr="009E6D34">
        <w:rPr>
          <w:color w:val="000000"/>
          <w:sz w:val="22"/>
          <w:szCs w:val="22"/>
        </w:rPr>
        <w:t>were not made</w:t>
      </w:r>
      <w:proofErr w:type="gramEnd"/>
      <w:r w:rsidRPr="009E6D34">
        <w:rPr>
          <w:color w:val="000000"/>
          <w:sz w:val="22"/>
          <w:szCs w:val="22"/>
        </w:rPr>
        <w:t xml:space="preserve"> in 2022. </w:t>
      </w:r>
      <w:r w:rsidRPr="009E6D34">
        <w:rPr>
          <w:sz w:val="22"/>
          <w:szCs w:val="22"/>
        </w:rPr>
        <w:t>Changes to the input data included updated catch data through 2020, estimated catch for 2021, projected catches for 2022-2023, 2021 eastern Bering Sea (EBS) trawl survey biomass estimates and standard errors (no survey in 2020 due to COVID-19), 2019 survey ages (no otoliths collected in 2020 due to no survey), and 2019 and 2020 fishery length compositions.</w:t>
      </w:r>
    </w:p>
    <w:p w14:paraId="58277389" w14:textId="77777777" w:rsidR="009E6D34" w:rsidRPr="009E6D34" w:rsidRDefault="009E6D34" w:rsidP="009E6D34">
      <w:pPr>
        <w:rPr>
          <w:sz w:val="22"/>
          <w:szCs w:val="22"/>
        </w:rPr>
      </w:pPr>
    </w:p>
    <w:p w14:paraId="7C883D10" w14:textId="77777777" w:rsidR="009E6D34" w:rsidRPr="009E6D34" w:rsidRDefault="009E6D34" w:rsidP="009E6D34">
      <w:pPr>
        <w:rPr>
          <w:sz w:val="22"/>
          <w:szCs w:val="22"/>
        </w:rPr>
      </w:pPr>
      <w:r w:rsidRPr="009E6D34">
        <w:rPr>
          <w:sz w:val="22"/>
          <w:szCs w:val="22"/>
        </w:rPr>
        <w:t xml:space="preserve">The survey biomass estimate for 2021 (333,830 t) was 9% lower than the 2019 estimate and is the lowest value in the survey time series. Similarly, model estimates of female spawning biomass (158,090 t in 2021) continued their decline since 2013. In contrast, model estimates of total biomass (455,187 t in 2021) show an increasing trend since 2019. These results are likely due to estimates of relatively strong recruitment since 2017, a pattern </w:t>
      </w:r>
      <w:proofErr w:type="gramStart"/>
      <w:r w:rsidRPr="009E6D34">
        <w:rPr>
          <w:sz w:val="22"/>
          <w:szCs w:val="22"/>
        </w:rPr>
        <w:t>which</w:t>
      </w:r>
      <w:proofErr w:type="gramEnd"/>
      <w:r w:rsidRPr="009E6D34">
        <w:rPr>
          <w:sz w:val="22"/>
          <w:szCs w:val="22"/>
        </w:rPr>
        <w:t xml:space="preserve"> began to emerge in the 2019 assessment. The Alaska plaice stock is projected to remain above the </w:t>
      </w:r>
      <w:proofErr w:type="gramStart"/>
      <w:r w:rsidRPr="009E6D34">
        <w:rPr>
          <w:sz w:val="22"/>
          <w:szCs w:val="22"/>
        </w:rPr>
        <w:t>B35%</w:t>
      </w:r>
      <w:proofErr w:type="gramEnd"/>
      <w:r w:rsidRPr="009E6D34">
        <w:rPr>
          <w:sz w:val="22"/>
          <w:szCs w:val="22"/>
        </w:rPr>
        <w:t xml:space="preserve"> level of female spawning biomass while declining over the next several years. Alaska plaice continue to </w:t>
      </w:r>
      <w:proofErr w:type="gramStart"/>
      <w:r w:rsidRPr="009E6D34">
        <w:rPr>
          <w:sz w:val="22"/>
          <w:szCs w:val="22"/>
        </w:rPr>
        <w:t>be found</w:t>
      </w:r>
      <w:proofErr w:type="gramEnd"/>
      <w:r w:rsidRPr="009E6D34">
        <w:rPr>
          <w:sz w:val="22"/>
          <w:szCs w:val="22"/>
        </w:rPr>
        <w:t xml:space="preserve"> in high abundance in the northern Bering Sea (NBS) and the 2021 NBS estimate (344,578 t) exceeded the EBS estimate for the first time.</w:t>
      </w:r>
    </w:p>
    <w:p w14:paraId="119B770A" w14:textId="77777777" w:rsidR="009E6D34" w:rsidRPr="009E6D34" w:rsidRDefault="009E6D34" w:rsidP="009E6D34">
      <w:pPr>
        <w:rPr>
          <w:sz w:val="22"/>
          <w:szCs w:val="22"/>
        </w:rPr>
      </w:pPr>
    </w:p>
    <w:p w14:paraId="14328796" w14:textId="77777777" w:rsidR="009E6D34" w:rsidRPr="009E6D34" w:rsidRDefault="009E6D34" w:rsidP="009E6D34">
      <w:pPr>
        <w:rPr>
          <w:sz w:val="22"/>
          <w:szCs w:val="22"/>
        </w:rPr>
      </w:pPr>
      <w:r w:rsidRPr="009E6D34">
        <w:rPr>
          <w:sz w:val="22"/>
          <w:szCs w:val="22"/>
        </w:rPr>
        <w:t xml:space="preserve">Alaska plaice </w:t>
      </w:r>
      <w:proofErr w:type="gramStart"/>
      <w:r w:rsidRPr="009E6D34">
        <w:rPr>
          <w:sz w:val="22"/>
          <w:szCs w:val="22"/>
        </w:rPr>
        <w:t>is not being subjected</w:t>
      </w:r>
      <w:proofErr w:type="gramEnd"/>
      <w:r w:rsidRPr="009E6D34">
        <w:rPr>
          <w:sz w:val="22"/>
          <w:szCs w:val="22"/>
        </w:rPr>
        <w:t xml:space="preserve"> to overfishing, is not overfished, and is not approaching an overfished condition.</w:t>
      </w:r>
    </w:p>
    <w:p w14:paraId="71884DDF" w14:textId="77777777" w:rsidR="009E6D34" w:rsidRPr="009E6D34" w:rsidRDefault="009E6D34" w:rsidP="009E6D34">
      <w:pPr>
        <w:rPr>
          <w:sz w:val="22"/>
          <w:szCs w:val="22"/>
        </w:rPr>
      </w:pPr>
    </w:p>
    <w:p w14:paraId="15204FB0" w14:textId="77777777" w:rsidR="009E6D34" w:rsidRPr="009E6D34" w:rsidRDefault="009E6D34" w:rsidP="009E6D34">
      <w:pPr>
        <w:rPr>
          <w:sz w:val="22"/>
          <w:szCs w:val="22"/>
        </w:rPr>
      </w:pPr>
      <w:r w:rsidRPr="009E6D34">
        <w:rPr>
          <w:sz w:val="22"/>
          <w:szCs w:val="22"/>
        </w:rPr>
        <w:t xml:space="preserve">For further </w:t>
      </w:r>
      <w:proofErr w:type="gramStart"/>
      <w:r w:rsidRPr="009E6D34">
        <w:rPr>
          <w:sz w:val="22"/>
          <w:szCs w:val="22"/>
        </w:rPr>
        <w:t>information</w:t>
      </w:r>
      <w:proofErr w:type="gramEnd"/>
      <w:r w:rsidRPr="009E6D34">
        <w:rPr>
          <w:sz w:val="22"/>
          <w:szCs w:val="22"/>
        </w:rPr>
        <w:t xml:space="preserve"> contact Sandra Lowe, sandra.lowe@noaa.gov</w:t>
      </w:r>
    </w:p>
    <w:p w14:paraId="38DEFD7B" w14:textId="77777777" w:rsidR="00DE3EE8" w:rsidRPr="002B7E6B" w:rsidRDefault="00DE3EE8" w:rsidP="00DE3EE8">
      <w:pPr>
        <w:rPr>
          <w:sz w:val="22"/>
          <w:szCs w:val="22"/>
        </w:rPr>
      </w:pPr>
    </w:p>
    <w:p w14:paraId="5DAF1A71" w14:textId="6B4E1CDF" w:rsidR="00DE3EE8" w:rsidRDefault="00DE3EE8" w:rsidP="00017EC4">
      <w:pPr>
        <w:pStyle w:val="Heading5"/>
      </w:pPr>
      <w:bookmarkStart w:id="155" w:name="_Toc131503896"/>
      <w:r w:rsidRPr="00017EC4">
        <w:t xml:space="preserve">Rex </w:t>
      </w:r>
      <w:proofErr w:type="gramStart"/>
      <w:r w:rsidRPr="00017EC4">
        <w:t>sole</w:t>
      </w:r>
      <w:proofErr w:type="gramEnd"/>
      <w:r w:rsidR="0024271A">
        <w:t xml:space="preserve"> – </w:t>
      </w:r>
      <w:r w:rsidRPr="00017EC4">
        <w:t xml:space="preserve">Gulf of Alaska </w:t>
      </w:r>
      <w:r w:rsidR="00017EC4">
        <w:t>–</w:t>
      </w:r>
      <w:r w:rsidRPr="00017EC4">
        <w:t xml:space="preserve"> REFM</w:t>
      </w:r>
      <w:bookmarkEnd w:id="155"/>
    </w:p>
    <w:p w14:paraId="20B800DE" w14:textId="77777777" w:rsidR="009E6D34" w:rsidRDefault="009E6D34" w:rsidP="009E6D34">
      <w:pPr>
        <w:outlineLvl w:val="4"/>
        <w:rPr>
          <w:i/>
          <w:iCs/>
          <w:color w:val="000000"/>
        </w:rPr>
      </w:pPr>
    </w:p>
    <w:tbl>
      <w:tblPr>
        <w:tblW w:w="9159" w:type="dxa"/>
        <w:tblLook w:val="04A0" w:firstRow="1" w:lastRow="0" w:firstColumn="1" w:lastColumn="0" w:noHBand="0" w:noVBand="1"/>
      </w:tblPr>
      <w:tblGrid>
        <w:gridCol w:w="1221"/>
        <w:gridCol w:w="2112"/>
        <w:gridCol w:w="1221"/>
        <w:gridCol w:w="2163"/>
        <w:gridCol w:w="1221"/>
        <w:gridCol w:w="1221"/>
      </w:tblGrid>
      <w:tr w:rsidR="009E6D34" w:rsidRPr="009E6D34" w14:paraId="34BCDE3F" w14:textId="77777777" w:rsidTr="00B92709">
        <w:trPr>
          <w:trHeight w:val="261"/>
        </w:trPr>
        <w:tc>
          <w:tcPr>
            <w:tcW w:w="1221" w:type="dxa"/>
            <w:tcBorders>
              <w:top w:val="single" w:sz="4" w:space="0" w:color="auto"/>
              <w:left w:val="single" w:sz="4" w:space="0" w:color="auto"/>
              <w:bottom w:val="single" w:sz="4" w:space="0" w:color="auto"/>
              <w:right w:val="nil"/>
            </w:tcBorders>
            <w:shd w:val="clear" w:color="000000" w:fill="FFFFFF"/>
            <w:noWrap/>
            <w:vAlign w:val="bottom"/>
            <w:hideMark/>
          </w:tcPr>
          <w:p w14:paraId="4E060529" w14:textId="77777777" w:rsidR="009E6D34" w:rsidRPr="009E6D34" w:rsidRDefault="009E6D34" w:rsidP="00B92709">
            <w:pPr>
              <w:jc w:val="center"/>
              <w:rPr>
                <w:color w:val="000000"/>
                <w:sz w:val="22"/>
                <w:szCs w:val="22"/>
              </w:rPr>
            </w:pPr>
            <w:r w:rsidRPr="009E6D34">
              <w:rPr>
                <w:color w:val="000000"/>
                <w:sz w:val="22"/>
                <w:szCs w:val="22"/>
              </w:rPr>
              <w:t>Year</w:t>
            </w:r>
          </w:p>
        </w:tc>
        <w:tc>
          <w:tcPr>
            <w:tcW w:w="2112" w:type="dxa"/>
            <w:tcBorders>
              <w:top w:val="single" w:sz="4" w:space="0" w:color="auto"/>
              <w:left w:val="nil"/>
              <w:bottom w:val="single" w:sz="4" w:space="0" w:color="auto"/>
              <w:right w:val="nil"/>
            </w:tcBorders>
            <w:shd w:val="clear" w:color="000000" w:fill="FFFFFF"/>
            <w:noWrap/>
            <w:vAlign w:val="bottom"/>
            <w:hideMark/>
          </w:tcPr>
          <w:p w14:paraId="5800DECB" w14:textId="77777777" w:rsidR="009E6D34" w:rsidRPr="009E6D34" w:rsidRDefault="009E6D34" w:rsidP="00B92709">
            <w:pPr>
              <w:jc w:val="center"/>
              <w:rPr>
                <w:color w:val="000000"/>
                <w:sz w:val="22"/>
                <w:szCs w:val="22"/>
              </w:rPr>
            </w:pPr>
            <w:r w:rsidRPr="009E6D34">
              <w:rPr>
                <w:color w:val="000000"/>
                <w:sz w:val="22"/>
                <w:szCs w:val="22"/>
              </w:rPr>
              <w:t>age-3+ Biomass</w:t>
            </w:r>
          </w:p>
        </w:tc>
        <w:tc>
          <w:tcPr>
            <w:tcW w:w="1221" w:type="dxa"/>
            <w:tcBorders>
              <w:top w:val="single" w:sz="4" w:space="0" w:color="auto"/>
              <w:left w:val="nil"/>
              <w:bottom w:val="single" w:sz="4" w:space="0" w:color="auto"/>
              <w:right w:val="nil"/>
            </w:tcBorders>
            <w:shd w:val="clear" w:color="000000" w:fill="FFFFFF"/>
            <w:noWrap/>
            <w:vAlign w:val="bottom"/>
            <w:hideMark/>
          </w:tcPr>
          <w:p w14:paraId="346FF6FA" w14:textId="77777777" w:rsidR="009E6D34" w:rsidRPr="009E6D34" w:rsidRDefault="009E6D34" w:rsidP="00B92709">
            <w:pPr>
              <w:jc w:val="center"/>
              <w:rPr>
                <w:color w:val="000000"/>
                <w:sz w:val="22"/>
                <w:szCs w:val="22"/>
              </w:rPr>
            </w:pPr>
            <w:r w:rsidRPr="009E6D34">
              <w:rPr>
                <w:color w:val="000000"/>
                <w:sz w:val="22"/>
                <w:szCs w:val="22"/>
              </w:rPr>
              <w:t>OFL</w:t>
            </w:r>
          </w:p>
        </w:tc>
        <w:tc>
          <w:tcPr>
            <w:tcW w:w="2163" w:type="dxa"/>
            <w:tcBorders>
              <w:top w:val="single" w:sz="4" w:space="0" w:color="auto"/>
              <w:left w:val="nil"/>
              <w:bottom w:val="single" w:sz="4" w:space="0" w:color="auto"/>
              <w:right w:val="nil"/>
            </w:tcBorders>
            <w:shd w:val="clear" w:color="000000" w:fill="FFFFFF"/>
            <w:noWrap/>
            <w:vAlign w:val="bottom"/>
            <w:hideMark/>
          </w:tcPr>
          <w:p w14:paraId="46629782" w14:textId="77777777" w:rsidR="009E6D34" w:rsidRPr="009E6D34" w:rsidRDefault="009E6D34" w:rsidP="00B92709">
            <w:pPr>
              <w:jc w:val="center"/>
              <w:rPr>
                <w:color w:val="000000"/>
                <w:sz w:val="22"/>
                <w:szCs w:val="22"/>
              </w:rPr>
            </w:pPr>
            <w:r w:rsidRPr="009E6D34">
              <w:rPr>
                <w:color w:val="000000"/>
                <w:sz w:val="22"/>
                <w:szCs w:val="22"/>
              </w:rPr>
              <w:t>ABC</w:t>
            </w:r>
          </w:p>
        </w:tc>
        <w:tc>
          <w:tcPr>
            <w:tcW w:w="1221" w:type="dxa"/>
            <w:tcBorders>
              <w:top w:val="single" w:sz="4" w:space="0" w:color="auto"/>
              <w:left w:val="nil"/>
              <w:bottom w:val="single" w:sz="4" w:space="0" w:color="auto"/>
              <w:right w:val="nil"/>
            </w:tcBorders>
            <w:shd w:val="clear" w:color="000000" w:fill="FFFFFF"/>
            <w:noWrap/>
            <w:vAlign w:val="bottom"/>
            <w:hideMark/>
          </w:tcPr>
          <w:p w14:paraId="4F5B2307" w14:textId="77777777" w:rsidR="009E6D34" w:rsidRPr="009E6D34" w:rsidRDefault="009E6D34" w:rsidP="00B92709">
            <w:pPr>
              <w:jc w:val="center"/>
              <w:rPr>
                <w:color w:val="000000"/>
                <w:sz w:val="22"/>
                <w:szCs w:val="22"/>
              </w:rPr>
            </w:pPr>
            <w:r w:rsidRPr="009E6D34">
              <w:rPr>
                <w:color w:val="000000"/>
                <w:sz w:val="22"/>
                <w:szCs w:val="22"/>
              </w:rPr>
              <w:t>TAC</w:t>
            </w:r>
          </w:p>
        </w:tc>
        <w:tc>
          <w:tcPr>
            <w:tcW w:w="1221" w:type="dxa"/>
            <w:tcBorders>
              <w:top w:val="single" w:sz="4" w:space="0" w:color="auto"/>
              <w:left w:val="nil"/>
              <w:bottom w:val="single" w:sz="4" w:space="0" w:color="auto"/>
              <w:right w:val="single" w:sz="4" w:space="0" w:color="auto"/>
            </w:tcBorders>
            <w:shd w:val="clear" w:color="000000" w:fill="FFFFFF"/>
            <w:noWrap/>
            <w:vAlign w:val="bottom"/>
            <w:hideMark/>
          </w:tcPr>
          <w:p w14:paraId="765BA459" w14:textId="77777777" w:rsidR="009E6D34" w:rsidRPr="009E6D34" w:rsidRDefault="009E6D34" w:rsidP="00B92709">
            <w:pPr>
              <w:jc w:val="center"/>
              <w:rPr>
                <w:color w:val="000000"/>
                <w:sz w:val="22"/>
                <w:szCs w:val="22"/>
              </w:rPr>
            </w:pPr>
            <w:r w:rsidRPr="009E6D34">
              <w:rPr>
                <w:color w:val="000000"/>
                <w:sz w:val="22"/>
                <w:szCs w:val="22"/>
              </w:rPr>
              <w:t>Catch</w:t>
            </w:r>
          </w:p>
        </w:tc>
      </w:tr>
      <w:tr w:rsidR="009E6D34" w:rsidRPr="009E6D34" w14:paraId="161176A0" w14:textId="77777777" w:rsidTr="00B92709">
        <w:trPr>
          <w:trHeight w:val="261"/>
        </w:trPr>
        <w:tc>
          <w:tcPr>
            <w:tcW w:w="1221" w:type="dxa"/>
            <w:tcBorders>
              <w:top w:val="nil"/>
              <w:left w:val="single" w:sz="4" w:space="0" w:color="auto"/>
              <w:bottom w:val="nil"/>
              <w:right w:val="nil"/>
            </w:tcBorders>
            <w:shd w:val="clear" w:color="000000" w:fill="FFFFFF"/>
            <w:noWrap/>
            <w:vAlign w:val="bottom"/>
            <w:hideMark/>
          </w:tcPr>
          <w:p w14:paraId="4CA6F0BA" w14:textId="77777777" w:rsidR="009E6D34" w:rsidRPr="009E6D34" w:rsidRDefault="009E6D34" w:rsidP="00B92709">
            <w:pPr>
              <w:jc w:val="center"/>
              <w:rPr>
                <w:color w:val="000000"/>
                <w:sz w:val="22"/>
                <w:szCs w:val="22"/>
              </w:rPr>
            </w:pPr>
            <w:r w:rsidRPr="009E6D34">
              <w:rPr>
                <w:color w:val="000000"/>
                <w:sz w:val="22"/>
                <w:szCs w:val="22"/>
              </w:rPr>
              <w:t>2021</w:t>
            </w:r>
          </w:p>
        </w:tc>
        <w:tc>
          <w:tcPr>
            <w:tcW w:w="2112" w:type="dxa"/>
            <w:tcBorders>
              <w:top w:val="nil"/>
              <w:left w:val="nil"/>
              <w:bottom w:val="nil"/>
              <w:right w:val="nil"/>
            </w:tcBorders>
            <w:shd w:val="clear" w:color="000000" w:fill="FFFFFF"/>
            <w:noWrap/>
            <w:vAlign w:val="bottom"/>
            <w:hideMark/>
          </w:tcPr>
          <w:p w14:paraId="3B6DE13E" w14:textId="77777777" w:rsidR="009E6D34" w:rsidRPr="009E6D34" w:rsidRDefault="009E6D34" w:rsidP="00B92709">
            <w:pPr>
              <w:jc w:val="center"/>
              <w:rPr>
                <w:color w:val="000000"/>
                <w:sz w:val="22"/>
                <w:szCs w:val="22"/>
              </w:rPr>
            </w:pPr>
            <w:r w:rsidRPr="009E6D34">
              <w:rPr>
                <w:color w:val="000000"/>
                <w:sz w:val="22"/>
                <w:szCs w:val="22"/>
              </w:rPr>
              <w:t>101,244</w:t>
            </w:r>
          </w:p>
        </w:tc>
        <w:tc>
          <w:tcPr>
            <w:tcW w:w="1221" w:type="dxa"/>
            <w:tcBorders>
              <w:top w:val="nil"/>
              <w:left w:val="nil"/>
              <w:bottom w:val="nil"/>
              <w:right w:val="nil"/>
            </w:tcBorders>
            <w:shd w:val="clear" w:color="000000" w:fill="FFFFFF"/>
            <w:noWrap/>
            <w:vAlign w:val="bottom"/>
            <w:hideMark/>
          </w:tcPr>
          <w:p w14:paraId="0166E0EB" w14:textId="77777777" w:rsidR="009E6D34" w:rsidRPr="009E6D34" w:rsidRDefault="009E6D34" w:rsidP="00B92709">
            <w:pPr>
              <w:jc w:val="center"/>
              <w:rPr>
                <w:color w:val="000000"/>
                <w:sz w:val="22"/>
                <w:szCs w:val="22"/>
              </w:rPr>
            </w:pPr>
            <w:r w:rsidRPr="009E6D34">
              <w:rPr>
                <w:color w:val="000000"/>
                <w:sz w:val="22"/>
                <w:szCs w:val="22"/>
              </w:rPr>
              <w:t>18,779</w:t>
            </w:r>
          </w:p>
        </w:tc>
        <w:tc>
          <w:tcPr>
            <w:tcW w:w="2163" w:type="dxa"/>
            <w:tcBorders>
              <w:top w:val="nil"/>
              <w:left w:val="nil"/>
              <w:bottom w:val="nil"/>
              <w:right w:val="nil"/>
            </w:tcBorders>
            <w:shd w:val="clear" w:color="000000" w:fill="FFFFFF"/>
            <w:noWrap/>
            <w:vAlign w:val="bottom"/>
            <w:hideMark/>
          </w:tcPr>
          <w:p w14:paraId="62CF3F3B" w14:textId="77777777" w:rsidR="009E6D34" w:rsidRPr="009E6D34" w:rsidRDefault="009E6D34" w:rsidP="00B92709">
            <w:pPr>
              <w:jc w:val="center"/>
              <w:rPr>
                <w:color w:val="000000"/>
                <w:sz w:val="22"/>
                <w:szCs w:val="22"/>
              </w:rPr>
            </w:pPr>
            <w:r w:rsidRPr="009E6D34">
              <w:rPr>
                <w:color w:val="000000"/>
                <w:sz w:val="22"/>
                <w:szCs w:val="22"/>
              </w:rPr>
              <w:t>15,416</w:t>
            </w:r>
          </w:p>
        </w:tc>
        <w:tc>
          <w:tcPr>
            <w:tcW w:w="1221" w:type="dxa"/>
            <w:tcBorders>
              <w:top w:val="nil"/>
              <w:left w:val="nil"/>
              <w:bottom w:val="nil"/>
              <w:right w:val="nil"/>
            </w:tcBorders>
            <w:shd w:val="clear" w:color="000000" w:fill="FFFFFF"/>
            <w:noWrap/>
            <w:vAlign w:val="bottom"/>
            <w:hideMark/>
          </w:tcPr>
          <w:p w14:paraId="43B9AC8D" w14:textId="77777777" w:rsidR="009E6D34" w:rsidRPr="009E6D34" w:rsidRDefault="009E6D34" w:rsidP="00B92709">
            <w:pPr>
              <w:jc w:val="center"/>
              <w:rPr>
                <w:color w:val="000000"/>
                <w:sz w:val="22"/>
                <w:szCs w:val="22"/>
              </w:rPr>
            </w:pPr>
            <w:r w:rsidRPr="009E6D34">
              <w:rPr>
                <w:color w:val="000000"/>
                <w:sz w:val="22"/>
                <w:szCs w:val="22"/>
              </w:rPr>
              <w:t>15,416</w:t>
            </w:r>
          </w:p>
        </w:tc>
        <w:tc>
          <w:tcPr>
            <w:tcW w:w="1221" w:type="dxa"/>
            <w:tcBorders>
              <w:top w:val="nil"/>
              <w:left w:val="nil"/>
              <w:bottom w:val="nil"/>
              <w:right w:val="single" w:sz="4" w:space="0" w:color="auto"/>
            </w:tcBorders>
            <w:shd w:val="clear" w:color="000000" w:fill="FFFFFF"/>
            <w:noWrap/>
            <w:vAlign w:val="bottom"/>
            <w:hideMark/>
          </w:tcPr>
          <w:p w14:paraId="451D74AA" w14:textId="77777777" w:rsidR="009E6D34" w:rsidRPr="009E6D34" w:rsidRDefault="009E6D34" w:rsidP="00B92709">
            <w:pPr>
              <w:jc w:val="center"/>
              <w:rPr>
                <w:color w:val="000000"/>
                <w:sz w:val="22"/>
                <w:szCs w:val="22"/>
              </w:rPr>
            </w:pPr>
            <w:r w:rsidRPr="009E6D34">
              <w:rPr>
                <w:color w:val="000000"/>
                <w:sz w:val="22"/>
                <w:szCs w:val="22"/>
              </w:rPr>
              <w:t>301</w:t>
            </w:r>
          </w:p>
        </w:tc>
      </w:tr>
      <w:tr w:rsidR="009E6D34" w:rsidRPr="009E6D34" w14:paraId="678B1F9B" w14:textId="77777777" w:rsidTr="00B92709">
        <w:trPr>
          <w:trHeight w:val="261"/>
        </w:trPr>
        <w:tc>
          <w:tcPr>
            <w:tcW w:w="1221" w:type="dxa"/>
            <w:tcBorders>
              <w:top w:val="nil"/>
              <w:left w:val="single" w:sz="4" w:space="0" w:color="auto"/>
              <w:bottom w:val="nil"/>
              <w:right w:val="nil"/>
            </w:tcBorders>
            <w:shd w:val="clear" w:color="000000" w:fill="FFFFFF"/>
            <w:noWrap/>
            <w:vAlign w:val="bottom"/>
            <w:hideMark/>
          </w:tcPr>
          <w:p w14:paraId="37009BF0" w14:textId="77777777" w:rsidR="009E6D34" w:rsidRPr="009E6D34" w:rsidRDefault="009E6D34" w:rsidP="00B92709">
            <w:pPr>
              <w:jc w:val="center"/>
              <w:rPr>
                <w:color w:val="000000"/>
                <w:sz w:val="22"/>
                <w:szCs w:val="22"/>
              </w:rPr>
            </w:pPr>
            <w:r w:rsidRPr="009E6D34">
              <w:rPr>
                <w:color w:val="000000"/>
                <w:sz w:val="22"/>
                <w:szCs w:val="22"/>
              </w:rPr>
              <w:t>2022</w:t>
            </w:r>
          </w:p>
        </w:tc>
        <w:tc>
          <w:tcPr>
            <w:tcW w:w="2112" w:type="dxa"/>
            <w:tcBorders>
              <w:top w:val="nil"/>
              <w:left w:val="nil"/>
              <w:bottom w:val="nil"/>
              <w:right w:val="nil"/>
            </w:tcBorders>
            <w:shd w:val="clear" w:color="000000" w:fill="FFFFFF"/>
            <w:noWrap/>
            <w:vAlign w:val="bottom"/>
            <w:hideMark/>
          </w:tcPr>
          <w:p w14:paraId="2D6B086D" w14:textId="77777777" w:rsidR="009E6D34" w:rsidRPr="009E6D34" w:rsidRDefault="009E6D34" w:rsidP="00B92709">
            <w:pPr>
              <w:jc w:val="center"/>
              <w:rPr>
                <w:color w:val="000000"/>
                <w:sz w:val="22"/>
                <w:szCs w:val="22"/>
              </w:rPr>
            </w:pPr>
            <w:r w:rsidRPr="009E6D34">
              <w:rPr>
                <w:color w:val="000000"/>
                <w:sz w:val="22"/>
                <w:szCs w:val="22"/>
              </w:rPr>
              <w:t>124,543</w:t>
            </w:r>
          </w:p>
        </w:tc>
        <w:tc>
          <w:tcPr>
            <w:tcW w:w="1221" w:type="dxa"/>
            <w:tcBorders>
              <w:top w:val="nil"/>
              <w:left w:val="nil"/>
              <w:bottom w:val="nil"/>
              <w:right w:val="nil"/>
            </w:tcBorders>
            <w:shd w:val="clear" w:color="000000" w:fill="FFFFFF"/>
            <w:noWrap/>
            <w:vAlign w:val="bottom"/>
            <w:hideMark/>
          </w:tcPr>
          <w:p w14:paraId="7E2F06F3" w14:textId="77777777" w:rsidR="009E6D34" w:rsidRPr="009E6D34" w:rsidRDefault="009E6D34" w:rsidP="00B92709">
            <w:pPr>
              <w:jc w:val="center"/>
              <w:rPr>
                <w:color w:val="000000"/>
                <w:sz w:val="22"/>
                <w:szCs w:val="22"/>
              </w:rPr>
            </w:pPr>
            <w:r w:rsidRPr="009E6D34">
              <w:rPr>
                <w:color w:val="000000"/>
                <w:sz w:val="22"/>
                <w:szCs w:val="22"/>
              </w:rPr>
              <w:t>23,302</w:t>
            </w:r>
          </w:p>
        </w:tc>
        <w:tc>
          <w:tcPr>
            <w:tcW w:w="2163" w:type="dxa"/>
            <w:tcBorders>
              <w:top w:val="nil"/>
              <w:left w:val="nil"/>
              <w:bottom w:val="nil"/>
              <w:right w:val="nil"/>
            </w:tcBorders>
            <w:shd w:val="clear" w:color="000000" w:fill="FFFFFF"/>
            <w:noWrap/>
            <w:vAlign w:val="bottom"/>
            <w:hideMark/>
          </w:tcPr>
          <w:p w14:paraId="6D2A91CF" w14:textId="77777777" w:rsidR="009E6D34" w:rsidRPr="009E6D34" w:rsidRDefault="009E6D34" w:rsidP="00B92709">
            <w:pPr>
              <w:jc w:val="center"/>
              <w:rPr>
                <w:color w:val="000000"/>
                <w:sz w:val="22"/>
                <w:szCs w:val="22"/>
              </w:rPr>
            </w:pPr>
            <w:r w:rsidRPr="009E6D34">
              <w:rPr>
                <w:color w:val="000000"/>
                <w:sz w:val="22"/>
                <w:szCs w:val="22"/>
              </w:rPr>
              <w:t>19,141</w:t>
            </w:r>
          </w:p>
        </w:tc>
        <w:tc>
          <w:tcPr>
            <w:tcW w:w="1221" w:type="dxa"/>
            <w:tcBorders>
              <w:top w:val="nil"/>
              <w:left w:val="nil"/>
              <w:bottom w:val="nil"/>
              <w:right w:val="nil"/>
            </w:tcBorders>
            <w:shd w:val="clear" w:color="000000" w:fill="FFFFFF"/>
            <w:noWrap/>
            <w:vAlign w:val="bottom"/>
            <w:hideMark/>
          </w:tcPr>
          <w:p w14:paraId="1528A405" w14:textId="77777777" w:rsidR="009E6D34" w:rsidRPr="009E6D34" w:rsidRDefault="009E6D34" w:rsidP="00B92709">
            <w:pPr>
              <w:jc w:val="center"/>
              <w:rPr>
                <w:color w:val="000000"/>
                <w:sz w:val="22"/>
                <w:szCs w:val="22"/>
              </w:rPr>
            </w:pPr>
            <w:r w:rsidRPr="009E6D34">
              <w:rPr>
                <w:color w:val="000000"/>
                <w:sz w:val="22"/>
                <w:szCs w:val="22"/>
              </w:rPr>
              <w:t>19,141</w:t>
            </w:r>
          </w:p>
        </w:tc>
        <w:tc>
          <w:tcPr>
            <w:tcW w:w="1221" w:type="dxa"/>
            <w:tcBorders>
              <w:top w:val="nil"/>
              <w:left w:val="nil"/>
              <w:bottom w:val="nil"/>
              <w:right w:val="single" w:sz="4" w:space="0" w:color="auto"/>
            </w:tcBorders>
            <w:shd w:val="clear" w:color="000000" w:fill="FFFFFF"/>
            <w:noWrap/>
            <w:vAlign w:val="bottom"/>
            <w:hideMark/>
          </w:tcPr>
          <w:p w14:paraId="532903FF" w14:textId="77777777" w:rsidR="009E6D34" w:rsidRPr="009E6D34" w:rsidRDefault="009E6D34" w:rsidP="00B92709">
            <w:pPr>
              <w:jc w:val="center"/>
              <w:rPr>
                <w:color w:val="000000"/>
                <w:sz w:val="22"/>
                <w:szCs w:val="22"/>
              </w:rPr>
            </w:pPr>
            <w:r w:rsidRPr="009E6D34">
              <w:rPr>
                <w:color w:val="000000"/>
                <w:sz w:val="22"/>
                <w:szCs w:val="22"/>
              </w:rPr>
              <w:t>694</w:t>
            </w:r>
          </w:p>
        </w:tc>
      </w:tr>
      <w:tr w:rsidR="009E6D34" w:rsidRPr="009E6D34" w14:paraId="38ADDD95" w14:textId="77777777" w:rsidTr="00B92709">
        <w:trPr>
          <w:trHeight w:val="261"/>
        </w:trPr>
        <w:tc>
          <w:tcPr>
            <w:tcW w:w="1221" w:type="dxa"/>
            <w:tcBorders>
              <w:top w:val="nil"/>
              <w:left w:val="single" w:sz="4" w:space="0" w:color="auto"/>
              <w:bottom w:val="nil"/>
              <w:right w:val="nil"/>
            </w:tcBorders>
            <w:shd w:val="clear" w:color="000000" w:fill="FFFFFF"/>
            <w:noWrap/>
            <w:vAlign w:val="bottom"/>
            <w:hideMark/>
          </w:tcPr>
          <w:p w14:paraId="5F487292" w14:textId="77777777" w:rsidR="009E6D34" w:rsidRPr="009E6D34" w:rsidRDefault="009E6D34" w:rsidP="00B92709">
            <w:pPr>
              <w:jc w:val="center"/>
              <w:rPr>
                <w:color w:val="000000"/>
                <w:sz w:val="22"/>
                <w:szCs w:val="22"/>
              </w:rPr>
            </w:pPr>
            <w:r w:rsidRPr="009E6D34">
              <w:rPr>
                <w:color w:val="000000"/>
                <w:sz w:val="22"/>
                <w:szCs w:val="22"/>
              </w:rPr>
              <w:t>2023</w:t>
            </w:r>
          </w:p>
        </w:tc>
        <w:tc>
          <w:tcPr>
            <w:tcW w:w="2112" w:type="dxa"/>
            <w:tcBorders>
              <w:top w:val="nil"/>
              <w:left w:val="nil"/>
              <w:bottom w:val="nil"/>
              <w:right w:val="nil"/>
            </w:tcBorders>
            <w:shd w:val="clear" w:color="000000" w:fill="FFFFFF"/>
            <w:noWrap/>
            <w:vAlign w:val="bottom"/>
            <w:hideMark/>
          </w:tcPr>
          <w:p w14:paraId="79602F24" w14:textId="77777777" w:rsidR="009E6D34" w:rsidRPr="009E6D34" w:rsidRDefault="009E6D34" w:rsidP="00B92709">
            <w:pPr>
              <w:jc w:val="center"/>
              <w:rPr>
                <w:color w:val="000000"/>
                <w:sz w:val="22"/>
                <w:szCs w:val="22"/>
              </w:rPr>
            </w:pPr>
            <w:r w:rsidRPr="009E6D34">
              <w:rPr>
                <w:color w:val="000000"/>
                <w:sz w:val="22"/>
                <w:szCs w:val="22"/>
              </w:rPr>
              <w:t>127,297</w:t>
            </w:r>
          </w:p>
        </w:tc>
        <w:tc>
          <w:tcPr>
            <w:tcW w:w="1221" w:type="dxa"/>
            <w:tcBorders>
              <w:top w:val="nil"/>
              <w:left w:val="nil"/>
              <w:bottom w:val="nil"/>
              <w:right w:val="nil"/>
            </w:tcBorders>
            <w:shd w:val="clear" w:color="000000" w:fill="FFFFFF"/>
            <w:noWrap/>
            <w:vAlign w:val="bottom"/>
            <w:hideMark/>
          </w:tcPr>
          <w:p w14:paraId="79FD6BB0" w14:textId="77777777" w:rsidR="009E6D34" w:rsidRPr="009E6D34" w:rsidRDefault="009E6D34" w:rsidP="00B92709">
            <w:pPr>
              <w:jc w:val="center"/>
              <w:rPr>
                <w:color w:val="000000"/>
                <w:sz w:val="22"/>
                <w:szCs w:val="22"/>
              </w:rPr>
            </w:pPr>
            <w:r w:rsidRPr="009E6D34">
              <w:rPr>
                <w:color w:val="000000"/>
                <w:sz w:val="22"/>
                <w:szCs w:val="22"/>
              </w:rPr>
              <w:t>25,135</w:t>
            </w:r>
          </w:p>
        </w:tc>
        <w:tc>
          <w:tcPr>
            <w:tcW w:w="2163" w:type="dxa"/>
            <w:tcBorders>
              <w:top w:val="nil"/>
              <w:left w:val="nil"/>
              <w:bottom w:val="nil"/>
              <w:right w:val="nil"/>
            </w:tcBorders>
            <w:shd w:val="clear" w:color="000000" w:fill="FFFFFF"/>
            <w:noWrap/>
            <w:vAlign w:val="bottom"/>
            <w:hideMark/>
          </w:tcPr>
          <w:p w14:paraId="0A1949A2" w14:textId="77777777" w:rsidR="009E6D34" w:rsidRPr="009E6D34" w:rsidRDefault="009E6D34" w:rsidP="00B92709">
            <w:pPr>
              <w:jc w:val="center"/>
              <w:rPr>
                <w:color w:val="000000"/>
                <w:sz w:val="22"/>
                <w:szCs w:val="22"/>
              </w:rPr>
            </w:pPr>
            <w:r w:rsidRPr="009E6D34">
              <w:rPr>
                <w:color w:val="000000"/>
                <w:sz w:val="22"/>
                <w:szCs w:val="22"/>
              </w:rPr>
              <w:t>20,664</w:t>
            </w:r>
          </w:p>
        </w:tc>
        <w:tc>
          <w:tcPr>
            <w:tcW w:w="1221" w:type="dxa"/>
            <w:tcBorders>
              <w:top w:val="nil"/>
              <w:left w:val="nil"/>
              <w:bottom w:val="nil"/>
              <w:right w:val="nil"/>
            </w:tcBorders>
            <w:shd w:val="clear" w:color="000000" w:fill="FFFFFF"/>
            <w:noWrap/>
            <w:vAlign w:val="bottom"/>
            <w:hideMark/>
          </w:tcPr>
          <w:p w14:paraId="072A87B9" w14:textId="77777777" w:rsidR="009E6D34" w:rsidRPr="009E6D34" w:rsidRDefault="009E6D34" w:rsidP="00B92709">
            <w:pPr>
              <w:jc w:val="center"/>
              <w:rPr>
                <w:color w:val="000000"/>
                <w:sz w:val="22"/>
                <w:szCs w:val="22"/>
              </w:rPr>
            </w:pPr>
            <w:r w:rsidRPr="009E6D34">
              <w:rPr>
                <w:color w:val="000000"/>
                <w:sz w:val="22"/>
                <w:szCs w:val="22"/>
              </w:rPr>
              <w:t> </w:t>
            </w:r>
          </w:p>
        </w:tc>
        <w:tc>
          <w:tcPr>
            <w:tcW w:w="1221" w:type="dxa"/>
            <w:tcBorders>
              <w:top w:val="nil"/>
              <w:left w:val="nil"/>
              <w:bottom w:val="nil"/>
              <w:right w:val="single" w:sz="4" w:space="0" w:color="auto"/>
            </w:tcBorders>
            <w:shd w:val="clear" w:color="000000" w:fill="FFFFFF"/>
            <w:noWrap/>
            <w:vAlign w:val="bottom"/>
            <w:hideMark/>
          </w:tcPr>
          <w:p w14:paraId="05A57CB5" w14:textId="77777777" w:rsidR="009E6D34" w:rsidRPr="009E6D34" w:rsidRDefault="009E6D34" w:rsidP="00B92709">
            <w:pPr>
              <w:jc w:val="center"/>
              <w:rPr>
                <w:color w:val="000000"/>
                <w:sz w:val="22"/>
                <w:szCs w:val="22"/>
              </w:rPr>
            </w:pPr>
            <w:r w:rsidRPr="009E6D34">
              <w:rPr>
                <w:color w:val="000000"/>
                <w:sz w:val="22"/>
                <w:szCs w:val="22"/>
              </w:rPr>
              <w:t> </w:t>
            </w:r>
          </w:p>
        </w:tc>
      </w:tr>
      <w:tr w:rsidR="009E6D34" w:rsidRPr="009E6D34" w14:paraId="4126152A" w14:textId="77777777" w:rsidTr="00B92709">
        <w:trPr>
          <w:trHeight w:val="261"/>
        </w:trPr>
        <w:tc>
          <w:tcPr>
            <w:tcW w:w="1221" w:type="dxa"/>
            <w:tcBorders>
              <w:top w:val="nil"/>
              <w:left w:val="single" w:sz="4" w:space="0" w:color="auto"/>
              <w:bottom w:val="single" w:sz="4" w:space="0" w:color="auto"/>
              <w:right w:val="nil"/>
            </w:tcBorders>
            <w:shd w:val="clear" w:color="000000" w:fill="FFFFFF"/>
            <w:noWrap/>
            <w:vAlign w:val="bottom"/>
            <w:hideMark/>
          </w:tcPr>
          <w:p w14:paraId="011A6EF4" w14:textId="77777777" w:rsidR="009E6D34" w:rsidRPr="009E6D34" w:rsidRDefault="009E6D34" w:rsidP="00B92709">
            <w:pPr>
              <w:jc w:val="center"/>
              <w:rPr>
                <w:color w:val="000000"/>
                <w:sz w:val="22"/>
                <w:szCs w:val="22"/>
              </w:rPr>
            </w:pPr>
            <w:r w:rsidRPr="009E6D34">
              <w:rPr>
                <w:color w:val="000000"/>
                <w:sz w:val="22"/>
                <w:szCs w:val="22"/>
              </w:rPr>
              <w:t>2024</w:t>
            </w:r>
          </w:p>
        </w:tc>
        <w:tc>
          <w:tcPr>
            <w:tcW w:w="2112" w:type="dxa"/>
            <w:tcBorders>
              <w:top w:val="nil"/>
              <w:left w:val="nil"/>
              <w:bottom w:val="single" w:sz="4" w:space="0" w:color="auto"/>
              <w:right w:val="nil"/>
            </w:tcBorders>
            <w:shd w:val="clear" w:color="000000" w:fill="FFFFFF"/>
            <w:noWrap/>
            <w:vAlign w:val="bottom"/>
            <w:hideMark/>
          </w:tcPr>
          <w:p w14:paraId="6E1F479A" w14:textId="77777777" w:rsidR="009E6D34" w:rsidRPr="009E6D34" w:rsidRDefault="009E6D34" w:rsidP="00B92709">
            <w:pPr>
              <w:jc w:val="center"/>
              <w:rPr>
                <w:color w:val="000000"/>
                <w:sz w:val="22"/>
                <w:szCs w:val="22"/>
              </w:rPr>
            </w:pPr>
            <w:r w:rsidRPr="009E6D34">
              <w:rPr>
                <w:color w:val="000000"/>
                <w:sz w:val="22"/>
                <w:szCs w:val="22"/>
              </w:rPr>
              <w:t> </w:t>
            </w:r>
          </w:p>
        </w:tc>
        <w:tc>
          <w:tcPr>
            <w:tcW w:w="1221" w:type="dxa"/>
            <w:tcBorders>
              <w:top w:val="nil"/>
              <w:left w:val="nil"/>
              <w:bottom w:val="single" w:sz="4" w:space="0" w:color="auto"/>
              <w:right w:val="nil"/>
            </w:tcBorders>
            <w:shd w:val="clear" w:color="000000" w:fill="FFFFFF"/>
            <w:noWrap/>
            <w:vAlign w:val="bottom"/>
            <w:hideMark/>
          </w:tcPr>
          <w:p w14:paraId="410ACB4B" w14:textId="77777777" w:rsidR="009E6D34" w:rsidRPr="009E6D34" w:rsidRDefault="009E6D34" w:rsidP="00B92709">
            <w:pPr>
              <w:jc w:val="center"/>
              <w:rPr>
                <w:color w:val="000000"/>
                <w:sz w:val="22"/>
                <w:szCs w:val="22"/>
              </w:rPr>
            </w:pPr>
            <w:r w:rsidRPr="009E6D34">
              <w:rPr>
                <w:color w:val="000000"/>
                <w:sz w:val="22"/>
                <w:szCs w:val="22"/>
              </w:rPr>
              <w:t>25,652</w:t>
            </w:r>
          </w:p>
        </w:tc>
        <w:tc>
          <w:tcPr>
            <w:tcW w:w="2163" w:type="dxa"/>
            <w:tcBorders>
              <w:top w:val="nil"/>
              <w:left w:val="nil"/>
              <w:bottom w:val="single" w:sz="4" w:space="0" w:color="auto"/>
              <w:right w:val="nil"/>
            </w:tcBorders>
            <w:shd w:val="clear" w:color="000000" w:fill="FFFFFF"/>
            <w:noWrap/>
            <w:vAlign w:val="bottom"/>
            <w:hideMark/>
          </w:tcPr>
          <w:p w14:paraId="5625D449" w14:textId="77777777" w:rsidR="009E6D34" w:rsidRPr="009E6D34" w:rsidRDefault="009E6D34" w:rsidP="00B92709">
            <w:pPr>
              <w:jc w:val="center"/>
              <w:rPr>
                <w:color w:val="000000"/>
                <w:sz w:val="22"/>
                <w:szCs w:val="22"/>
              </w:rPr>
            </w:pPr>
            <w:r w:rsidRPr="009E6D34">
              <w:rPr>
                <w:color w:val="000000"/>
                <w:sz w:val="22"/>
                <w:szCs w:val="22"/>
              </w:rPr>
              <w:t>21,097</w:t>
            </w:r>
          </w:p>
        </w:tc>
        <w:tc>
          <w:tcPr>
            <w:tcW w:w="1221" w:type="dxa"/>
            <w:tcBorders>
              <w:top w:val="nil"/>
              <w:left w:val="nil"/>
              <w:bottom w:val="single" w:sz="4" w:space="0" w:color="auto"/>
              <w:right w:val="nil"/>
            </w:tcBorders>
            <w:shd w:val="clear" w:color="000000" w:fill="FFFFFF"/>
            <w:noWrap/>
            <w:vAlign w:val="bottom"/>
            <w:hideMark/>
          </w:tcPr>
          <w:p w14:paraId="044DDEC6" w14:textId="77777777" w:rsidR="009E6D34" w:rsidRPr="009E6D34" w:rsidRDefault="009E6D34" w:rsidP="00B92709">
            <w:pPr>
              <w:jc w:val="center"/>
              <w:rPr>
                <w:color w:val="000000"/>
                <w:sz w:val="22"/>
                <w:szCs w:val="22"/>
              </w:rPr>
            </w:pPr>
            <w:r w:rsidRPr="009E6D34">
              <w:rPr>
                <w:color w:val="000000"/>
                <w:sz w:val="22"/>
                <w:szCs w:val="22"/>
              </w:rPr>
              <w:t> </w:t>
            </w:r>
          </w:p>
        </w:tc>
        <w:tc>
          <w:tcPr>
            <w:tcW w:w="1221" w:type="dxa"/>
            <w:tcBorders>
              <w:top w:val="nil"/>
              <w:left w:val="nil"/>
              <w:bottom w:val="single" w:sz="4" w:space="0" w:color="auto"/>
              <w:right w:val="single" w:sz="4" w:space="0" w:color="auto"/>
            </w:tcBorders>
            <w:shd w:val="clear" w:color="000000" w:fill="FFFFFF"/>
            <w:noWrap/>
            <w:vAlign w:val="bottom"/>
            <w:hideMark/>
          </w:tcPr>
          <w:p w14:paraId="3A67F4C6" w14:textId="77777777" w:rsidR="009E6D34" w:rsidRPr="009E6D34" w:rsidRDefault="009E6D34" w:rsidP="00B92709">
            <w:pPr>
              <w:jc w:val="center"/>
              <w:rPr>
                <w:color w:val="000000"/>
                <w:sz w:val="22"/>
                <w:szCs w:val="22"/>
              </w:rPr>
            </w:pPr>
            <w:r w:rsidRPr="009E6D34">
              <w:rPr>
                <w:color w:val="000000"/>
                <w:sz w:val="22"/>
                <w:szCs w:val="22"/>
              </w:rPr>
              <w:t> </w:t>
            </w:r>
          </w:p>
        </w:tc>
      </w:tr>
    </w:tbl>
    <w:p w14:paraId="6D06BFCD" w14:textId="77777777" w:rsidR="009E6D34" w:rsidRPr="009E6D34" w:rsidRDefault="009E6D34" w:rsidP="009E6D34">
      <w:pPr>
        <w:outlineLvl w:val="4"/>
        <w:rPr>
          <w:b/>
          <w:bCs/>
          <w:sz w:val="22"/>
          <w:szCs w:val="22"/>
        </w:rPr>
      </w:pPr>
      <w:r w:rsidRPr="009E6D34">
        <w:rPr>
          <w:b/>
          <w:bCs/>
          <w:sz w:val="22"/>
          <w:szCs w:val="22"/>
        </w:rPr>
        <w:t xml:space="preserve"> </w:t>
      </w:r>
    </w:p>
    <w:p w14:paraId="36F9099E" w14:textId="77777777" w:rsidR="009E6D34" w:rsidRPr="009E6D34" w:rsidRDefault="009E6D34" w:rsidP="009E6D34">
      <w:pPr>
        <w:rPr>
          <w:sz w:val="22"/>
          <w:szCs w:val="22"/>
        </w:rPr>
      </w:pPr>
      <w:r w:rsidRPr="009E6D34">
        <w:rPr>
          <w:sz w:val="22"/>
          <w:szCs w:val="22"/>
        </w:rPr>
        <w:t xml:space="preserve">This stock is on a four-year cycle and a full assessment </w:t>
      </w:r>
      <w:proofErr w:type="gramStart"/>
      <w:r w:rsidRPr="009E6D34">
        <w:rPr>
          <w:sz w:val="22"/>
          <w:szCs w:val="22"/>
        </w:rPr>
        <w:t>was conducted</w:t>
      </w:r>
      <w:proofErr w:type="gramEnd"/>
      <w:r w:rsidRPr="009E6D34">
        <w:rPr>
          <w:sz w:val="22"/>
          <w:szCs w:val="22"/>
        </w:rPr>
        <w:t xml:space="preserve"> in 2021. This year a partial assessment </w:t>
      </w:r>
      <w:proofErr w:type="gramStart"/>
      <w:r w:rsidRPr="009E6D34">
        <w:rPr>
          <w:sz w:val="22"/>
          <w:szCs w:val="22"/>
        </w:rPr>
        <w:t>was presented</w:t>
      </w:r>
      <w:proofErr w:type="gramEnd"/>
      <w:r w:rsidRPr="009E6D34">
        <w:rPr>
          <w:sz w:val="22"/>
          <w:szCs w:val="22"/>
        </w:rPr>
        <w:t xml:space="preserve">. The projection model </w:t>
      </w:r>
      <w:proofErr w:type="gramStart"/>
      <w:r w:rsidRPr="009E6D34">
        <w:rPr>
          <w:sz w:val="22"/>
          <w:szCs w:val="22"/>
        </w:rPr>
        <w:t>was run</w:t>
      </w:r>
      <w:proofErr w:type="gramEnd"/>
      <w:r w:rsidRPr="009E6D34">
        <w:rPr>
          <w:sz w:val="22"/>
          <w:szCs w:val="22"/>
        </w:rPr>
        <w:t xml:space="preserve"> using updated catches. The 2022 spawning biomass estimate increased slightly from 2021 and projected </w:t>
      </w:r>
      <w:proofErr w:type="gramStart"/>
      <w:r w:rsidRPr="009E6D34">
        <w:rPr>
          <w:sz w:val="22"/>
          <w:szCs w:val="22"/>
        </w:rPr>
        <w:t>to slightly increase</w:t>
      </w:r>
      <w:proofErr w:type="gramEnd"/>
      <w:r w:rsidRPr="009E6D34">
        <w:rPr>
          <w:sz w:val="22"/>
          <w:szCs w:val="22"/>
        </w:rPr>
        <w:t xml:space="preserve"> through 2023.</w:t>
      </w:r>
    </w:p>
    <w:p w14:paraId="0AF2CCD7" w14:textId="77777777" w:rsidR="009E6D34" w:rsidRPr="009E6D34" w:rsidRDefault="009E6D34" w:rsidP="009E6D34">
      <w:pPr>
        <w:rPr>
          <w:sz w:val="22"/>
          <w:szCs w:val="22"/>
        </w:rPr>
      </w:pPr>
    </w:p>
    <w:p w14:paraId="1FA910CD" w14:textId="77777777" w:rsidR="009E6D34" w:rsidRPr="009E6D34" w:rsidRDefault="009E6D34" w:rsidP="009E6D34">
      <w:pPr>
        <w:rPr>
          <w:sz w:val="22"/>
          <w:szCs w:val="22"/>
        </w:rPr>
      </w:pPr>
      <w:r w:rsidRPr="009E6D34">
        <w:rPr>
          <w:sz w:val="22"/>
          <w:szCs w:val="22"/>
        </w:rPr>
        <w:t>Gulf of Alaska rex sole is not being subjected to overfishing and is neither overfished nor approaching an overfished condition. Catches are below TACs and below levels where overfishing would be a concern.</w:t>
      </w:r>
    </w:p>
    <w:p w14:paraId="33F640E5" w14:textId="77777777" w:rsidR="009E6D34" w:rsidRPr="009E6D34" w:rsidRDefault="009E6D34" w:rsidP="009E6D34">
      <w:pPr>
        <w:rPr>
          <w:sz w:val="22"/>
          <w:szCs w:val="22"/>
        </w:rPr>
      </w:pPr>
    </w:p>
    <w:p w14:paraId="0924626B" w14:textId="77777777" w:rsidR="009E6D34" w:rsidRPr="009E6D34" w:rsidRDefault="009E6D34" w:rsidP="009E6D34">
      <w:pPr>
        <w:rPr>
          <w:sz w:val="22"/>
          <w:szCs w:val="22"/>
        </w:rPr>
      </w:pPr>
      <w:r w:rsidRPr="009E6D34">
        <w:rPr>
          <w:color w:val="000000"/>
          <w:sz w:val="22"/>
          <w:szCs w:val="22"/>
        </w:rPr>
        <w:lastRenderedPageBreak/>
        <w:t>For further information contact Carey McGilliard (206) 526-4696</w:t>
      </w:r>
    </w:p>
    <w:p w14:paraId="54F6B6E0" w14:textId="77777777" w:rsidR="00DE3EE8" w:rsidRPr="002B7E6B" w:rsidRDefault="00DE3EE8" w:rsidP="00DE3EE8">
      <w:pPr>
        <w:rPr>
          <w:sz w:val="22"/>
          <w:szCs w:val="22"/>
        </w:rPr>
      </w:pPr>
    </w:p>
    <w:p w14:paraId="17D28EC3" w14:textId="2CB318E5" w:rsidR="00DE3EE8" w:rsidRDefault="00DE3EE8" w:rsidP="00017EC4">
      <w:pPr>
        <w:pStyle w:val="Heading5"/>
      </w:pPr>
      <w:bookmarkStart w:id="156" w:name="_Toc131503897"/>
      <w:r w:rsidRPr="00017EC4">
        <w:t>“Other flatfish” complex</w:t>
      </w:r>
      <w:r w:rsidR="0024271A">
        <w:t xml:space="preserve"> – </w:t>
      </w:r>
      <w:r w:rsidRPr="00017EC4">
        <w:t xml:space="preserve">Bering Sea and Aleutian Islands </w:t>
      </w:r>
      <w:r w:rsidR="00017EC4">
        <w:t>–</w:t>
      </w:r>
      <w:r w:rsidRPr="00017EC4">
        <w:t xml:space="preserve"> REFM</w:t>
      </w:r>
      <w:bookmarkEnd w:id="156"/>
    </w:p>
    <w:p w14:paraId="108EF3B1" w14:textId="77777777" w:rsidR="008B6A44" w:rsidRPr="008B6A44" w:rsidRDefault="008B6A44" w:rsidP="008B6A44">
      <w:pPr>
        <w:outlineLvl w:val="4"/>
        <w:rPr>
          <w:b/>
          <w:bCs/>
          <w:sz w:val="22"/>
          <w:szCs w:val="22"/>
        </w:rPr>
      </w:pPr>
    </w:p>
    <w:tbl>
      <w:tblPr>
        <w:tblW w:w="9521" w:type="dxa"/>
        <w:tblLook w:val="04A0" w:firstRow="1" w:lastRow="0" w:firstColumn="1" w:lastColumn="0" w:noHBand="0" w:noVBand="1"/>
      </w:tblPr>
      <w:tblGrid>
        <w:gridCol w:w="1235"/>
        <w:gridCol w:w="1235"/>
        <w:gridCol w:w="2111"/>
        <w:gridCol w:w="1235"/>
        <w:gridCol w:w="1235"/>
        <w:gridCol w:w="1235"/>
        <w:gridCol w:w="1235"/>
      </w:tblGrid>
      <w:tr w:rsidR="008B6A44" w:rsidRPr="008B6A44" w14:paraId="65FD6C44" w14:textId="77777777" w:rsidTr="00B92709">
        <w:trPr>
          <w:trHeight w:val="320"/>
        </w:trPr>
        <w:tc>
          <w:tcPr>
            <w:tcW w:w="1235" w:type="dxa"/>
            <w:tcBorders>
              <w:top w:val="single" w:sz="4" w:space="0" w:color="auto"/>
              <w:left w:val="single" w:sz="4" w:space="0" w:color="auto"/>
              <w:bottom w:val="single" w:sz="4" w:space="0" w:color="auto"/>
              <w:right w:val="nil"/>
            </w:tcBorders>
            <w:shd w:val="clear" w:color="000000" w:fill="FFFFFF"/>
            <w:noWrap/>
            <w:vAlign w:val="bottom"/>
            <w:hideMark/>
          </w:tcPr>
          <w:p w14:paraId="57278040" w14:textId="77777777" w:rsidR="008B6A44" w:rsidRPr="008B6A44" w:rsidRDefault="008B6A44" w:rsidP="00B92709">
            <w:pPr>
              <w:jc w:val="center"/>
              <w:rPr>
                <w:color w:val="000000"/>
                <w:sz w:val="22"/>
                <w:szCs w:val="22"/>
              </w:rPr>
            </w:pPr>
            <w:r w:rsidRPr="008B6A44">
              <w:rPr>
                <w:color w:val="000000"/>
                <w:sz w:val="22"/>
                <w:szCs w:val="22"/>
              </w:rPr>
              <w:t>Area</w:t>
            </w:r>
          </w:p>
        </w:tc>
        <w:tc>
          <w:tcPr>
            <w:tcW w:w="1235" w:type="dxa"/>
            <w:tcBorders>
              <w:top w:val="single" w:sz="4" w:space="0" w:color="auto"/>
              <w:left w:val="nil"/>
              <w:bottom w:val="single" w:sz="4" w:space="0" w:color="auto"/>
              <w:right w:val="nil"/>
            </w:tcBorders>
            <w:shd w:val="clear" w:color="000000" w:fill="FFFFFF"/>
            <w:noWrap/>
            <w:vAlign w:val="bottom"/>
            <w:hideMark/>
          </w:tcPr>
          <w:p w14:paraId="217004DF" w14:textId="77777777" w:rsidR="008B6A44" w:rsidRPr="008B6A44" w:rsidRDefault="008B6A44" w:rsidP="00B92709">
            <w:pPr>
              <w:jc w:val="center"/>
              <w:rPr>
                <w:color w:val="000000"/>
                <w:sz w:val="22"/>
                <w:szCs w:val="22"/>
              </w:rPr>
            </w:pPr>
            <w:r w:rsidRPr="008B6A44">
              <w:rPr>
                <w:color w:val="000000"/>
                <w:sz w:val="22"/>
                <w:szCs w:val="22"/>
              </w:rPr>
              <w:t>Year</w:t>
            </w:r>
          </w:p>
        </w:tc>
        <w:tc>
          <w:tcPr>
            <w:tcW w:w="2111" w:type="dxa"/>
            <w:tcBorders>
              <w:top w:val="single" w:sz="4" w:space="0" w:color="auto"/>
              <w:left w:val="nil"/>
              <w:bottom w:val="single" w:sz="4" w:space="0" w:color="auto"/>
              <w:right w:val="nil"/>
            </w:tcBorders>
            <w:shd w:val="clear" w:color="000000" w:fill="FFFFFF"/>
            <w:noWrap/>
            <w:vAlign w:val="bottom"/>
            <w:hideMark/>
          </w:tcPr>
          <w:p w14:paraId="6177AEE2" w14:textId="77777777" w:rsidR="008B6A44" w:rsidRPr="008B6A44" w:rsidRDefault="008B6A44" w:rsidP="00B92709">
            <w:pPr>
              <w:jc w:val="center"/>
              <w:rPr>
                <w:color w:val="000000"/>
                <w:sz w:val="22"/>
                <w:szCs w:val="22"/>
              </w:rPr>
            </w:pPr>
            <w:r w:rsidRPr="008B6A44">
              <w:rPr>
                <w:color w:val="000000"/>
                <w:sz w:val="22"/>
                <w:szCs w:val="22"/>
              </w:rPr>
              <w:t>Total Biomass</w:t>
            </w:r>
          </w:p>
        </w:tc>
        <w:tc>
          <w:tcPr>
            <w:tcW w:w="1235" w:type="dxa"/>
            <w:tcBorders>
              <w:top w:val="single" w:sz="4" w:space="0" w:color="auto"/>
              <w:left w:val="nil"/>
              <w:bottom w:val="single" w:sz="4" w:space="0" w:color="auto"/>
              <w:right w:val="nil"/>
            </w:tcBorders>
            <w:shd w:val="clear" w:color="000000" w:fill="FFFFFF"/>
            <w:noWrap/>
            <w:vAlign w:val="bottom"/>
            <w:hideMark/>
          </w:tcPr>
          <w:p w14:paraId="477D0611" w14:textId="77777777" w:rsidR="008B6A44" w:rsidRPr="008B6A44" w:rsidRDefault="008B6A44" w:rsidP="00B92709">
            <w:pPr>
              <w:jc w:val="center"/>
              <w:rPr>
                <w:color w:val="000000"/>
                <w:sz w:val="22"/>
                <w:szCs w:val="22"/>
              </w:rPr>
            </w:pPr>
            <w:r w:rsidRPr="008B6A44">
              <w:rPr>
                <w:color w:val="000000"/>
                <w:sz w:val="22"/>
                <w:szCs w:val="22"/>
              </w:rPr>
              <w:t>OFL</w:t>
            </w:r>
          </w:p>
        </w:tc>
        <w:tc>
          <w:tcPr>
            <w:tcW w:w="1235" w:type="dxa"/>
            <w:tcBorders>
              <w:top w:val="single" w:sz="4" w:space="0" w:color="auto"/>
              <w:left w:val="nil"/>
              <w:bottom w:val="single" w:sz="4" w:space="0" w:color="auto"/>
              <w:right w:val="nil"/>
            </w:tcBorders>
            <w:shd w:val="clear" w:color="000000" w:fill="FFFFFF"/>
            <w:noWrap/>
            <w:vAlign w:val="bottom"/>
            <w:hideMark/>
          </w:tcPr>
          <w:p w14:paraId="225E9E95" w14:textId="77777777" w:rsidR="008B6A44" w:rsidRPr="008B6A44" w:rsidRDefault="008B6A44" w:rsidP="00B92709">
            <w:pPr>
              <w:jc w:val="center"/>
              <w:rPr>
                <w:color w:val="000000"/>
                <w:sz w:val="22"/>
                <w:szCs w:val="22"/>
              </w:rPr>
            </w:pPr>
            <w:r w:rsidRPr="008B6A44">
              <w:rPr>
                <w:color w:val="000000"/>
                <w:sz w:val="22"/>
                <w:szCs w:val="22"/>
              </w:rPr>
              <w:t>ABC</w:t>
            </w:r>
          </w:p>
        </w:tc>
        <w:tc>
          <w:tcPr>
            <w:tcW w:w="1235" w:type="dxa"/>
            <w:tcBorders>
              <w:top w:val="single" w:sz="4" w:space="0" w:color="auto"/>
              <w:left w:val="nil"/>
              <w:bottom w:val="single" w:sz="4" w:space="0" w:color="auto"/>
              <w:right w:val="nil"/>
            </w:tcBorders>
            <w:shd w:val="clear" w:color="000000" w:fill="FFFFFF"/>
            <w:noWrap/>
            <w:vAlign w:val="bottom"/>
            <w:hideMark/>
          </w:tcPr>
          <w:p w14:paraId="22F67CE4" w14:textId="77777777" w:rsidR="008B6A44" w:rsidRPr="008B6A44" w:rsidRDefault="008B6A44" w:rsidP="00B92709">
            <w:pPr>
              <w:jc w:val="center"/>
              <w:rPr>
                <w:color w:val="000000"/>
                <w:sz w:val="22"/>
                <w:szCs w:val="22"/>
              </w:rPr>
            </w:pPr>
            <w:r w:rsidRPr="008B6A44">
              <w:rPr>
                <w:color w:val="000000"/>
                <w:sz w:val="22"/>
                <w:szCs w:val="22"/>
              </w:rPr>
              <w:t>TAC</w:t>
            </w:r>
          </w:p>
        </w:tc>
        <w:tc>
          <w:tcPr>
            <w:tcW w:w="1235" w:type="dxa"/>
            <w:tcBorders>
              <w:top w:val="single" w:sz="4" w:space="0" w:color="auto"/>
              <w:left w:val="nil"/>
              <w:bottom w:val="single" w:sz="4" w:space="0" w:color="auto"/>
              <w:right w:val="single" w:sz="4" w:space="0" w:color="auto"/>
            </w:tcBorders>
            <w:shd w:val="clear" w:color="000000" w:fill="FFFFFF"/>
            <w:noWrap/>
            <w:vAlign w:val="bottom"/>
            <w:hideMark/>
          </w:tcPr>
          <w:p w14:paraId="65220A99" w14:textId="77777777" w:rsidR="008B6A44" w:rsidRPr="008B6A44" w:rsidRDefault="008B6A44" w:rsidP="00B92709">
            <w:pPr>
              <w:jc w:val="center"/>
              <w:rPr>
                <w:color w:val="000000"/>
                <w:sz w:val="22"/>
                <w:szCs w:val="22"/>
              </w:rPr>
            </w:pPr>
            <w:r w:rsidRPr="008B6A44">
              <w:rPr>
                <w:color w:val="000000"/>
                <w:sz w:val="22"/>
                <w:szCs w:val="22"/>
              </w:rPr>
              <w:t>Catch</w:t>
            </w:r>
          </w:p>
        </w:tc>
      </w:tr>
      <w:tr w:rsidR="008B6A44" w:rsidRPr="008B6A44" w14:paraId="3BB34DAA" w14:textId="77777777" w:rsidTr="00B92709">
        <w:trPr>
          <w:trHeight w:val="320"/>
        </w:trPr>
        <w:tc>
          <w:tcPr>
            <w:tcW w:w="1235" w:type="dxa"/>
            <w:tcBorders>
              <w:top w:val="nil"/>
              <w:left w:val="single" w:sz="4" w:space="0" w:color="auto"/>
              <w:bottom w:val="nil"/>
              <w:right w:val="nil"/>
            </w:tcBorders>
            <w:shd w:val="clear" w:color="000000" w:fill="FFFFFF"/>
            <w:noWrap/>
            <w:vAlign w:val="bottom"/>
            <w:hideMark/>
          </w:tcPr>
          <w:p w14:paraId="462F60FE" w14:textId="77777777" w:rsidR="008B6A44" w:rsidRPr="008B6A44" w:rsidRDefault="008B6A44" w:rsidP="00B92709">
            <w:pPr>
              <w:jc w:val="center"/>
              <w:rPr>
                <w:color w:val="000000"/>
                <w:sz w:val="22"/>
                <w:szCs w:val="22"/>
              </w:rPr>
            </w:pPr>
            <w:r w:rsidRPr="008B6A44">
              <w:rPr>
                <w:color w:val="000000"/>
                <w:sz w:val="22"/>
                <w:szCs w:val="22"/>
              </w:rPr>
              <w:t>BSAI</w:t>
            </w:r>
          </w:p>
        </w:tc>
        <w:tc>
          <w:tcPr>
            <w:tcW w:w="1235" w:type="dxa"/>
            <w:tcBorders>
              <w:top w:val="nil"/>
              <w:left w:val="nil"/>
              <w:bottom w:val="nil"/>
              <w:right w:val="nil"/>
            </w:tcBorders>
            <w:shd w:val="clear" w:color="000000" w:fill="FFFFFF"/>
            <w:noWrap/>
            <w:vAlign w:val="bottom"/>
            <w:hideMark/>
          </w:tcPr>
          <w:p w14:paraId="22A8C685" w14:textId="77777777" w:rsidR="008B6A44" w:rsidRPr="008B6A44" w:rsidRDefault="008B6A44" w:rsidP="00B92709">
            <w:pPr>
              <w:jc w:val="center"/>
              <w:rPr>
                <w:color w:val="000000"/>
                <w:sz w:val="22"/>
                <w:szCs w:val="22"/>
              </w:rPr>
            </w:pPr>
            <w:r w:rsidRPr="008B6A44">
              <w:rPr>
                <w:color w:val="000000"/>
                <w:sz w:val="22"/>
                <w:szCs w:val="22"/>
              </w:rPr>
              <w:t>2021</w:t>
            </w:r>
          </w:p>
        </w:tc>
        <w:tc>
          <w:tcPr>
            <w:tcW w:w="2111" w:type="dxa"/>
            <w:tcBorders>
              <w:top w:val="nil"/>
              <w:left w:val="nil"/>
              <w:bottom w:val="nil"/>
              <w:right w:val="nil"/>
            </w:tcBorders>
            <w:shd w:val="clear" w:color="000000" w:fill="FFFFFF"/>
            <w:noWrap/>
            <w:vAlign w:val="bottom"/>
            <w:hideMark/>
          </w:tcPr>
          <w:p w14:paraId="3FD4926A" w14:textId="77777777" w:rsidR="008B6A44" w:rsidRPr="008B6A44" w:rsidRDefault="008B6A44" w:rsidP="00B92709">
            <w:pPr>
              <w:jc w:val="center"/>
              <w:rPr>
                <w:color w:val="000000"/>
                <w:sz w:val="22"/>
                <w:szCs w:val="22"/>
              </w:rPr>
            </w:pPr>
            <w:r w:rsidRPr="008B6A44">
              <w:rPr>
                <w:color w:val="000000"/>
                <w:sz w:val="22"/>
                <w:szCs w:val="22"/>
              </w:rPr>
              <w:t>146,679</w:t>
            </w:r>
          </w:p>
        </w:tc>
        <w:tc>
          <w:tcPr>
            <w:tcW w:w="1235" w:type="dxa"/>
            <w:tcBorders>
              <w:top w:val="nil"/>
              <w:left w:val="nil"/>
              <w:bottom w:val="nil"/>
              <w:right w:val="nil"/>
            </w:tcBorders>
            <w:shd w:val="clear" w:color="000000" w:fill="FFFFFF"/>
            <w:noWrap/>
            <w:vAlign w:val="bottom"/>
            <w:hideMark/>
          </w:tcPr>
          <w:p w14:paraId="5901CBE4" w14:textId="77777777" w:rsidR="008B6A44" w:rsidRPr="008B6A44" w:rsidRDefault="008B6A44" w:rsidP="00B92709">
            <w:pPr>
              <w:jc w:val="center"/>
              <w:rPr>
                <w:color w:val="000000"/>
                <w:sz w:val="22"/>
                <w:szCs w:val="22"/>
              </w:rPr>
            </w:pPr>
            <w:r w:rsidRPr="008B6A44">
              <w:rPr>
                <w:color w:val="000000"/>
                <w:sz w:val="22"/>
                <w:szCs w:val="22"/>
              </w:rPr>
              <w:t>22,919</w:t>
            </w:r>
          </w:p>
        </w:tc>
        <w:tc>
          <w:tcPr>
            <w:tcW w:w="1235" w:type="dxa"/>
            <w:tcBorders>
              <w:top w:val="nil"/>
              <w:left w:val="nil"/>
              <w:bottom w:val="nil"/>
              <w:right w:val="nil"/>
            </w:tcBorders>
            <w:shd w:val="clear" w:color="000000" w:fill="FFFFFF"/>
            <w:noWrap/>
            <w:vAlign w:val="bottom"/>
            <w:hideMark/>
          </w:tcPr>
          <w:p w14:paraId="34F7CC6F" w14:textId="77777777" w:rsidR="008B6A44" w:rsidRPr="008B6A44" w:rsidRDefault="008B6A44" w:rsidP="00B92709">
            <w:pPr>
              <w:jc w:val="center"/>
              <w:rPr>
                <w:color w:val="000000"/>
                <w:sz w:val="22"/>
                <w:szCs w:val="22"/>
              </w:rPr>
            </w:pPr>
            <w:r w:rsidRPr="008B6A44">
              <w:rPr>
                <w:color w:val="000000"/>
                <w:sz w:val="22"/>
                <w:szCs w:val="22"/>
              </w:rPr>
              <w:t>17,189</w:t>
            </w:r>
          </w:p>
        </w:tc>
        <w:tc>
          <w:tcPr>
            <w:tcW w:w="1235" w:type="dxa"/>
            <w:tcBorders>
              <w:top w:val="nil"/>
              <w:left w:val="nil"/>
              <w:bottom w:val="nil"/>
              <w:right w:val="nil"/>
            </w:tcBorders>
            <w:shd w:val="clear" w:color="000000" w:fill="FFFFFF"/>
            <w:noWrap/>
            <w:vAlign w:val="bottom"/>
            <w:hideMark/>
          </w:tcPr>
          <w:p w14:paraId="216A99AA" w14:textId="77777777" w:rsidR="008B6A44" w:rsidRPr="008B6A44" w:rsidRDefault="008B6A44" w:rsidP="00B92709">
            <w:pPr>
              <w:jc w:val="center"/>
              <w:rPr>
                <w:color w:val="000000"/>
                <w:sz w:val="22"/>
                <w:szCs w:val="22"/>
              </w:rPr>
            </w:pPr>
            <w:r w:rsidRPr="008B6A44">
              <w:rPr>
                <w:color w:val="000000"/>
                <w:sz w:val="22"/>
                <w:szCs w:val="22"/>
              </w:rPr>
              <w:t>6,500</w:t>
            </w:r>
          </w:p>
        </w:tc>
        <w:tc>
          <w:tcPr>
            <w:tcW w:w="1235" w:type="dxa"/>
            <w:tcBorders>
              <w:top w:val="nil"/>
              <w:left w:val="nil"/>
              <w:bottom w:val="nil"/>
              <w:right w:val="single" w:sz="4" w:space="0" w:color="auto"/>
            </w:tcBorders>
            <w:shd w:val="clear" w:color="000000" w:fill="FFFFFF"/>
            <w:noWrap/>
            <w:vAlign w:val="bottom"/>
            <w:hideMark/>
          </w:tcPr>
          <w:p w14:paraId="1195D259" w14:textId="77777777" w:rsidR="008B6A44" w:rsidRPr="008B6A44" w:rsidRDefault="008B6A44" w:rsidP="00B92709">
            <w:pPr>
              <w:jc w:val="center"/>
              <w:rPr>
                <w:color w:val="000000"/>
                <w:sz w:val="22"/>
                <w:szCs w:val="22"/>
              </w:rPr>
            </w:pPr>
            <w:r w:rsidRPr="008B6A44">
              <w:rPr>
                <w:color w:val="000000"/>
                <w:sz w:val="22"/>
                <w:szCs w:val="22"/>
              </w:rPr>
              <w:t>2,638</w:t>
            </w:r>
          </w:p>
        </w:tc>
      </w:tr>
      <w:tr w:rsidR="008B6A44" w:rsidRPr="008B6A44" w14:paraId="2EBE8630" w14:textId="77777777" w:rsidTr="00B92709">
        <w:trPr>
          <w:trHeight w:val="320"/>
        </w:trPr>
        <w:tc>
          <w:tcPr>
            <w:tcW w:w="1235" w:type="dxa"/>
            <w:tcBorders>
              <w:top w:val="nil"/>
              <w:left w:val="single" w:sz="4" w:space="0" w:color="auto"/>
              <w:bottom w:val="nil"/>
              <w:right w:val="nil"/>
            </w:tcBorders>
            <w:shd w:val="clear" w:color="000000" w:fill="FFFFFF"/>
            <w:noWrap/>
            <w:vAlign w:val="bottom"/>
            <w:hideMark/>
          </w:tcPr>
          <w:p w14:paraId="68B74879" w14:textId="77777777" w:rsidR="008B6A44" w:rsidRPr="008B6A44" w:rsidRDefault="008B6A44" w:rsidP="00B92709">
            <w:pPr>
              <w:jc w:val="center"/>
              <w:rPr>
                <w:color w:val="000000"/>
                <w:sz w:val="22"/>
                <w:szCs w:val="22"/>
              </w:rPr>
            </w:pPr>
            <w:r w:rsidRPr="008B6A44">
              <w:rPr>
                <w:color w:val="000000"/>
                <w:sz w:val="22"/>
                <w:szCs w:val="22"/>
              </w:rPr>
              <w:t> </w:t>
            </w:r>
          </w:p>
        </w:tc>
        <w:tc>
          <w:tcPr>
            <w:tcW w:w="1235" w:type="dxa"/>
            <w:tcBorders>
              <w:top w:val="nil"/>
              <w:left w:val="nil"/>
              <w:bottom w:val="nil"/>
              <w:right w:val="nil"/>
            </w:tcBorders>
            <w:shd w:val="clear" w:color="000000" w:fill="FFFFFF"/>
            <w:noWrap/>
            <w:vAlign w:val="bottom"/>
            <w:hideMark/>
          </w:tcPr>
          <w:p w14:paraId="5A64425E" w14:textId="77777777" w:rsidR="008B6A44" w:rsidRPr="008B6A44" w:rsidRDefault="008B6A44" w:rsidP="00B92709">
            <w:pPr>
              <w:jc w:val="center"/>
              <w:rPr>
                <w:color w:val="000000"/>
                <w:sz w:val="22"/>
                <w:szCs w:val="22"/>
              </w:rPr>
            </w:pPr>
            <w:r w:rsidRPr="008B6A44">
              <w:rPr>
                <w:color w:val="000000"/>
                <w:sz w:val="22"/>
                <w:szCs w:val="22"/>
              </w:rPr>
              <w:t>2022</w:t>
            </w:r>
          </w:p>
        </w:tc>
        <w:tc>
          <w:tcPr>
            <w:tcW w:w="2111" w:type="dxa"/>
            <w:tcBorders>
              <w:top w:val="nil"/>
              <w:left w:val="nil"/>
              <w:bottom w:val="nil"/>
              <w:right w:val="nil"/>
            </w:tcBorders>
            <w:shd w:val="clear" w:color="000000" w:fill="FFFFFF"/>
            <w:noWrap/>
            <w:vAlign w:val="bottom"/>
            <w:hideMark/>
          </w:tcPr>
          <w:p w14:paraId="5352E604" w14:textId="77777777" w:rsidR="008B6A44" w:rsidRPr="008B6A44" w:rsidRDefault="008B6A44" w:rsidP="00B92709">
            <w:pPr>
              <w:jc w:val="center"/>
              <w:rPr>
                <w:color w:val="000000"/>
                <w:sz w:val="22"/>
                <w:szCs w:val="22"/>
              </w:rPr>
            </w:pPr>
            <w:r w:rsidRPr="008B6A44">
              <w:rPr>
                <w:color w:val="000000"/>
                <w:sz w:val="22"/>
                <w:szCs w:val="22"/>
              </w:rPr>
              <w:t>146,679</w:t>
            </w:r>
          </w:p>
        </w:tc>
        <w:tc>
          <w:tcPr>
            <w:tcW w:w="1235" w:type="dxa"/>
            <w:tcBorders>
              <w:top w:val="nil"/>
              <w:left w:val="nil"/>
              <w:bottom w:val="nil"/>
              <w:right w:val="nil"/>
            </w:tcBorders>
            <w:shd w:val="clear" w:color="000000" w:fill="FFFFFF"/>
            <w:noWrap/>
            <w:vAlign w:val="bottom"/>
            <w:hideMark/>
          </w:tcPr>
          <w:p w14:paraId="2E4F0770" w14:textId="77777777" w:rsidR="008B6A44" w:rsidRPr="008B6A44" w:rsidRDefault="008B6A44" w:rsidP="00B92709">
            <w:pPr>
              <w:jc w:val="center"/>
              <w:rPr>
                <w:color w:val="000000"/>
                <w:sz w:val="22"/>
                <w:szCs w:val="22"/>
              </w:rPr>
            </w:pPr>
            <w:r w:rsidRPr="008B6A44">
              <w:rPr>
                <w:color w:val="000000"/>
                <w:sz w:val="22"/>
                <w:szCs w:val="22"/>
              </w:rPr>
              <w:t>22,919</w:t>
            </w:r>
          </w:p>
        </w:tc>
        <w:tc>
          <w:tcPr>
            <w:tcW w:w="1235" w:type="dxa"/>
            <w:tcBorders>
              <w:top w:val="nil"/>
              <w:left w:val="nil"/>
              <w:bottom w:val="nil"/>
              <w:right w:val="nil"/>
            </w:tcBorders>
            <w:shd w:val="clear" w:color="000000" w:fill="FFFFFF"/>
            <w:noWrap/>
            <w:vAlign w:val="bottom"/>
            <w:hideMark/>
          </w:tcPr>
          <w:p w14:paraId="28DD2151" w14:textId="77777777" w:rsidR="008B6A44" w:rsidRPr="008B6A44" w:rsidRDefault="008B6A44" w:rsidP="00B92709">
            <w:pPr>
              <w:jc w:val="center"/>
              <w:rPr>
                <w:color w:val="000000"/>
                <w:sz w:val="22"/>
                <w:szCs w:val="22"/>
              </w:rPr>
            </w:pPr>
            <w:r w:rsidRPr="008B6A44">
              <w:rPr>
                <w:color w:val="000000"/>
                <w:sz w:val="22"/>
                <w:szCs w:val="22"/>
              </w:rPr>
              <w:t>17,189</w:t>
            </w:r>
          </w:p>
        </w:tc>
        <w:tc>
          <w:tcPr>
            <w:tcW w:w="1235" w:type="dxa"/>
            <w:tcBorders>
              <w:top w:val="nil"/>
              <w:left w:val="nil"/>
              <w:bottom w:val="nil"/>
              <w:right w:val="nil"/>
            </w:tcBorders>
            <w:shd w:val="clear" w:color="000000" w:fill="FFFFFF"/>
            <w:noWrap/>
            <w:vAlign w:val="bottom"/>
            <w:hideMark/>
          </w:tcPr>
          <w:p w14:paraId="4653DACB" w14:textId="77777777" w:rsidR="008B6A44" w:rsidRPr="008B6A44" w:rsidRDefault="008B6A44" w:rsidP="00B92709">
            <w:pPr>
              <w:jc w:val="center"/>
              <w:rPr>
                <w:color w:val="000000"/>
                <w:sz w:val="22"/>
                <w:szCs w:val="22"/>
              </w:rPr>
            </w:pPr>
            <w:r w:rsidRPr="008B6A44">
              <w:rPr>
                <w:color w:val="000000"/>
                <w:sz w:val="22"/>
                <w:szCs w:val="22"/>
              </w:rPr>
              <w:t>10,000</w:t>
            </w:r>
          </w:p>
        </w:tc>
        <w:tc>
          <w:tcPr>
            <w:tcW w:w="1235" w:type="dxa"/>
            <w:tcBorders>
              <w:top w:val="nil"/>
              <w:left w:val="nil"/>
              <w:bottom w:val="nil"/>
              <w:right w:val="single" w:sz="4" w:space="0" w:color="auto"/>
            </w:tcBorders>
            <w:shd w:val="clear" w:color="000000" w:fill="FFFFFF"/>
            <w:noWrap/>
            <w:vAlign w:val="bottom"/>
            <w:hideMark/>
          </w:tcPr>
          <w:p w14:paraId="19FD8AB2" w14:textId="77777777" w:rsidR="008B6A44" w:rsidRPr="008B6A44" w:rsidRDefault="008B6A44" w:rsidP="00B92709">
            <w:pPr>
              <w:jc w:val="center"/>
              <w:rPr>
                <w:color w:val="000000"/>
                <w:sz w:val="22"/>
                <w:szCs w:val="22"/>
              </w:rPr>
            </w:pPr>
            <w:r w:rsidRPr="008B6A44">
              <w:rPr>
                <w:color w:val="000000"/>
                <w:sz w:val="22"/>
                <w:szCs w:val="22"/>
              </w:rPr>
              <w:t>2,550</w:t>
            </w:r>
          </w:p>
        </w:tc>
      </w:tr>
      <w:tr w:rsidR="008B6A44" w:rsidRPr="008B6A44" w14:paraId="4FC57626" w14:textId="77777777" w:rsidTr="00B92709">
        <w:trPr>
          <w:trHeight w:val="320"/>
        </w:trPr>
        <w:tc>
          <w:tcPr>
            <w:tcW w:w="1235" w:type="dxa"/>
            <w:tcBorders>
              <w:top w:val="nil"/>
              <w:left w:val="single" w:sz="4" w:space="0" w:color="auto"/>
              <w:bottom w:val="nil"/>
              <w:right w:val="nil"/>
            </w:tcBorders>
            <w:shd w:val="clear" w:color="000000" w:fill="FFFFFF"/>
            <w:noWrap/>
            <w:vAlign w:val="bottom"/>
            <w:hideMark/>
          </w:tcPr>
          <w:p w14:paraId="5E2EA9C4" w14:textId="77777777" w:rsidR="008B6A44" w:rsidRPr="008B6A44" w:rsidRDefault="008B6A44" w:rsidP="00B92709">
            <w:pPr>
              <w:jc w:val="center"/>
              <w:rPr>
                <w:color w:val="000000"/>
                <w:sz w:val="22"/>
                <w:szCs w:val="22"/>
              </w:rPr>
            </w:pPr>
            <w:r w:rsidRPr="008B6A44">
              <w:rPr>
                <w:color w:val="000000"/>
                <w:sz w:val="22"/>
                <w:szCs w:val="22"/>
              </w:rPr>
              <w:t> </w:t>
            </w:r>
          </w:p>
        </w:tc>
        <w:tc>
          <w:tcPr>
            <w:tcW w:w="1235" w:type="dxa"/>
            <w:tcBorders>
              <w:top w:val="nil"/>
              <w:left w:val="nil"/>
              <w:bottom w:val="nil"/>
              <w:right w:val="nil"/>
            </w:tcBorders>
            <w:shd w:val="clear" w:color="000000" w:fill="FFFFFF"/>
            <w:noWrap/>
            <w:vAlign w:val="bottom"/>
            <w:hideMark/>
          </w:tcPr>
          <w:p w14:paraId="3F33A53C" w14:textId="77777777" w:rsidR="008B6A44" w:rsidRPr="008B6A44" w:rsidRDefault="008B6A44" w:rsidP="00B92709">
            <w:pPr>
              <w:jc w:val="center"/>
              <w:rPr>
                <w:color w:val="000000"/>
                <w:sz w:val="22"/>
                <w:szCs w:val="22"/>
              </w:rPr>
            </w:pPr>
            <w:r w:rsidRPr="008B6A44">
              <w:rPr>
                <w:color w:val="000000"/>
                <w:sz w:val="22"/>
                <w:szCs w:val="22"/>
              </w:rPr>
              <w:t>2023</w:t>
            </w:r>
          </w:p>
        </w:tc>
        <w:tc>
          <w:tcPr>
            <w:tcW w:w="2111" w:type="dxa"/>
            <w:tcBorders>
              <w:top w:val="nil"/>
              <w:left w:val="nil"/>
              <w:bottom w:val="nil"/>
              <w:right w:val="nil"/>
            </w:tcBorders>
            <w:shd w:val="clear" w:color="000000" w:fill="FFFFFF"/>
            <w:noWrap/>
            <w:vAlign w:val="bottom"/>
            <w:hideMark/>
          </w:tcPr>
          <w:p w14:paraId="3B56D141" w14:textId="77777777" w:rsidR="008B6A44" w:rsidRPr="008B6A44" w:rsidRDefault="008B6A44" w:rsidP="00B92709">
            <w:pPr>
              <w:jc w:val="center"/>
              <w:rPr>
                <w:color w:val="000000"/>
                <w:sz w:val="22"/>
                <w:szCs w:val="22"/>
              </w:rPr>
            </w:pPr>
            <w:r w:rsidRPr="008B6A44">
              <w:rPr>
                <w:color w:val="000000"/>
                <w:sz w:val="22"/>
                <w:szCs w:val="22"/>
              </w:rPr>
              <w:t>146,679</w:t>
            </w:r>
          </w:p>
        </w:tc>
        <w:tc>
          <w:tcPr>
            <w:tcW w:w="1235" w:type="dxa"/>
            <w:tcBorders>
              <w:top w:val="nil"/>
              <w:left w:val="nil"/>
              <w:bottom w:val="nil"/>
              <w:right w:val="nil"/>
            </w:tcBorders>
            <w:shd w:val="clear" w:color="000000" w:fill="FFFFFF"/>
            <w:noWrap/>
            <w:vAlign w:val="bottom"/>
            <w:hideMark/>
          </w:tcPr>
          <w:p w14:paraId="0CA67805" w14:textId="77777777" w:rsidR="008B6A44" w:rsidRPr="008B6A44" w:rsidRDefault="008B6A44" w:rsidP="00B92709">
            <w:pPr>
              <w:jc w:val="center"/>
              <w:rPr>
                <w:color w:val="000000"/>
                <w:sz w:val="22"/>
                <w:szCs w:val="22"/>
              </w:rPr>
            </w:pPr>
            <w:r w:rsidRPr="008B6A44">
              <w:rPr>
                <w:color w:val="000000"/>
                <w:sz w:val="22"/>
                <w:szCs w:val="22"/>
              </w:rPr>
              <w:t>22,919</w:t>
            </w:r>
          </w:p>
        </w:tc>
        <w:tc>
          <w:tcPr>
            <w:tcW w:w="1235" w:type="dxa"/>
            <w:tcBorders>
              <w:top w:val="nil"/>
              <w:left w:val="nil"/>
              <w:bottom w:val="nil"/>
              <w:right w:val="nil"/>
            </w:tcBorders>
            <w:shd w:val="clear" w:color="000000" w:fill="FFFFFF"/>
            <w:noWrap/>
            <w:vAlign w:val="bottom"/>
            <w:hideMark/>
          </w:tcPr>
          <w:p w14:paraId="6956FD47" w14:textId="77777777" w:rsidR="008B6A44" w:rsidRPr="008B6A44" w:rsidRDefault="008B6A44" w:rsidP="00B92709">
            <w:pPr>
              <w:jc w:val="center"/>
              <w:rPr>
                <w:color w:val="000000"/>
                <w:sz w:val="22"/>
                <w:szCs w:val="22"/>
              </w:rPr>
            </w:pPr>
            <w:r w:rsidRPr="008B6A44">
              <w:rPr>
                <w:color w:val="000000"/>
                <w:sz w:val="22"/>
                <w:szCs w:val="22"/>
              </w:rPr>
              <w:t>17,189</w:t>
            </w:r>
          </w:p>
        </w:tc>
        <w:tc>
          <w:tcPr>
            <w:tcW w:w="1235" w:type="dxa"/>
            <w:tcBorders>
              <w:top w:val="nil"/>
              <w:left w:val="nil"/>
              <w:bottom w:val="nil"/>
              <w:right w:val="nil"/>
            </w:tcBorders>
            <w:shd w:val="clear" w:color="000000" w:fill="FFFFFF"/>
            <w:noWrap/>
            <w:vAlign w:val="bottom"/>
            <w:hideMark/>
          </w:tcPr>
          <w:p w14:paraId="493F861A" w14:textId="77777777" w:rsidR="008B6A44" w:rsidRPr="008B6A44" w:rsidRDefault="008B6A44" w:rsidP="00B92709">
            <w:pPr>
              <w:jc w:val="center"/>
              <w:rPr>
                <w:color w:val="000000"/>
                <w:sz w:val="22"/>
                <w:szCs w:val="22"/>
              </w:rPr>
            </w:pPr>
            <w:r w:rsidRPr="008B6A44">
              <w:rPr>
                <w:color w:val="000000"/>
                <w:sz w:val="22"/>
                <w:szCs w:val="22"/>
              </w:rPr>
              <w:t>n/a</w:t>
            </w:r>
          </w:p>
        </w:tc>
        <w:tc>
          <w:tcPr>
            <w:tcW w:w="1235" w:type="dxa"/>
            <w:tcBorders>
              <w:top w:val="nil"/>
              <w:left w:val="nil"/>
              <w:bottom w:val="nil"/>
              <w:right w:val="single" w:sz="4" w:space="0" w:color="auto"/>
            </w:tcBorders>
            <w:shd w:val="clear" w:color="000000" w:fill="FFFFFF"/>
            <w:noWrap/>
            <w:vAlign w:val="bottom"/>
            <w:hideMark/>
          </w:tcPr>
          <w:p w14:paraId="25087035" w14:textId="77777777" w:rsidR="008B6A44" w:rsidRPr="008B6A44" w:rsidRDefault="008B6A44" w:rsidP="00B92709">
            <w:pPr>
              <w:jc w:val="center"/>
              <w:rPr>
                <w:color w:val="000000"/>
                <w:sz w:val="22"/>
                <w:szCs w:val="22"/>
              </w:rPr>
            </w:pPr>
            <w:r w:rsidRPr="008B6A44">
              <w:rPr>
                <w:color w:val="000000"/>
                <w:sz w:val="22"/>
                <w:szCs w:val="22"/>
              </w:rPr>
              <w:t>n/a</w:t>
            </w:r>
          </w:p>
        </w:tc>
      </w:tr>
      <w:tr w:rsidR="008B6A44" w:rsidRPr="008B6A44" w14:paraId="247E2FDD" w14:textId="77777777" w:rsidTr="00B92709">
        <w:trPr>
          <w:trHeight w:val="320"/>
        </w:trPr>
        <w:tc>
          <w:tcPr>
            <w:tcW w:w="1235" w:type="dxa"/>
            <w:tcBorders>
              <w:top w:val="nil"/>
              <w:left w:val="single" w:sz="4" w:space="0" w:color="auto"/>
              <w:bottom w:val="single" w:sz="4" w:space="0" w:color="auto"/>
              <w:right w:val="nil"/>
            </w:tcBorders>
            <w:shd w:val="clear" w:color="000000" w:fill="FFFFFF"/>
            <w:noWrap/>
            <w:vAlign w:val="bottom"/>
            <w:hideMark/>
          </w:tcPr>
          <w:p w14:paraId="655261ED" w14:textId="77777777" w:rsidR="008B6A44" w:rsidRPr="008B6A44" w:rsidRDefault="008B6A44" w:rsidP="00B92709">
            <w:pPr>
              <w:jc w:val="center"/>
              <w:rPr>
                <w:color w:val="000000"/>
                <w:sz w:val="22"/>
                <w:szCs w:val="22"/>
              </w:rPr>
            </w:pPr>
            <w:r w:rsidRPr="008B6A44">
              <w:rPr>
                <w:color w:val="000000"/>
                <w:sz w:val="22"/>
                <w:szCs w:val="22"/>
              </w:rPr>
              <w:t> </w:t>
            </w:r>
          </w:p>
        </w:tc>
        <w:tc>
          <w:tcPr>
            <w:tcW w:w="1235" w:type="dxa"/>
            <w:tcBorders>
              <w:top w:val="nil"/>
              <w:left w:val="nil"/>
              <w:bottom w:val="single" w:sz="4" w:space="0" w:color="auto"/>
              <w:right w:val="nil"/>
            </w:tcBorders>
            <w:shd w:val="clear" w:color="000000" w:fill="FFFFFF"/>
            <w:noWrap/>
            <w:vAlign w:val="bottom"/>
            <w:hideMark/>
          </w:tcPr>
          <w:p w14:paraId="24839DF0" w14:textId="77777777" w:rsidR="008B6A44" w:rsidRPr="008B6A44" w:rsidRDefault="008B6A44" w:rsidP="00B92709">
            <w:pPr>
              <w:jc w:val="center"/>
              <w:rPr>
                <w:color w:val="000000"/>
                <w:sz w:val="22"/>
                <w:szCs w:val="22"/>
              </w:rPr>
            </w:pPr>
            <w:r w:rsidRPr="008B6A44">
              <w:rPr>
                <w:color w:val="000000"/>
                <w:sz w:val="22"/>
                <w:szCs w:val="22"/>
              </w:rPr>
              <w:t>2024</w:t>
            </w:r>
          </w:p>
        </w:tc>
        <w:tc>
          <w:tcPr>
            <w:tcW w:w="2111" w:type="dxa"/>
            <w:tcBorders>
              <w:top w:val="nil"/>
              <w:left w:val="nil"/>
              <w:bottom w:val="single" w:sz="4" w:space="0" w:color="auto"/>
              <w:right w:val="nil"/>
            </w:tcBorders>
            <w:shd w:val="clear" w:color="000000" w:fill="FFFFFF"/>
            <w:noWrap/>
            <w:vAlign w:val="bottom"/>
            <w:hideMark/>
          </w:tcPr>
          <w:p w14:paraId="684EB5AF" w14:textId="77777777" w:rsidR="008B6A44" w:rsidRPr="008B6A44" w:rsidRDefault="008B6A44" w:rsidP="00B92709">
            <w:pPr>
              <w:jc w:val="center"/>
              <w:rPr>
                <w:color w:val="000000"/>
                <w:sz w:val="22"/>
                <w:szCs w:val="22"/>
              </w:rPr>
            </w:pPr>
            <w:r w:rsidRPr="008B6A44">
              <w:rPr>
                <w:color w:val="000000"/>
                <w:sz w:val="22"/>
                <w:szCs w:val="22"/>
              </w:rPr>
              <w:t>22,919</w:t>
            </w:r>
          </w:p>
        </w:tc>
        <w:tc>
          <w:tcPr>
            <w:tcW w:w="1235" w:type="dxa"/>
            <w:tcBorders>
              <w:top w:val="nil"/>
              <w:left w:val="nil"/>
              <w:bottom w:val="single" w:sz="4" w:space="0" w:color="auto"/>
              <w:right w:val="nil"/>
            </w:tcBorders>
            <w:shd w:val="clear" w:color="000000" w:fill="FFFFFF"/>
            <w:noWrap/>
            <w:vAlign w:val="bottom"/>
            <w:hideMark/>
          </w:tcPr>
          <w:p w14:paraId="2E9CEEF0" w14:textId="77777777" w:rsidR="008B6A44" w:rsidRPr="008B6A44" w:rsidRDefault="008B6A44" w:rsidP="00B92709">
            <w:pPr>
              <w:jc w:val="center"/>
              <w:rPr>
                <w:color w:val="000000"/>
                <w:sz w:val="22"/>
                <w:szCs w:val="22"/>
              </w:rPr>
            </w:pPr>
            <w:r w:rsidRPr="008B6A44">
              <w:rPr>
                <w:color w:val="000000"/>
                <w:sz w:val="22"/>
                <w:szCs w:val="22"/>
              </w:rPr>
              <w:t>17,189</w:t>
            </w:r>
          </w:p>
        </w:tc>
        <w:tc>
          <w:tcPr>
            <w:tcW w:w="1235" w:type="dxa"/>
            <w:tcBorders>
              <w:top w:val="nil"/>
              <w:left w:val="nil"/>
              <w:bottom w:val="single" w:sz="4" w:space="0" w:color="auto"/>
              <w:right w:val="nil"/>
            </w:tcBorders>
            <w:shd w:val="clear" w:color="000000" w:fill="FFFFFF"/>
            <w:noWrap/>
            <w:vAlign w:val="bottom"/>
            <w:hideMark/>
          </w:tcPr>
          <w:p w14:paraId="55874A66" w14:textId="77777777" w:rsidR="008B6A44" w:rsidRPr="008B6A44" w:rsidRDefault="008B6A44" w:rsidP="00B92709">
            <w:pPr>
              <w:jc w:val="center"/>
              <w:rPr>
                <w:color w:val="000000"/>
                <w:sz w:val="22"/>
                <w:szCs w:val="22"/>
              </w:rPr>
            </w:pPr>
            <w:r w:rsidRPr="008B6A44">
              <w:rPr>
                <w:color w:val="000000"/>
                <w:sz w:val="22"/>
                <w:szCs w:val="22"/>
              </w:rPr>
              <w:t>n/a</w:t>
            </w:r>
          </w:p>
        </w:tc>
        <w:tc>
          <w:tcPr>
            <w:tcW w:w="1235" w:type="dxa"/>
            <w:tcBorders>
              <w:top w:val="nil"/>
              <w:left w:val="nil"/>
              <w:bottom w:val="single" w:sz="4" w:space="0" w:color="auto"/>
              <w:right w:val="nil"/>
            </w:tcBorders>
            <w:shd w:val="clear" w:color="000000" w:fill="FFFFFF"/>
            <w:noWrap/>
            <w:vAlign w:val="bottom"/>
            <w:hideMark/>
          </w:tcPr>
          <w:p w14:paraId="423E0365" w14:textId="77777777" w:rsidR="008B6A44" w:rsidRPr="008B6A44" w:rsidRDefault="008B6A44" w:rsidP="00B92709">
            <w:pPr>
              <w:jc w:val="center"/>
              <w:rPr>
                <w:color w:val="000000"/>
                <w:sz w:val="22"/>
                <w:szCs w:val="22"/>
              </w:rPr>
            </w:pPr>
            <w:r w:rsidRPr="008B6A44">
              <w:rPr>
                <w:color w:val="000000"/>
                <w:sz w:val="22"/>
                <w:szCs w:val="22"/>
              </w:rPr>
              <w:t>n/a</w:t>
            </w:r>
          </w:p>
        </w:tc>
        <w:tc>
          <w:tcPr>
            <w:tcW w:w="1235" w:type="dxa"/>
            <w:tcBorders>
              <w:top w:val="nil"/>
              <w:left w:val="nil"/>
              <w:bottom w:val="single" w:sz="4" w:space="0" w:color="auto"/>
              <w:right w:val="single" w:sz="4" w:space="0" w:color="auto"/>
            </w:tcBorders>
            <w:shd w:val="clear" w:color="000000" w:fill="FFFFFF"/>
            <w:noWrap/>
            <w:vAlign w:val="bottom"/>
            <w:hideMark/>
          </w:tcPr>
          <w:p w14:paraId="60151973" w14:textId="77777777" w:rsidR="008B6A44" w:rsidRPr="008B6A44" w:rsidRDefault="008B6A44" w:rsidP="00B92709">
            <w:pPr>
              <w:jc w:val="center"/>
              <w:rPr>
                <w:color w:val="000000"/>
                <w:sz w:val="22"/>
                <w:szCs w:val="22"/>
              </w:rPr>
            </w:pPr>
            <w:r w:rsidRPr="008B6A44">
              <w:rPr>
                <w:color w:val="000000"/>
                <w:sz w:val="22"/>
                <w:szCs w:val="22"/>
              </w:rPr>
              <w:t> </w:t>
            </w:r>
          </w:p>
        </w:tc>
      </w:tr>
    </w:tbl>
    <w:p w14:paraId="68BCCEFC" w14:textId="77777777" w:rsidR="008B6A44" w:rsidRDefault="008B6A44" w:rsidP="008B6A44">
      <w:pPr>
        <w:rPr>
          <w:sz w:val="22"/>
          <w:szCs w:val="22"/>
        </w:rPr>
      </w:pPr>
    </w:p>
    <w:p w14:paraId="17FEF805" w14:textId="3DF12F9F" w:rsidR="008B6A44" w:rsidRPr="008B6A44" w:rsidRDefault="008B6A44" w:rsidP="008B6A44">
      <w:pPr>
        <w:rPr>
          <w:sz w:val="22"/>
          <w:szCs w:val="22"/>
        </w:rPr>
      </w:pPr>
      <w:r w:rsidRPr="008B6A44">
        <w:rPr>
          <w:sz w:val="22"/>
          <w:szCs w:val="22"/>
        </w:rPr>
        <w:t xml:space="preserve">The BSAI “Other flatfish” complex includes all flatfishes not managed individually, but the primary species by abundance are starry flounder, rex sole, longhead dab, Dover sole, and butter sole. Harvest recommendations are made using Tier 5 methods (OFL = F * biomass, where F=M; ABC = 0.75 * OFL) and are not revised during off years. The ABC and OFL </w:t>
      </w:r>
      <w:proofErr w:type="gramStart"/>
      <w:r w:rsidRPr="008B6A44">
        <w:rPr>
          <w:sz w:val="22"/>
          <w:szCs w:val="22"/>
        </w:rPr>
        <w:t>are calculated</w:t>
      </w:r>
      <w:proofErr w:type="gramEnd"/>
      <w:r w:rsidRPr="008B6A44">
        <w:rPr>
          <w:sz w:val="22"/>
          <w:szCs w:val="22"/>
        </w:rPr>
        <w:t xml:space="preserve"> separately for rex sole, Dover sole, and a single group of all remaining species; these are then aggregated to produce a single set of recommendations for the complex. </w:t>
      </w:r>
    </w:p>
    <w:p w14:paraId="2B7D9D47" w14:textId="77777777" w:rsidR="008B6A44" w:rsidRPr="008B6A44" w:rsidRDefault="008B6A44" w:rsidP="008B6A44">
      <w:pPr>
        <w:rPr>
          <w:sz w:val="22"/>
          <w:szCs w:val="22"/>
        </w:rPr>
      </w:pPr>
    </w:p>
    <w:p w14:paraId="0D076EE2" w14:textId="77777777" w:rsidR="008B6A44" w:rsidRPr="008B6A44" w:rsidRDefault="008B6A44" w:rsidP="008B6A44">
      <w:pPr>
        <w:rPr>
          <w:sz w:val="22"/>
          <w:szCs w:val="22"/>
        </w:rPr>
      </w:pPr>
      <w:r w:rsidRPr="008B6A44">
        <w:rPr>
          <w:sz w:val="22"/>
          <w:szCs w:val="22"/>
        </w:rPr>
        <w:t xml:space="preserve">This stock </w:t>
      </w:r>
      <w:proofErr w:type="gramStart"/>
      <w:r w:rsidRPr="008B6A44">
        <w:rPr>
          <w:sz w:val="22"/>
          <w:szCs w:val="22"/>
        </w:rPr>
        <w:t>is managed</w:t>
      </w:r>
      <w:proofErr w:type="gramEnd"/>
      <w:r w:rsidRPr="008B6A44">
        <w:rPr>
          <w:sz w:val="22"/>
          <w:szCs w:val="22"/>
        </w:rPr>
        <w:t xml:space="preserve"> on a four-year cycle and 2022 was an off year. </w:t>
      </w:r>
      <w:proofErr w:type="gramStart"/>
      <w:r w:rsidRPr="008B6A44">
        <w:rPr>
          <w:sz w:val="22"/>
          <w:szCs w:val="22"/>
        </w:rPr>
        <w:t>Therefore</w:t>
      </w:r>
      <w:proofErr w:type="gramEnd"/>
      <w:r w:rsidRPr="008B6A44">
        <w:rPr>
          <w:sz w:val="22"/>
          <w:szCs w:val="22"/>
        </w:rPr>
        <w:t xml:space="preserve"> there was no update to this assessment. The last full assessment was in 2020 and the next full assessment </w:t>
      </w:r>
      <w:proofErr w:type="gramStart"/>
      <w:r w:rsidRPr="008B6A44">
        <w:rPr>
          <w:sz w:val="22"/>
          <w:szCs w:val="22"/>
        </w:rPr>
        <w:t>is scheduled</w:t>
      </w:r>
      <w:proofErr w:type="gramEnd"/>
      <w:r w:rsidRPr="008B6A44">
        <w:rPr>
          <w:sz w:val="22"/>
          <w:szCs w:val="22"/>
        </w:rPr>
        <w:t xml:space="preserve"> for 2024.</w:t>
      </w:r>
    </w:p>
    <w:p w14:paraId="6EA283AD" w14:textId="77777777" w:rsidR="008B6A44" w:rsidRDefault="008B6A44" w:rsidP="008B6A44">
      <w:pPr>
        <w:rPr>
          <w:color w:val="000000"/>
          <w:sz w:val="22"/>
          <w:szCs w:val="22"/>
        </w:rPr>
      </w:pPr>
    </w:p>
    <w:p w14:paraId="71358F84" w14:textId="77AACDB5" w:rsidR="008B6A44" w:rsidRPr="008B6A44" w:rsidRDefault="008B6A44" w:rsidP="008B6A44">
      <w:pPr>
        <w:rPr>
          <w:color w:val="000000"/>
          <w:sz w:val="22"/>
          <w:szCs w:val="22"/>
        </w:rPr>
      </w:pPr>
      <w:r w:rsidRPr="008B6A44">
        <w:rPr>
          <w:color w:val="000000"/>
          <w:sz w:val="22"/>
          <w:szCs w:val="22"/>
        </w:rPr>
        <w:t xml:space="preserve">For further </w:t>
      </w:r>
      <w:proofErr w:type="gramStart"/>
      <w:r w:rsidRPr="008B6A44">
        <w:rPr>
          <w:color w:val="000000"/>
          <w:sz w:val="22"/>
          <w:szCs w:val="22"/>
        </w:rPr>
        <w:t>information</w:t>
      </w:r>
      <w:proofErr w:type="gramEnd"/>
      <w:r w:rsidRPr="008B6A44">
        <w:rPr>
          <w:color w:val="000000"/>
          <w:sz w:val="22"/>
          <w:szCs w:val="22"/>
        </w:rPr>
        <w:t xml:space="preserve"> contact Carey McGilliard, </w:t>
      </w:r>
      <w:hyperlink r:id="rId84" w:history="1">
        <w:r w:rsidRPr="008B6A44">
          <w:rPr>
            <w:rStyle w:val="Hyperlink"/>
            <w:sz w:val="22"/>
            <w:szCs w:val="22"/>
          </w:rPr>
          <w:t>carey.mcgilliard@noaa.gov</w:t>
        </w:r>
      </w:hyperlink>
    </w:p>
    <w:p w14:paraId="2FFAB800" w14:textId="77777777" w:rsidR="00DE3EE8" w:rsidRPr="002B7E6B" w:rsidRDefault="00DE3EE8" w:rsidP="00DE3EE8">
      <w:pPr>
        <w:rPr>
          <w:sz w:val="22"/>
          <w:szCs w:val="22"/>
        </w:rPr>
      </w:pPr>
    </w:p>
    <w:p w14:paraId="4071AA0C" w14:textId="04BBF939" w:rsidR="00DE3EE8" w:rsidRDefault="00DE3EE8" w:rsidP="00017EC4">
      <w:pPr>
        <w:pStyle w:val="Heading5"/>
      </w:pPr>
      <w:bookmarkStart w:id="157" w:name="_Toc131503898"/>
      <w:r w:rsidRPr="00017EC4">
        <w:t>Shallow-water flatfish complex</w:t>
      </w:r>
      <w:r w:rsidR="0024271A">
        <w:t xml:space="preserve"> – </w:t>
      </w:r>
      <w:r w:rsidRPr="00017EC4">
        <w:t xml:space="preserve">Gulf of Alaska </w:t>
      </w:r>
      <w:r w:rsidR="00017EC4">
        <w:t>–</w:t>
      </w:r>
      <w:r w:rsidRPr="00017EC4">
        <w:t xml:space="preserve"> REFM</w:t>
      </w:r>
      <w:bookmarkEnd w:id="157"/>
    </w:p>
    <w:p w14:paraId="4ACBD92A" w14:textId="77777777" w:rsidR="008B6A44" w:rsidRPr="008B6A44" w:rsidRDefault="008B6A44" w:rsidP="008B6A44">
      <w:pPr>
        <w:outlineLvl w:val="4"/>
        <w:rPr>
          <w:b/>
          <w:bCs/>
          <w:sz w:val="22"/>
          <w:szCs w:val="22"/>
        </w:rPr>
      </w:pPr>
    </w:p>
    <w:tbl>
      <w:tblPr>
        <w:tblW w:w="9325" w:type="dxa"/>
        <w:tblLook w:val="04A0" w:firstRow="1" w:lastRow="0" w:firstColumn="1" w:lastColumn="0" w:noHBand="0" w:noVBand="1"/>
      </w:tblPr>
      <w:tblGrid>
        <w:gridCol w:w="1393"/>
        <w:gridCol w:w="2360"/>
        <w:gridCol w:w="1393"/>
        <w:gridCol w:w="1393"/>
        <w:gridCol w:w="1393"/>
        <w:gridCol w:w="1393"/>
      </w:tblGrid>
      <w:tr w:rsidR="008B6A44" w:rsidRPr="008B6A44" w14:paraId="398FD7D7" w14:textId="77777777" w:rsidTr="00B92709">
        <w:trPr>
          <w:trHeight w:val="283"/>
        </w:trPr>
        <w:tc>
          <w:tcPr>
            <w:tcW w:w="1393" w:type="dxa"/>
            <w:tcBorders>
              <w:top w:val="single" w:sz="4" w:space="0" w:color="auto"/>
              <w:left w:val="single" w:sz="4" w:space="0" w:color="auto"/>
              <w:bottom w:val="single" w:sz="4" w:space="0" w:color="auto"/>
              <w:right w:val="nil"/>
            </w:tcBorders>
            <w:shd w:val="clear" w:color="000000" w:fill="FFFFFF"/>
            <w:noWrap/>
            <w:vAlign w:val="bottom"/>
            <w:hideMark/>
          </w:tcPr>
          <w:p w14:paraId="09570364" w14:textId="77777777" w:rsidR="008B6A44" w:rsidRPr="008B6A44" w:rsidRDefault="008B6A44" w:rsidP="00B92709">
            <w:pPr>
              <w:jc w:val="center"/>
              <w:rPr>
                <w:color w:val="000000"/>
                <w:sz w:val="22"/>
                <w:szCs w:val="22"/>
              </w:rPr>
            </w:pPr>
            <w:r w:rsidRPr="008B6A44">
              <w:rPr>
                <w:color w:val="000000"/>
                <w:sz w:val="22"/>
                <w:szCs w:val="22"/>
              </w:rPr>
              <w:t>Year</w:t>
            </w:r>
          </w:p>
        </w:tc>
        <w:tc>
          <w:tcPr>
            <w:tcW w:w="2360" w:type="dxa"/>
            <w:tcBorders>
              <w:top w:val="single" w:sz="4" w:space="0" w:color="auto"/>
              <w:left w:val="nil"/>
              <w:bottom w:val="single" w:sz="4" w:space="0" w:color="auto"/>
              <w:right w:val="nil"/>
            </w:tcBorders>
            <w:shd w:val="clear" w:color="000000" w:fill="FFFFFF"/>
            <w:noWrap/>
            <w:vAlign w:val="bottom"/>
            <w:hideMark/>
          </w:tcPr>
          <w:p w14:paraId="6A29D2B7" w14:textId="77777777" w:rsidR="008B6A44" w:rsidRPr="008B6A44" w:rsidRDefault="008B6A44" w:rsidP="00B92709">
            <w:pPr>
              <w:jc w:val="center"/>
              <w:rPr>
                <w:color w:val="000000"/>
                <w:sz w:val="22"/>
                <w:szCs w:val="22"/>
              </w:rPr>
            </w:pPr>
            <w:r w:rsidRPr="008B6A44">
              <w:rPr>
                <w:color w:val="000000"/>
                <w:sz w:val="22"/>
                <w:szCs w:val="22"/>
              </w:rPr>
              <w:t>Biomass</w:t>
            </w:r>
          </w:p>
        </w:tc>
        <w:tc>
          <w:tcPr>
            <w:tcW w:w="1393" w:type="dxa"/>
            <w:tcBorders>
              <w:top w:val="single" w:sz="4" w:space="0" w:color="auto"/>
              <w:left w:val="nil"/>
              <w:bottom w:val="single" w:sz="4" w:space="0" w:color="auto"/>
              <w:right w:val="nil"/>
            </w:tcBorders>
            <w:shd w:val="clear" w:color="000000" w:fill="FFFFFF"/>
            <w:noWrap/>
            <w:vAlign w:val="bottom"/>
            <w:hideMark/>
          </w:tcPr>
          <w:p w14:paraId="6185A9F1" w14:textId="77777777" w:rsidR="008B6A44" w:rsidRPr="008B6A44" w:rsidRDefault="008B6A44" w:rsidP="00B92709">
            <w:pPr>
              <w:jc w:val="center"/>
              <w:rPr>
                <w:color w:val="000000"/>
                <w:sz w:val="22"/>
                <w:szCs w:val="22"/>
              </w:rPr>
            </w:pPr>
            <w:r w:rsidRPr="008B6A44">
              <w:rPr>
                <w:color w:val="000000"/>
                <w:sz w:val="22"/>
                <w:szCs w:val="22"/>
              </w:rPr>
              <w:t>OFL</w:t>
            </w:r>
          </w:p>
        </w:tc>
        <w:tc>
          <w:tcPr>
            <w:tcW w:w="1393" w:type="dxa"/>
            <w:tcBorders>
              <w:top w:val="single" w:sz="4" w:space="0" w:color="auto"/>
              <w:left w:val="nil"/>
              <w:bottom w:val="single" w:sz="4" w:space="0" w:color="auto"/>
              <w:right w:val="nil"/>
            </w:tcBorders>
            <w:shd w:val="clear" w:color="000000" w:fill="FFFFFF"/>
            <w:noWrap/>
            <w:vAlign w:val="bottom"/>
            <w:hideMark/>
          </w:tcPr>
          <w:p w14:paraId="5FD57F3B" w14:textId="77777777" w:rsidR="008B6A44" w:rsidRPr="008B6A44" w:rsidRDefault="008B6A44" w:rsidP="00B92709">
            <w:pPr>
              <w:jc w:val="center"/>
              <w:rPr>
                <w:color w:val="000000"/>
                <w:sz w:val="22"/>
                <w:szCs w:val="22"/>
              </w:rPr>
            </w:pPr>
            <w:r w:rsidRPr="008B6A44">
              <w:rPr>
                <w:color w:val="000000"/>
                <w:sz w:val="22"/>
                <w:szCs w:val="22"/>
              </w:rPr>
              <w:t>ABC</w:t>
            </w:r>
          </w:p>
        </w:tc>
        <w:tc>
          <w:tcPr>
            <w:tcW w:w="1393" w:type="dxa"/>
            <w:tcBorders>
              <w:top w:val="single" w:sz="4" w:space="0" w:color="auto"/>
              <w:left w:val="nil"/>
              <w:bottom w:val="single" w:sz="4" w:space="0" w:color="auto"/>
              <w:right w:val="nil"/>
            </w:tcBorders>
            <w:shd w:val="clear" w:color="000000" w:fill="FFFFFF"/>
            <w:noWrap/>
            <w:vAlign w:val="bottom"/>
            <w:hideMark/>
          </w:tcPr>
          <w:p w14:paraId="1C7EDDDE" w14:textId="77777777" w:rsidR="008B6A44" w:rsidRPr="008B6A44" w:rsidRDefault="008B6A44" w:rsidP="00B92709">
            <w:pPr>
              <w:jc w:val="center"/>
              <w:rPr>
                <w:color w:val="000000"/>
                <w:sz w:val="22"/>
                <w:szCs w:val="22"/>
              </w:rPr>
            </w:pPr>
            <w:r w:rsidRPr="008B6A44">
              <w:rPr>
                <w:color w:val="000000"/>
                <w:sz w:val="22"/>
                <w:szCs w:val="22"/>
              </w:rPr>
              <w:t>TAC</w:t>
            </w:r>
          </w:p>
        </w:tc>
        <w:tc>
          <w:tcPr>
            <w:tcW w:w="1393" w:type="dxa"/>
            <w:tcBorders>
              <w:top w:val="single" w:sz="4" w:space="0" w:color="auto"/>
              <w:left w:val="nil"/>
              <w:bottom w:val="single" w:sz="4" w:space="0" w:color="auto"/>
              <w:right w:val="single" w:sz="4" w:space="0" w:color="auto"/>
            </w:tcBorders>
            <w:shd w:val="clear" w:color="000000" w:fill="FFFFFF"/>
            <w:noWrap/>
            <w:vAlign w:val="bottom"/>
            <w:hideMark/>
          </w:tcPr>
          <w:p w14:paraId="4A12428C" w14:textId="77777777" w:rsidR="008B6A44" w:rsidRPr="008B6A44" w:rsidRDefault="008B6A44" w:rsidP="00B92709">
            <w:pPr>
              <w:jc w:val="center"/>
              <w:rPr>
                <w:color w:val="000000"/>
                <w:sz w:val="22"/>
                <w:szCs w:val="22"/>
              </w:rPr>
            </w:pPr>
            <w:r w:rsidRPr="008B6A44">
              <w:rPr>
                <w:color w:val="000000"/>
                <w:sz w:val="22"/>
                <w:szCs w:val="22"/>
              </w:rPr>
              <w:t>Catch</w:t>
            </w:r>
          </w:p>
        </w:tc>
      </w:tr>
      <w:tr w:rsidR="008B6A44" w:rsidRPr="008B6A44" w14:paraId="4416681D" w14:textId="77777777" w:rsidTr="00B92709">
        <w:trPr>
          <w:trHeight w:val="283"/>
        </w:trPr>
        <w:tc>
          <w:tcPr>
            <w:tcW w:w="1393" w:type="dxa"/>
            <w:tcBorders>
              <w:top w:val="nil"/>
              <w:left w:val="single" w:sz="4" w:space="0" w:color="auto"/>
              <w:bottom w:val="nil"/>
              <w:right w:val="nil"/>
            </w:tcBorders>
            <w:shd w:val="clear" w:color="000000" w:fill="FFFFFF"/>
            <w:noWrap/>
            <w:vAlign w:val="bottom"/>
            <w:hideMark/>
          </w:tcPr>
          <w:p w14:paraId="5E582AEB" w14:textId="77777777" w:rsidR="008B6A44" w:rsidRPr="008B6A44" w:rsidRDefault="008B6A44" w:rsidP="00B92709">
            <w:pPr>
              <w:jc w:val="center"/>
              <w:rPr>
                <w:color w:val="000000"/>
                <w:sz w:val="22"/>
                <w:szCs w:val="22"/>
              </w:rPr>
            </w:pPr>
            <w:r w:rsidRPr="008B6A44">
              <w:rPr>
                <w:color w:val="000000"/>
                <w:sz w:val="22"/>
                <w:szCs w:val="22"/>
              </w:rPr>
              <w:t>2021</w:t>
            </w:r>
          </w:p>
        </w:tc>
        <w:tc>
          <w:tcPr>
            <w:tcW w:w="2360" w:type="dxa"/>
            <w:tcBorders>
              <w:top w:val="nil"/>
              <w:left w:val="nil"/>
              <w:bottom w:val="nil"/>
              <w:right w:val="nil"/>
            </w:tcBorders>
            <w:shd w:val="clear" w:color="000000" w:fill="FFFFFF"/>
            <w:noWrap/>
            <w:vAlign w:val="bottom"/>
            <w:hideMark/>
          </w:tcPr>
          <w:p w14:paraId="77737513" w14:textId="77777777" w:rsidR="008B6A44" w:rsidRPr="008B6A44" w:rsidRDefault="008B6A44" w:rsidP="00B92709">
            <w:pPr>
              <w:jc w:val="center"/>
              <w:rPr>
                <w:color w:val="000000"/>
                <w:sz w:val="22"/>
                <w:szCs w:val="22"/>
              </w:rPr>
            </w:pPr>
            <w:r w:rsidRPr="008B6A44">
              <w:rPr>
                <w:color w:val="000000"/>
                <w:sz w:val="22"/>
                <w:szCs w:val="22"/>
              </w:rPr>
              <w:t>342,226</w:t>
            </w:r>
          </w:p>
        </w:tc>
        <w:tc>
          <w:tcPr>
            <w:tcW w:w="1393" w:type="dxa"/>
            <w:tcBorders>
              <w:top w:val="nil"/>
              <w:left w:val="nil"/>
              <w:bottom w:val="nil"/>
              <w:right w:val="nil"/>
            </w:tcBorders>
            <w:shd w:val="clear" w:color="000000" w:fill="FFFFFF"/>
            <w:noWrap/>
            <w:vAlign w:val="bottom"/>
            <w:hideMark/>
          </w:tcPr>
          <w:p w14:paraId="235F55D6" w14:textId="77777777" w:rsidR="008B6A44" w:rsidRPr="008B6A44" w:rsidRDefault="008B6A44" w:rsidP="00B92709">
            <w:pPr>
              <w:jc w:val="center"/>
              <w:rPr>
                <w:color w:val="000000"/>
                <w:sz w:val="22"/>
                <w:szCs w:val="22"/>
              </w:rPr>
            </w:pPr>
            <w:r w:rsidRPr="008B6A44">
              <w:rPr>
                <w:color w:val="000000"/>
                <w:sz w:val="22"/>
                <w:szCs w:val="22"/>
              </w:rPr>
              <w:t>68,841</w:t>
            </w:r>
          </w:p>
        </w:tc>
        <w:tc>
          <w:tcPr>
            <w:tcW w:w="1393" w:type="dxa"/>
            <w:tcBorders>
              <w:top w:val="nil"/>
              <w:left w:val="nil"/>
              <w:bottom w:val="nil"/>
              <w:right w:val="nil"/>
            </w:tcBorders>
            <w:shd w:val="clear" w:color="000000" w:fill="FFFFFF"/>
            <w:noWrap/>
            <w:vAlign w:val="bottom"/>
            <w:hideMark/>
          </w:tcPr>
          <w:p w14:paraId="1B6CB701" w14:textId="77777777" w:rsidR="008B6A44" w:rsidRPr="008B6A44" w:rsidRDefault="008B6A44" w:rsidP="00B92709">
            <w:pPr>
              <w:jc w:val="center"/>
              <w:rPr>
                <w:color w:val="000000"/>
                <w:sz w:val="22"/>
                <w:szCs w:val="22"/>
              </w:rPr>
            </w:pPr>
            <w:r w:rsidRPr="008B6A44">
              <w:rPr>
                <w:color w:val="000000"/>
                <w:sz w:val="22"/>
                <w:szCs w:val="22"/>
              </w:rPr>
              <w:t>56,164</w:t>
            </w:r>
          </w:p>
        </w:tc>
        <w:tc>
          <w:tcPr>
            <w:tcW w:w="1393" w:type="dxa"/>
            <w:tcBorders>
              <w:top w:val="nil"/>
              <w:left w:val="nil"/>
              <w:bottom w:val="nil"/>
              <w:right w:val="nil"/>
            </w:tcBorders>
            <w:shd w:val="clear" w:color="000000" w:fill="FFFFFF"/>
            <w:noWrap/>
            <w:vAlign w:val="bottom"/>
            <w:hideMark/>
          </w:tcPr>
          <w:p w14:paraId="34B5670C" w14:textId="77777777" w:rsidR="008B6A44" w:rsidRPr="008B6A44" w:rsidRDefault="008B6A44" w:rsidP="00B92709">
            <w:pPr>
              <w:jc w:val="center"/>
              <w:rPr>
                <w:color w:val="000000"/>
                <w:sz w:val="22"/>
                <w:szCs w:val="22"/>
              </w:rPr>
            </w:pPr>
            <w:r w:rsidRPr="008B6A44">
              <w:rPr>
                <w:color w:val="000000"/>
                <w:sz w:val="22"/>
                <w:szCs w:val="22"/>
              </w:rPr>
              <w:t>45,263</w:t>
            </w:r>
          </w:p>
        </w:tc>
        <w:tc>
          <w:tcPr>
            <w:tcW w:w="1393" w:type="dxa"/>
            <w:tcBorders>
              <w:top w:val="nil"/>
              <w:left w:val="nil"/>
              <w:bottom w:val="nil"/>
              <w:right w:val="single" w:sz="4" w:space="0" w:color="auto"/>
            </w:tcBorders>
            <w:shd w:val="clear" w:color="000000" w:fill="FFFFFF"/>
            <w:noWrap/>
            <w:vAlign w:val="bottom"/>
            <w:hideMark/>
          </w:tcPr>
          <w:p w14:paraId="2E3F0E5A" w14:textId="77777777" w:rsidR="008B6A44" w:rsidRPr="008B6A44" w:rsidRDefault="008B6A44" w:rsidP="00B92709">
            <w:pPr>
              <w:jc w:val="center"/>
              <w:rPr>
                <w:color w:val="000000"/>
                <w:sz w:val="22"/>
                <w:szCs w:val="22"/>
              </w:rPr>
            </w:pPr>
            <w:r w:rsidRPr="008B6A44">
              <w:rPr>
                <w:color w:val="000000"/>
                <w:sz w:val="22"/>
                <w:szCs w:val="22"/>
              </w:rPr>
              <w:t>1,857</w:t>
            </w:r>
          </w:p>
        </w:tc>
      </w:tr>
      <w:tr w:rsidR="008B6A44" w:rsidRPr="008B6A44" w14:paraId="4428812E" w14:textId="77777777" w:rsidTr="00B92709">
        <w:trPr>
          <w:trHeight w:val="283"/>
        </w:trPr>
        <w:tc>
          <w:tcPr>
            <w:tcW w:w="1393" w:type="dxa"/>
            <w:tcBorders>
              <w:top w:val="nil"/>
              <w:left w:val="single" w:sz="4" w:space="0" w:color="auto"/>
              <w:bottom w:val="nil"/>
              <w:right w:val="nil"/>
            </w:tcBorders>
            <w:shd w:val="clear" w:color="000000" w:fill="FFFFFF"/>
            <w:noWrap/>
            <w:vAlign w:val="bottom"/>
            <w:hideMark/>
          </w:tcPr>
          <w:p w14:paraId="2AA4FD13" w14:textId="77777777" w:rsidR="008B6A44" w:rsidRPr="008B6A44" w:rsidRDefault="008B6A44" w:rsidP="00B92709">
            <w:pPr>
              <w:jc w:val="center"/>
              <w:rPr>
                <w:color w:val="000000"/>
                <w:sz w:val="22"/>
                <w:szCs w:val="22"/>
              </w:rPr>
            </w:pPr>
            <w:r w:rsidRPr="008B6A44">
              <w:rPr>
                <w:color w:val="000000"/>
                <w:sz w:val="22"/>
                <w:szCs w:val="22"/>
              </w:rPr>
              <w:t>2022</w:t>
            </w:r>
          </w:p>
        </w:tc>
        <w:tc>
          <w:tcPr>
            <w:tcW w:w="2360" w:type="dxa"/>
            <w:tcBorders>
              <w:top w:val="nil"/>
              <w:left w:val="nil"/>
              <w:bottom w:val="nil"/>
              <w:right w:val="nil"/>
            </w:tcBorders>
            <w:shd w:val="clear" w:color="000000" w:fill="FFFFFF"/>
            <w:noWrap/>
            <w:vAlign w:val="bottom"/>
            <w:hideMark/>
          </w:tcPr>
          <w:p w14:paraId="168D81E5" w14:textId="77777777" w:rsidR="008B6A44" w:rsidRPr="008B6A44" w:rsidRDefault="008B6A44" w:rsidP="00B92709">
            <w:pPr>
              <w:jc w:val="center"/>
              <w:rPr>
                <w:color w:val="000000"/>
                <w:sz w:val="22"/>
                <w:szCs w:val="22"/>
              </w:rPr>
            </w:pPr>
            <w:r w:rsidRPr="008B6A44">
              <w:rPr>
                <w:color w:val="000000"/>
                <w:sz w:val="22"/>
                <w:szCs w:val="22"/>
              </w:rPr>
              <w:t>442,424</w:t>
            </w:r>
          </w:p>
        </w:tc>
        <w:tc>
          <w:tcPr>
            <w:tcW w:w="1393" w:type="dxa"/>
            <w:tcBorders>
              <w:top w:val="nil"/>
              <w:left w:val="nil"/>
              <w:bottom w:val="nil"/>
              <w:right w:val="nil"/>
            </w:tcBorders>
            <w:shd w:val="clear" w:color="000000" w:fill="FFFFFF"/>
            <w:noWrap/>
            <w:vAlign w:val="bottom"/>
            <w:hideMark/>
          </w:tcPr>
          <w:p w14:paraId="4DBCE650" w14:textId="77777777" w:rsidR="008B6A44" w:rsidRPr="008B6A44" w:rsidRDefault="008B6A44" w:rsidP="00B92709">
            <w:pPr>
              <w:jc w:val="center"/>
              <w:rPr>
                <w:color w:val="000000"/>
                <w:sz w:val="22"/>
                <w:szCs w:val="22"/>
              </w:rPr>
            </w:pPr>
            <w:r w:rsidRPr="008B6A44">
              <w:rPr>
                <w:color w:val="000000"/>
                <w:sz w:val="22"/>
                <w:szCs w:val="22"/>
              </w:rPr>
              <w:t>62,273</w:t>
            </w:r>
          </w:p>
        </w:tc>
        <w:tc>
          <w:tcPr>
            <w:tcW w:w="1393" w:type="dxa"/>
            <w:tcBorders>
              <w:top w:val="nil"/>
              <w:left w:val="nil"/>
              <w:bottom w:val="nil"/>
              <w:right w:val="nil"/>
            </w:tcBorders>
            <w:shd w:val="clear" w:color="000000" w:fill="FFFFFF"/>
            <w:noWrap/>
            <w:vAlign w:val="bottom"/>
            <w:hideMark/>
          </w:tcPr>
          <w:p w14:paraId="62DC66C6" w14:textId="77777777" w:rsidR="008B6A44" w:rsidRPr="008B6A44" w:rsidRDefault="008B6A44" w:rsidP="00B92709">
            <w:pPr>
              <w:jc w:val="center"/>
              <w:rPr>
                <w:color w:val="000000"/>
                <w:sz w:val="22"/>
                <w:szCs w:val="22"/>
              </w:rPr>
            </w:pPr>
            <w:r w:rsidRPr="008B6A44">
              <w:rPr>
                <w:color w:val="000000"/>
                <w:sz w:val="22"/>
                <w:szCs w:val="22"/>
              </w:rPr>
              <w:t>50,610</w:t>
            </w:r>
          </w:p>
        </w:tc>
        <w:tc>
          <w:tcPr>
            <w:tcW w:w="1393" w:type="dxa"/>
            <w:tcBorders>
              <w:top w:val="nil"/>
              <w:left w:val="nil"/>
              <w:bottom w:val="nil"/>
              <w:right w:val="nil"/>
            </w:tcBorders>
            <w:shd w:val="clear" w:color="000000" w:fill="FFFFFF"/>
            <w:noWrap/>
            <w:vAlign w:val="bottom"/>
            <w:hideMark/>
          </w:tcPr>
          <w:p w14:paraId="3C5FA05B" w14:textId="77777777" w:rsidR="008B6A44" w:rsidRPr="008B6A44" w:rsidRDefault="008B6A44" w:rsidP="00B92709">
            <w:pPr>
              <w:jc w:val="center"/>
              <w:rPr>
                <w:color w:val="000000"/>
                <w:sz w:val="22"/>
                <w:szCs w:val="22"/>
              </w:rPr>
            </w:pPr>
            <w:r w:rsidRPr="008B6A44">
              <w:rPr>
                <w:color w:val="000000"/>
                <w:sz w:val="22"/>
                <w:szCs w:val="22"/>
              </w:rPr>
              <w:t>42,604</w:t>
            </w:r>
          </w:p>
        </w:tc>
        <w:tc>
          <w:tcPr>
            <w:tcW w:w="1393" w:type="dxa"/>
            <w:tcBorders>
              <w:top w:val="nil"/>
              <w:left w:val="nil"/>
              <w:bottom w:val="nil"/>
              <w:right w:val="single" w:sz="4" w:space="0" w:color="auto"/>
            </w:tcBorders>
            <w:shd w:val="clear" w:color="000000" w:fill="FFFFFF"/>
            <w:noWrap/>
            <w:vAlign w:val="bottom"/>
            <w:hideMark/>
          </w:tcPr>
          <w:p w14:paraId="3B97A883" w14:textId="77777777" w:rsidR="008B6A44" w:rsidRPr="008B6A44" w:rsidRDefault="008B6A44" w:rsidP="00B92709">
            <w:pPr>
              <w:jc w:val="center"/>
              <w:rPr>
                <w:color w:val="000000"/>
                <w:sz w:val="22"/>
                <w:szCs w:val="22"/>
              </w:rPr>
            </w:pPr>
            <w:r w:rsidRPr="008B6A44">
              <w:rPr>
                <w:color w:val="000000"/>
                <w:sz w:val="22"/>
                <w:szCs w:val="22"/>
              </w:rPr>
              <w:t>1,294</w:t>
            </w:r>
          </w:p>
        </w:tc>
      </w:tr>
      <w:tr w:rsidR="008B6A44" w:rsidRPr="008B6A44" w14:paraId="7AFBA3CF" w14:textId="77777777" w:rsidTr="00B92709">
        <w:trPr>
          <w:trHeight w:val="283"/>
        </w:trPr>
        <w:tc>
          <w:tcPr>
            <w:tcW w:w="1393" w:type="dxa"/>
            <w:tcBorders>
              <w:top w:val="nil"/>
              <w:left w:val="single" w:sz="4" w:space="0" w:color="auto"/>
              <w:bottom w:val="nil"/>
              <w:right w:val="nil"/>
            </w:tcBorders>
            <w:shd w:val="clear" w:color="000000" w:fill="FFFFFF"/>
            <w:noWrap/>
            <w:vAlign w:val="bottom"/>
            <w:hideMark/>
          </w:tcPr>
          <w:p w14:paraId="60F0A883" w14:textId="77777777" w:rsidR="008B6A44" w:rsidRPr="008B6A44" w:rsidRDefault="008B6A44" w:rsidP="00B92709">
            <w:pPr>
              <w:jc w:val="center"/>
              <w:rPr>
                <w:color w:val="000000"/>
                <w:sz w:val="22"/>
                <w:szCs w:val="22"/>
              </w:rPr>
            </w:pPr>
            <w:r w:rsidRPr="008B6A44">
              <w:rPr>
                <w:color w:val="000000"/>
                <w:sz w:val="22"/>
                <w:szCs w:val="22"/>
              </w:rPr>
              <w:t>2023</w:t>
            </w:r>
          </w:p>
        </w:tc>
        <w:tc>
          <w:tcPr>
            <w:tcW w:w="2360" w:type="dxa"/>
            <w:tcBorders>
              <w:top w:val="nil"/>
              <w:left w:val="nil"/>
              <w:bottom w:val="nil"/>
              <w:right w:val="nil"/>
            </w:tcBorders>
            <w:shd w:val="clear" w:color="000000" w:fill="FFFFFF"/>
            <w:noWrap/>
            <w:vAlign w:val="bottom"/>
            <w:hideMark/>
          </w:tcPr>
          <w:p w14:paraId="0B7D8B86" w14:textId="77777777" w:rsidR="008B6A44" w:rsidRPr="008B6A44" w:rsidRDefault="008B6A44" w:rsidP="00B92709">
            <w:pPr>
              <w:jc w:val="center"/>
              <w:rPr>
                <w:color w:val="000000"/>
                <w:sz w:val="22"/>
                <w:szCs w:val="22"/>
              </w:rPr>
            </w:pPr>
            <w:r w:rsidRPr="008B6A44">
              <w:rPr>
                <w:color w:val="000000"/>
                <w:sz w:val="22"/>
                <w:szCs w:val="22"/>
              </w:rPr>
              <w:t>449,607</w:t>
            </w:r>
          </w:p>
        </w:tc>
        <w:tc>
          <w:tcPr>
            <w:tcW w:w="1393" w:type="dxa"/>
            <w:tcBorders>
              <w:top w:val="nil"/>
              <w:left w:val="nil"/>
              <w:bottom w:val="nil"/>
              <w:right w:val="nil"/>
            </w:tcBorders>
            <w:shd w:val="clear" w:color="000000" w:fill="FFFFFF"/>
            <w:noWrap/>
            <w:vAlign w:val="bottom"/>
            <w:hideMark/>
          </w:tcPr>
          <w:p w14:paraId="6A5E56AA" w14:textId="77777777" w:rsidR="008B6A44" w:rsidRPr="008B6A44" w:rsidRDefault="008B6A44" w:rsidP="00B92709">
            <w:pPr>
              <w:jc w:val="center"/>
              <w:rPr>
                <w:color w:val="000000"/>
                <w:sz w:val="22"/>
                <w:szCs w:val="22"/>
              </w:rPr>
            </w:pPr>
            <w:r w:rsidRPr="008B6A44">
              <w:rPr>
                <w:color w:val="000000"/>
                <w:sz w:val="22"/>
                <w:szCs w:val="22"/>
              </w:rPr>
              <w:t>65,736</w:t>
            </w:r>
          </w:p>
        </w:tc>
        <w:tc>
          <w:tcPr>
            <w:tcW w:w="1393" w:type="dxa"/>
            <w:tcBorders>
              <w:top w:val="nil"/>
              <w:left w:val="nil"/>
              <w:bottom w:val="nil"/>
              <w:right w:val="nil"/>
            </w:tcBorders>
            <w:shd w:val="clear" w:color="000000" w:fill="FFFFFF"/>
            <w:noWrap/>
            <w:vAlign w:val="bottom"/>
            <w:hideMark/>
          </w:tcPr>
          <w:p w14:paraId="402FA06F" w14:textId="77777777" w:rsidR="008B6A44" w:rsidRPr="008B6A44" w:rsidRDefault="008B6A44" w:rsidP="00B92709">
            <w:pPr>
              <w:jc w:val="center"/>
              <w:rPr>
                <w:color w:val="000000"/>
                <w:sz w:val="22"/>
                <w:szCs w:val="22"/>
              </w:rPr>
            </w:pPr>
            <w:r w:rsidRPr="008B6A44">
              <w:rPr>
                <w:color w:val="000000"/>
                <w:sz w:val="22"/>
                <w:szCs w:val="22"/>
              </w:rPr>
              <w:t>53,537</w:t>
            </w:r>
          </w:p>
        </w:tc>
        <w:tc>
          <w:tcPr>
            <w:tcW w:w="1393" w:type="dxa"/>
            <w:tcBorders>
              <w:top w:val="nil"/>
              <w:left w:val="nil"/>
              <w:bottom w:val="nil"/>
              <w:right w:val="nil"/>
            </w:tcBorders>
            <w:shd w:val="clear" w:color="000000" w:fill="FFFFFF"/>
            <w:noWrap/>
            <w:vAlign w:val="bottom"/>
            <w:hideMark/>
          </w:tcPr>
          <w:p w14:paraId="7E2A92A5" w14:textId="77777777" w:rsidR="008B6A44" w:rsidRPr="008B6A44" w:rsidRDefault="008B6A44" w:rsidP="00B92709">
            <w:pPr>
              <w:jc w:val="center"/>
              <w:rPr>
                <w:color w:val="000000"/>
                <w:sz w:val="22"/>
                <w:szCs w:val="22"/>
              </w:rPr>
            </w:pPr>
            <w:r w:rsidRPr="008B6A44">
              <w:rPr>
                <w:color w:val="000000"/>
                <w:sz w:val="22"/>
                <w:szCs w:val="22"/>
              </w:rPr>
              <w:t> </w:t>
            </w:r>
          </w:p>
        </w:tc>
        <w:tc>
          <w:tcPr>
            <w:tcW w:w="1393" w:type="dxa"/>
            <w:tcBorders>
              <w:top w:val="nil"/>
              <w:left w:val="nil"/>
              <w:bottom w:val="nil"/>
              <w:right w:val="single" w:sz="4" w:space="0" w:color="auto"/>
            </w:tcBorders>
            <w:shd w:val="clear" w:color="000000" w:fill="FFFFFF"/>
            <w:noWrap/>
            <w:vAlign w:val="bottom"/>
            <w:hideMark/>
          </w:tcPr>
          <w:p w14:paraId="4248B95B" w14:textId="77777777" w:rsidR="008B6A44" w:rsidRPr="008B6A44" w:rsidRDefault="008B6A44" w:rsidP="00B92709">
            <w:pPr>
              <w:jc w:val="center"/>
              <w:rPr>
                <w:color w:val="000000"/>
                <w:sz w:val="22"/>
                <w:szCs w:val="22"/>
              </w:rPr>
            </w:pPr>
            <w:r w:rsidRPr="008B6A44">
              <w:rPr>
                <w:color w:val="000000"/>
                <w:sz w:val="22"/>
                <w:szCs w:val="22"/>
              </w:rPr>
              <w:t> </w:t>
            </w:r>
          </w:p>
        </w:tc>
      </w:tr>
      <w:tr w:rsidR="008B6A44" w:rsidRPr="008B6A44" w14:paraId="5D5DE7F2" w14:textId="77777777" w:rsidTr="00B92709">
        <w:trPr>
          <w:trHeight w:val="283"/>
        </w:trPr>
        <w:tc>
          <w:tcPr>
            <w:tcW w:w="1393" w:type="dxa"/>
            <w:tcBorders>
              <w:top w:val="nil"/>
              <w:left w:val="single" w:sz="4" w:space="0" w:color="auto"/>
              <w:bottom w:val="single" w:sz="4" w:space="0" w:color="auto"/>
              <w:right w:val="nil"/>
            </w:tcBorders>
            <w:shd w:val="clear" w:color="000000" w:fill="FFFFFF"/>
            <w:noWrap/>
            <w:vAlign w:val="bottom"/>
            <w:hideMark/>
          </w:tcPr>
          <w:p w14:paraId="22C82E8B" w14:textId="77777777" w:rsidR="008B6A44" w:rsidRPr="008B6A44" w:rsidRDefault="008B6A44" w:rsidP="00B92709">
            <w:pPr>
              <w:jc w:val="center"/>
              <w:rPr>
                <w:color w:val="000000"/>
                <w:sz w:val="22"/>
                <w:szCs w:val="22"/>
              </w:rPr>
            </w:pPr>
            <w:r w:rsidRPr="008B6A44">
              <w:rPr>
                <w:color w:val="000000"/>
                <w:sz w:val="22"/>
                <w:szCs w:val="22"/>
              </w:rPr>
              <w:t>2024</w:t>
            </w:r>
          </w:p>
        </w:tc>
        <w:tc>
          <w:tcPr>
            <w:tcW w:w="2360" w:type="dxa"/>
            <w:tcBorders>
              <w:top w:val="nil"/>
              <w:left w:val="nil"/>
              <w:bottom w:val="single" w:sz="4" w:space="0" w:color="auto"/>
              <w:right w:val="nil"/>
            </w:tcBorders>
            <w:shd w:val="clear" w:color="000000" w:fill="FFFFFF"/>
            <w:noWrap/>
            <w:vAlign w:val="bottom"/>
            <w:hideMark/>
          </w:tcPr>
          <w:p w14:paraId="74AE4529" w14:textId="77777777" w:rsidR="008B6A44" w:rsidRPr="008B6A44" w:rsidRDefault="008B6A44" w:rsidP="00B92709">
            <w:pPr>
              <w:jc w:val="center"/>
              <w:rPr>
                <w:color w:val="000000"/>
                <w:sz w:val="22"/>
                <w:szCs w:val="22"/>
              </w:rPr>
            </w:pPr>
            <w:r w:rsidRPr="008B6A44">
              <w:rPr>
                <w:color w:val="000000"/>
                <w:sz w:val="22"/>
                <w:szCs w:val="22"/>
              </w:rPr>
              <w:t> </w:t>
            </w:r>
          </w:p>
        </w:tc>
        <w:tc>
          <w:tcPr>
            <w:tcW w:w="1393" w:type="dxa"/>
            <w:tcBorders>
              <w:top w:val="nil"/>
              <w:left w:val="nil"/>
              <w:bottom w:val="single" w:sz="4" w:space="0" w:color="auto"/>
              <w:right w:val="nil"/>
            </w:tcBorders>
            <w:shd w:val="clear" w:color="000000" w:fill="FFFFFF"/>
            <w:noWrap/>
            <w:vAlign w:val="bottom"/>
            <w:hideMark/>
          </w:tcPr>
          <w:p w14:paraId="5CA03EB6" w14:textId="77777777" w:rsidR="008B6A44" w:rsidRPr="008B6A44" w:rsidRDefault="008B6A44" w:rsidP="00B92709">
            <w:pPr>
              <w:jc w:val="center"/>
              <w:rPr>
                <w:color w:val="000000"/>
                <w:sz w:val="22"/>
                <w:szCs w:val="22"/>
              </w:rPr>
            </w:pPr>
            <w:r w:rsidRPr="008B6A44">
              <w:rPr>
                <w:color w:val="000000"/>
                <w:sz w:val="22"/>
                <w:szCs w:val="22"/>
              </w:rPr>
              <w:t>68,015</w:t>
            </w:r>
          </w:p>
        </w:tc>
        <w:tc>
          <w:tcPr>
            <w:tcW w:w="1393" w:type="dxa"/>
            <w:tcBorders>
              <w:top w:val="nil"/>
              <w:left w:val="nil"/>
              <w:bottom w:val="single" w:sz="4" w:space="0" w:color="auto"/>
              <w:right w:val="nil"/>
            </w:tcBorders>
            <w:shd w:val="clear" w:color="000000" w:fill="FFFFFF"/>
            <w:noWrap/>
            <w:vAlign w:val="bottom"/>
            <w:hideMark/>
          </w:tcPr>
          <w:p w14:paraId="0A92C009" w14:textId="77777777" w:rsidR="008B6A44" w:rsidRPr="008B6A44" w:rsidRDefault="008B6A44" w:rsidP="00B92709">
            <w:pPr>
              <w:jc w:val="center"/>
              <w:rPr>
                <w:color w:val="000000"/>
                <w:sz w:val="22"/>
                <w:szCs w:val="22"/>
              </w:rPr>
            </w:pPr>
            <w:r w:rsidRPr="008B6A44">
              <w:rPr>
                <w:color w:val="000000"/>
                <w:sz w:val="22"/>
                <w:szCs w:val="22"/>
              </w:rPr>
              <w:t>55,474</w:t>
            </w:r>
          </w:p>
        </w:tc>
        <w:tc>
          <w:tcPr>
            <w:tcW w:w="1393" w:type="dxa"/>
            <w:tcBorders>
              <w:top w:val="nil"/>
              <w:left w:val="nil"/>
              <w:bottom w:val="single" w:sz="4" w:space="0" w:color="auto"/>
              <w:right w:val="nil"/>
            </w:tcBorders>
            <w:shd w:val="clear" w:color="000000" w:fill="FFFFFF"/>
            <w:noWrap/>
            <w:vAlign w:val="bottom"/>
            <w:hideMark/>
          </w:tcPr>
          <w:p w14:paraId="3ADDCCAC" w14:textId="77777777" w:rsidR="008B6A44" w:rsidRPr="008B6A44" w:rsidRDefault="008B6A44" w:rsidP="00B92709">
            <w:pPr>
              <w:jc w:val="center"/>
              <w:rPr>
                <w:color w:val="000000"/>
                <w:sz w:val="22"/>
                <w:szCs w:val="22"/>
              </w:rPr>
            </w:pPr>
            <w:r w:rsidRPr="008B6A44">
              <w:rPr>
                <w:color w:val="000000"/>
                <w:sz w:val="22"/>
                <w:szCs w:val="22"/>
              </w:rPr>
              <w:t> </w:t>
            </w:r>
          </w:p>
        </w:tc>
        <w:tc>
          <w:tcPr>
            <w:tcW w:w="1393" w:type="dxa"/>
            <w:tcBorders>
              <w:top w:val="nil"/>
              <w:left w:val="nil"/>
              <w:bottom w:val="single" w:sz="4" w:space="0" w:color="auto"/>
              <w:right w:val="single" w:sz="4" w:space="0" w:color="auto"/>
            </w:tcBorders>
            <w:shd w:val="clear" w:color="000000" w:fill="FFFFFF"/>
            <w:noWrap/>
            <w:vAlign w:val="bottom"/>
            <w:hideMark/>
          </w:tcPr>
          <w:p w14:paraId="6A01AD30" w14:textId="77777777" w:rsidR="008B6A44" w:rsidRPr="008B6A44" w:rsidRDefault="008B6A44" w:rsidP="00B92709">
            <w:pPr>
              <w:jc w:val="center"/>
              <w:rPr>
                <w:color w:val="000000"/>
                <w:sz w:val="22"/>
                <w:szCs w:val="22"/>
              </w:rPr>
            </w:pPr>
            <w:r w:rsidRPr="008B6A44">
              <w:rPr>
                <w:color w:val="000000"/>
                <w:sz w:val="22"/>
                <w:szCs w:val="22"/>
              </w:rPr>
              <w:t> </w:t>
            </w:r>
          </w:p>
        </w:tc>
      </w:tr>
    </w:tbl>
    <w:p w14:paraId="76982320" w14:textId="77777777" w:rsidR="008B6A44" w:rsidRPr="008B6A44" w:rsidRDefault="008B6A44" w:rsidP="008B6A44">
      <w:pPr>
        <w:rPr>
          <w:sz w:val="22"/>
          <w:szCs w:val="22"/>
        </w:rPr>
      </w:pPr>
    </w:p>
    <w:p w14:paraId="45887843" w14:textId="77777777" w:rsidR="008B6A44" w:rsidRPr="008B6A44" w:rsidRDefault="008B6A44" w:rsidP="008B6A44">
      <w:pPr>
        <w:rPr>
          <w:sz w:val="22"/>
          <w:szCs w:val="22"/>
        </w:rPr>
      </w:pPr>
      <w:r w:rsidRPr="008B6A44">
        <w:rPr>
          <w:sz w:val="22"/>
          <w:szCs w:val="22"/>
        </w:rPr>
        <w:t>The GOA shallow-water flatfish complex includes northern and southern rock sole, yellowfin sole, butter sole, starry flounder, English sole, sand sole, and Alaska plaice. The complex has is on a 4-year assessment cycle.</w:t>
      </w:r>
    </w:p>
    <w:p w14:paraId="1F7A8313" w14:textId="77777777" w:rsidR="008B6A44" w:rsidRPr="008B6A44" w:rsidRDefault="008B6A44" w:rsidP="008B6A44">
      <w:pPr>
        <w:rPr>
          <w:sz w:val="22"/>
          <w:szCs w:val="22"/>
        </w:rPr>
      </w:pPr>
    </w:p>
    <w:p w14:paraId="3A03367C" w14:textId="77777777" w:rsidR="008B6A44" w:rsidRPr="008B6A44" w:rsidRDefault="008B6A44" w:rsidP="008B6A44">
      <w:pPr>
        <w:rPr>
          <w:sz w:val="22"/>
          <w:szCs w:val="22"/>
        </w:rPr>
      </w:pPr>
      <w:r w:rsidRPr="008B6A44">
        <w:rPr>
          <w:sz w:val="22"/>
          <w:szCs w:val="22"/>
        </w:rPr>
        <w:t xml:space="preserve">Northern and southern rock sole are Tier 3a species and assessed separately from the other shallow water flatfish, which are Tier 5. The shallow </w:t>
      </w:r>
      <w:proofErr w:type="gramStart"/>
      <w:r w:rsidRPr="008B6A44">
        <w:rPr>
          <w:sz w:val="22"/>
          <w:szCs w:val="22"/>
        </w:rPr>
        <w:t>water flatfish stock complex</w:t>
      </w:r>
      <w:proofErr w:type="gramEnd"/>
      <w:r w:rsidRPr="008B6A44">
        <w:rPr>
          <w:sz w:val="22"/>
          <w:szCs w:val="22"/>
        </w:rPr>
        <w:t xml:space="preserve"> is on a 4-year assessment cycle; the last full assessment was completed in 2021. Separate assessment models were developed for northern and southern rock </w:t>
      </w:r>
      <w:proofErr w:type="gramStart"/>
      <w:r w:rsidRPr="008B6A44">
        <w:rPr>
          <w:sz w:val="22"/>
          <w:szCs w:val="22"/>
        </w:rPr>
        <w:t>sole,</w:t>
      </w:r>
      <w:proofErr w:type="gramEnd"/>
      <w:r w:rsidRPr="008B6A44">
        <w:rPr>
          <w:sz w:val="22"/>
          <w:szCs w:val="22"/>
        </w:rPr>
        <w:t xml:space="preserve"> and two-area models were developed for each species due to growth differences between the central and western Gulf of Alaska. The rock sole models included recent fishery catch and survey results. This year, the authors presented a partial assessment consisting of an executive summary including recent fishery catch, survey results, and recommend harvest levels for 2023 and 2024.</w:t>
      </w:r>
    </w:p>
    <w:p w14:paraId="284E10EF" w14:textId="77777777" w:rsidR="008B6A44" w:rsidRPr="008B6A44" w:rsidRDefault="008B6A44" w:rsidP="008B6A44">
      <w:pPr>
        <w:rPr>
          <w:sz w:val="22"/>
          <w:szCs w:val="22"/>
        </w:rPr>
      </w:pPr>
    </w:p>
    <w:p w14:paraId="55EC6B27" w14:textId="77777777" w:rsidR="008B6A44" w:rsidRPr="008B6A44" w:rsidRDefault="008B6A44" w:rsidP="008B6A44">
      <w:pPr>
        <w:rPr>
          <w:sz w:val="22"/>
          <w:szCs w:val="22"/>
        </w:rPr>
      </w:pPr>
      <w:r w:rsidRPr="008B6A44">
        <w:rPr>
          <w:sz w:val="22"/>
          <w:szCs w:val="22"/>
        </w:rPr>
        <w:t xml:space="preserve">Harvest recommendations for the remaining species are made using Tier 5 methods (OFL = F * biomass, where F=M; ABC = 0.75 * OFL). The ABCs and OFLs for all groups </w:t>
      </w:r>
      <w:proofErr w:type="gramStart"/>
      <w:r w:rsidRPr="008B6A44">
        <w:rPr>
          <w:sz w:val="22"/>
          <w:szCs w:val="22"/>
        </w:rPr>
        <w:t>are aggregated</w:t>
      </w:r>
      <w:proofErr w:type="gramEnd"/>
      <w:r w:rsidRPr="008B6A44">
        <w:rPr>
          <w:sz w:val="22"/>
          <w:szCs w:val="22"/>
        </w:rPr>
        <w:t xml:space="preserve"> to produce recommendations for the complex.</w:t>
      </w:r>
    </w:p>
    <w:p w14:paraId="69D79833" w14:textId="77777777" w:rsidR="008B6A44" w:rsidRPr="008B6A44" w:rsidRDefault="008B6A44" w:rsidP="008B6A44">
      <w:pPr>
        <w:rPr>
          <w:sz w:val="22"/>
          <w:szCs w:val="22"/>
        </w:rPr>
      </w:pPr>
    </w:p>
    <w:p w14:paraId="0EF6BEFD" w14:textId="77777777" w:rsidR="008B6A44" w:rsidRPr="008B6A44" w:rsidRDefault="008B6A44" w:rsidP="008B6A44">
      <w:pPr>
        <w:rPr>
          <w:sz w:val="22"/>
          <w:szCs w:val="22"/>
        </w:rPr>
      </w:pPr>
      <w:r w:rsidRPr="008B6A44">
        <w:rPr>
          <w:sz w:val="22"/>
          <w:szCs w:val="22"/>
        </w:rPr>
        <w:t xml:space="preserve">The shallow-water flatfish complex 2023 biomass estimate is a (2%) increase from the 2022 biomass estimate. Overall, biomass for shallow water flatfish is stable. Both northern and southern rock sole </w:t>
      </w:r>
      <w:r w:rsidRPr="008B6A44">
        <w:rPr>
          <w:sz w:val="22"/>
          <w:szCs w:val="22"/>
        </w:rPr>
        <w:lastRenderedPageBreak/>
        <w:t>biomass and spawning biomass estimates show increasing trends.</w:t>
      </w:r>
    </w:p>
    <w:p w14:paraId="2B0996F3" w14:textId="77777777" w:rsidR="008B6A44" w:rsidRPr="008B6A44" w:rsidRDefault="008B6A44" w:rsidP="008B6A44">
      <w:pPr>
        <w:rPr>
          <w:sz w:val="22"/>
          <w:szCs w:val="22"/>
        </w:rPr>
      </w:pPr>
    </w:p>
    <w:p w14:paraId="29F0B41B" w14:textId="77777777" w:rsidR="008B6A44" w:rsidRPr="008B6A44" w:rsidRDefault="008B6A44" w:rsidP="008B6A44">
      <w:pPr>
        <w:rPr>
          <w:sz w:val="22"/>
          <w:szCs w:val="22"/>
        </w:rPr>
      </w:pPr>
      <w:r w:rsidRPr="008B6A44">
        <w:rPr>
          <w:color w:val="000000"/>
          <w:sz w:val="22"/>
          <w:szCs w:val="22"/>
        </w:rPr>
        <w:t xml:space="preserve">For further </w:t>
      </w:r>
      <w:proofErr w:type="gramStart"/>
      <w:r w:rsidRPr="008B6A44">
        <w:rPr>
          <w:color w:val="000000"/>
          <w:sz w:val="22"/>
          <w:szCs w:val="22"/>
        </w:rPr>
        <w:t>information</w:t>
      </w:r>
      <w:proofErr w:type="gramEnd"/>
      <w:r w:rsidRPr="008B6A44">
        <w:rPr>
          <w:color w:val="000000"/>
          <w:sz w:val="22"/>
          <w:szCs w:val="22"/>
        </w:rPr>
        <w:t xml:space="preserve"> contact Meaghan Bryan, meaghan.bryan@noaa.gov</w:t>
      </w:r>
    </w:p>
    <w:p w14:paraId="0FB1062E" w14:textId="77777777" w:rsidR="00DE3EE8" w:rsidRPr="002B7E6B" w:rsidRDefault="00DE3EE8" w:rsidP="00DE3EE8">
      <w:pPr>
        <w:rPr>
          <w:sz w:val="22"/>
          <w:szCs w:val="22"/>
        </w:rPr>
      </w:pPr>
    </w:p>
    <w:p w14:paraId="1546DD0B" w14:textId="0A9BFA14" w:rsidR="00DE3EE8" w:rsidRDefault="00DE3EE8" w:rsidP="00017EC4">
      <w:pPr>
        <w:pStyle w:val="Heading5"/>
      </w:pPr>
      <w:bookmarkStart w:id="158" w:name="_Toc131503899"/>
      <w:r w:rsidRPr="00017EC4">
        <w:t>Deep-water flatfish complex</w:t>
      </w:r>
      <w:r w:rsidR="0024271A">
        <w:t xml:space="preserve"> – </w:t>
      </w:r>
      <w:r w:rsidRPr="00017EC4">
        <w:t xml:space="preserve">Gulf of Alaska </w:t>
      </w:r>
      <w:r w:rsidR="00017EC4">
        <w:t>–</w:t>
      </w:r>
      <w:r w:rsidRPr="00017EC4">
        <w:t xml:space="preserve"> REFM</w:t>
      </w:r>
      <w:bookmarkEnd w:id="158"/>
    </w:p>
    <w:p w14:paraId="34BF0AA8" w14:textId="77777777" w:rsidR="008B6A44" w:rsidRPr="008B6A44" w:rsidRDefault="008B6A44" w:rsidP="008B6A44">
      <w:pPr>
        <w:outlineLvl w:val="4"/>
        <w:rPr>
          <w:i/>
          <w:iCs/>
          <w:color w:val="000000"/>
          <w:sz w:val="22"/>
          <w:szCs w:val="22"/>
        </w:rPr>
      </w:pPr>
    </w:p>
    <w:tbl>
      <w:tblPr>
        <w:tblW w:w="9202" w:type="dxa"/>
        <w:tblLook w:val="04A0" w:firstRow="1" w:lastRow="0" w:firstColumn="1" w:lastColumn="0" w:noHBand="0" w:noVBand="1"/>
      </w:tblPr>
      <w:tblGrid>
        <w:gridCol w:w="2097"/>
        <w:gridCol w:w="1318"/>
        <w:gridCol w:w="2148"/>
        <w:gridCol w:w="1213"/>
        <w:gridCol w:w="1213"/>
        <w:gridCol w:w="1213"/>
      </w:tblGrid>
      <w:tr w:rsidR="008B6A44" w:rsidRPr="008B6A44" w14:paraId="05E4FC0D" w14:textId="77777777" w:rsidTr="00B92709">
        <w:trPr>
          <w:trHeight w:val="310"/>
        </w:trPr>
        <w:tc>
          <w:tcPr>
            <w:tcW w:w="2097" w:type="dxa"/>
            <w:tcBorders>
              <w:top w:val="single" w:sz="4" w:space="0" w:color="auto"/>
              <w:left w:val="single" w:sz="4" w:space="0" w:color="auto"/>
              <w:bottom w:val="single" w:sz="4" w:space="0" w:color="auto"/>
              <w:right w:val="nil"/>
            </w:tcBorders>
            <w:shd w:val="clear" w:color="000000" w:fill="FFFFFF"/>
            <w:noWrap/>
            <w:vAlign w:val="bottom"/>
            <w:hideMark/>
          </w:tcPr>
          <w:p w14:paraId="2008ABCB" w14:textId="77777777" w:rsidR="008B6A44" w:rsidRPr="008B6A44" w:rsidRDefault="008B6A44" w:rsidP="00B92709">
            <w:pPr>
              <w:jc w:val="center"/>
              <w:rPr>
                <w:color w:val="000000"/>
                <w:sz w:val="22"/>
                <w:szCs w:val="22"/>
              </w:rPr>
            </w:pPr>
            <w:r w:rsidRPr="008B6A44">
              <w:rPr>
                <w:color w:val="000000"/>
                <w:sz w:val="22"/>
                <w:szCs w:val="22"/>
              </w:rPr>
              <w:t>Year</w:t>
            </w:r>
          </w:p>
        </w:tc>
        <w:tc>
          <w:tcPr>
            <w:tcW w:w="1318" w:type="dxa"/>
            <w:tcBorders>
              <w:top w:val="single" w:sz="4" w:space="0" w:color="auto"/>
              <w:left w:val="nil"/>
              <w:bottom w:val="single" w:sz="4" w:space="0" w:color="auto"/>
              <w:right w:val="nil"/>
            </w:tcBorders>
            <w:shd w:val="clear" w:color="000000" w:fill="FFFFFF"/>
            <w:noWrap/>
            <w:vAlign w:val="bottom"/>
            <w:hideMark/>
          </w:tcPr>
          <w:p w14:paraId="07B35FA5" w14:textId="77777777" w:rsidR="008B6A44" w:rsidRPr="008B6A44" w:rsidRDefault="008B6A44" w:rsidP="00B92709">
            <w:pPr>
              <w:jc w:val="center"/>
              <w:rPr>
                <w:color w:val="000000"/>
                <w:sz w:val="22"/>
                <w:szCs w:val="22"/>
              </w:rPr>
            </w:pPr>
            <w:r w:rsidRPr="008B6A44">
              <w:rPr>
                <w:color w:val="000000"/>
                <w:sz w:val="22"/>
                <w:szCs w:val="22"/>
              </w:rPr>
              <w:t>Biomass</w:t>
            </w:r>
          </w:p>
        </w:tc>
        <w:tc>
          <w:tcPr>
            <w:tcW w:w="2148" w:type="dxa"/>
            <w:tcBorders>
              <w:top w:val="single" w:sz="4" w:space="0" w:color="auto"/>
              <w:left w:val="nil"/>
              <w:bottom w:val="single" w:sz="4" w:space="0" w:color="auto"/>
              <w:right w:val="nil"/>
            </w:tcBorders>
            <w:shd w:val="clear" w:color="000000" w:fill="FFFFFF"/>
            <w:noWrap/>
            <w:vAlign w:val="bottom"/>
            <w:hideMark/>
          </w:tcPr>
          <w:p w14:paraId="0768E8B4" w14:textId="77777777" w:rsidR="008B6A44" w:rsidRPr="008B6A44" w:rsidRDefault="008B6A44" w:rsidP="00B92709">
            <w:pPr>
              <w:jc w:val="center"/>
              <w:rPr>
                <w:color w:val="000000"/>
                <w:sz w:val="22"/>
                <w:szCs w:val="22"/>
              </w:rPr>
            </w:pPr>
            <w:r w:rsidRPr="008B6A44">
              <w:rPr>
                <w:color w:val="000000"/>
                <w:sz w:val="22"/>
                <w:szCs w:val="22"/>
              </w:rPr>
              <w:t>OFL</w:t>
            </w:r>
          </w:p>
        </w:tc>
        <w:tc>
          <w:tcPr>
            <w:tcW w:w="1213" w:type="dxa"/>
            <w:tcBorders>
              <w:top w:val="single" w:sz="4" w:space="0" w:color="auto"/>
              <w:left w:val="nil"/>
              <w:bottom w:val="single" w:sz="4" w:space="0" w:color="auto"/>
              <w:right w:val="nil"/>
            </w:tcBorders>
            <w:shd w:val="clear" w:color="000000" w:fill="FFFFFF"/>
            <w:noWrap/>
            <w:vAlign w:val="bottom"/>
            <w:hideMark/>
          </w:tcPr>
          <w:p w14:paraId="5EB3F7DD" w14:textId="77777777" w:rsidR="008B6A44" w:rsidRPr="008B6A44" w:rsidRDefault="008B6A44" w:rsidP="00B92709">
            <w:pPr>
              <w:jc w:val="center"/>
              <w:rPr>
                <w:color w:val="000000"/>
                <w:sz w:val="22"/>
                <w:szCs w:val="22"/>
              </w:rPr>
            </w:pPr>
            <w:r w:rsidRPr="008B6A44">
              <w:rPr>
                <w:color w:val="000000"/>
                <w:sz w:val="22"/>
                <w:szCs w:val="22"/>
              </w:rPr>
              <w:t>ABC</w:t>
            </w:r>
          </w:p>
        </w:tc>
        <w:tc>
          <w:tcPr>
            <w:tcW w:w="1213" w:type="dxa"/>
            <w:tcBorders>
              <w:top w:val="single" w:sz="4" w:space="0" w:color="auto"/>
              <w:left w:val="nil"/>
              <w:bottom w:val="single" w:sz="4" w:space="0" w:color="auto"/>
              <w:right w:val="nil"/>
            </w:tcBorders>
            <w:shd w:val="clear" w:color="000000" w:fill="FFFFFF"/>
            <w:noWrap/>
            <w:vAlign w:val="bottom"/>
            <w:hideMark/>
          </w:tcPr>
          <w:p w14:paraId="3938B526" w14:textId="77777777" w:rsidR="008B6A44" w:rsidRPr="008B6A44" w:rsidRDefault="008B6A44" w:rsidP="00B92709">
            <w:pPr>
              <w:jc w:val="center"/>
              <w:rPr>
                <w:color w:val="000000"/>
                <w:sz w:val="22"/>
                <w:szCs w:val="22"/>
              </w:rPr>
            </w:pPr>
            <w:r w:rsidRPr="008B6A44">
              <w:rPr>
                <w:color w:val="000000"/>
                <w:sz w:val="22"/>
                <w:szCs w:val="22"/>
              </w:rPr>
              <w:t>TAC</w:t>
            </w:r>
          </w:p>
        </w:tc>
        <w:tc>
          <w:tcPr>
            <w:tcW w:w="1213" w:type="dxa"/>
            <w:tcBorders>
              <w:top w:val="single" w:sz="4" w:space="0" w:color="auto"/>
              <w:left w:val="nil"/>
              <w:bottom w:val="single" w:sz="4" w:space="0" w:color="auto"/>
              <w:right w:val="single" w:sz="4" w:space="0" w:color="auto"/>
            </w:tcBorders>
            <w:shd w:val="clear" w:color="000000" w:fill="FFFFFF"/>
            <w:noWrap/>
            <w:vAlign w:val="bottom"/>
            <w:hideMark/>
          </w:tcPr>
          <w:p w14:paraId="4F8A40CE" w14:textId="77777777" w:rsidR="008B6A44" w:rsidRPr="008B6A44" w:rsidRDefault="008B6A44" w:rsidP="00B92709">
            <w:pPr>
              <w:jc w:val="center"/>
              <w:rPr>
                <w:color w:val="000000"/>
                <w:sz w:val="22"/>
                <w:szCs w:val="22"/>
              </w:rPr>
            </w:pPr>
            <w:r w:rsidRPr="008B6A44">
              <w:rPr>
                <w:color w:val="000000"/>
                <w:sz w:val="22"/>
                <w:szCs w:val="22"/>
              </w:rPr>
              <w:t>Catch</w:t>
            </w:r>
          </w:p>
        </w:tc>
      </w:tr>
      <w:tr w:rsidR="008B6A44" w:rsidRPr="008B6A44" w14:paraId="3BB75C23" w14:textId="77777777" w:rsidTr="00B92709">
        <w:trPr>
          <w:trHeight w:val="310"/>
        </w:trPr>
        <w:tc>
          <w:tcPr>
            <w:tcW w:w="2097" w:type="dxa"/>
            <w:tcBorders>
              <w:top w:val="nil"/>
              <w:left w:val="single" w:sz="4" w:space="0" w:color="auto"/>
              <w:bottom w:val="nil"/>
              <w:right w:val="nil"/>
            </w:tcBorders>
            <w:shd w:val="clear" w:color="000000" w:fill="FFFFFF"/>
            <w:noWrap/>
            <w:vAlign w:val="bottom"/>
            <w:hideMark/>
          </w:tcPr>
          <w:p w14:paraId="3CA630B3" w14:textId="77777777" w:rsidR="008B6A44" w:rsidRPr="008B6A44" w:rsidRDefault="008B6A44" w:rsidP="00B92709">
            <w:pPr>
              <w:jc w:val="center"/>
              <w:rPr>
                <w:color w:val="000000"/>
                <w:sz w:val="22"/>
                <w:szCs w:val="22"/>
              </w:rPr>
            </w:pPr>
            <w:r w:rsidRPr="008B6A44">
              <w:rPr>
                <w:color w:val="000000"/>
                <w:sz w:val="22"/>
                <w:szCs w:val="22"/>
              </w:rPr>
              <w:t>2021</w:t>
            </w:r>
          </w:p>
        </w:tc>
        <w:tc>
          <w:tcPr>
            <w:tcW w:w="1318" w:type="dxa"/>
            <w:tcBorders>
              <w:top w:val="nil"/>
              <w:left w:val="nil"/>
              <w:bottom w:val="nil"/>
              <w:right w:val="nil"/>
            </w:tcBorders>
            <w:shd w:val="clear" w:color="000000" w:fill="FFFFFF"/>
            <w:noWrap/>
            <w:vAlign w:val="bottom"/>
            <w:hideMark/>
          </w:tcPr>
          <w:p w14:paraId="4EA722C9" w14:textId="77777777" w:rsidR="008B6A44" w:rsidRPr="008B6A44" w:rsidRDefault="008B6A44" w:rsidP="00B92709">
            <w:pPr>
              <w:jc w:val="center"/>
              <w:rPr>
                <w:color w:val="000000"/>
                <w:sz w:val="22"/>
                <w:szCs w:val="22"/>
              </w:rPr>
            </w:pPr>
            <w:r w:rsidRPr="008B6A44">
              <w:rPr>
                <w:color w:val="000000"/>
                <w:sz w:val="22"/>
                <w:szCs w:val="22"/>
              </w:rPr>
              <w:t>84,771</w:t>
            </w:r>
          </w:p>
        </w:tc>
        <w:tc>
          <w:tcPr>
            <w:tcW w:w="2148" w:type="dxa"/>
            <w:tcBorders>
              <w:top w:val="nil"/>
              <w:left w:val="nil"/>
              <w:bottom w:val="nil"/>
              <w:right w:val="nil"/>
            </w:tcBorders>
            <w:shd w:val="clear" w:color="000000" w:fill="FFFFFF"/>
            <w:noWrap/>
            <w:vAlign w:val="bottom"/>
            <w:hideMark/>
          </w:tcPr>
          <w:p w14:paraId="7CEE581A" w14:textId="77777777" w:rsidR="008B6A44" w:rsidRPr="008B6A44" w:rsidRDefault="008B6A44" w:rsidP="00B92709">
            <w:pPr>
              <w:jc w:val="center"/>
              <w:rPr>
                <w:color w:val="000000"/>
                <w:sz w:val="22"/>
                <w:szCs w:val="22"/>
              </w:rPr>
            </w:pPr>
            <w:r w:rsidRPr="008B6A44">
              <w:rPr>
                <w:color w:val="000000"/>
                <w:sz w:val="22"/>
                <w:szCs w:val="22"/>
              </w:rPr>
              <w:t>7,040</w:t>
            </w:r>
          </w:p>
        </w:tc>
        <w:tc>
          <w:tcPr>
            <w:tcW w:w="1213" w:type="dxa"/>
            <w:tcBorders>
              <w:top w:val="nil"/>
              <w:left w:val="nil"/>
              <w:bottom w:val="nil"/>
              <w:right w:val="nil"/>
            </w:tcBorders>
            <w:shd w:val="clear" w:color="000000" w:fill="FFFFFF"/>
            <w:noWrap/>
            <w:vAlign w:val="bottom"/>
            <w:hideMark/>
          </w:tcPr>
          <w:p w14:paraId="5EB6CA8A" w14:textId="77777777" w:rsidR="008B6A44" w:rsidRPr="008B6A44" w:rsidRDefault="008B6A44" w:rsidP="00B92709">
            <w:pPr>
              <w:jc w:val="center"/>
              <w:rPr>
                <w:color w:val="000000"/>
                <w:sz w:val="22"/>
                <w:szCs w:val="22"/>
              </w:rPr>
            </w:pPr>
            <w:r w:rsidRPr="008B6A44">
              <w:rPr>
                <w:color w:val="000000"/>
                <w:sz w:val="22"/>
                <w:szCs w:val="22"/>
              </w:rPr>
              <w:t>5,926</w:t>
            </w:r>
          </w:p>
        </w:tc>
        <w:tc>
          <w:tcPr>
            <w:tcW w:w="1213" w:type="dxa"/>
            <w:tcBorders>
              <w:top w:val="nil"/>
              <w:left w:val="nil"/>
              <w:bottom w:val="nil"/>
              <w:right w:val="nil"/>
            </w:tcBorders>
            <w:shd w:val="clear" w:color="000000" w:fill="FFFFFF"/>
            <w:noWrap/>
            <w:vAlign w:val="bottom"/>
            <w:hideMark/>
          </w:tcPr>
          <w:p w14:paraId="2584FBF5" w14:textId="77777777" w:rsidR="008B6A44" w:rsidRPr="008B6A44" w:rsidRDefault="008B6A44" w:rsidP="00B92709">
            <w:pPr>
              <w:jc w:val="center"/>
              <w:rPr>
                <w:color w:val="000000"/>
                <w:sz w:val="22"/>
                <w:szCs w:val="22"/>
              </w:rPr>
            </w:pPr>
            <w:r w:rsidRPr="008B6A44">
              <w:rPr>
                <w:color w:val="000000"/>
                <w:sz w:val="22"/>
                <w:szCs w:val="22"/>
              </w:rPr>
              <w:t>5,926</w:t>
            </w:r>
          </w:p>
        </w:tc>
        <w:tc>
          <w:tcPr>
            <w:tcW w:w="1213" w:type="dxa"/>
            <w:tcBorders>
              <w:top w:val="nil"/>
              <w:left w:val="nil"/>
              <w:bottom w:val="nil"/>
              <w:right w:val="single" w:sz="4" w:space="0" w:color="auto"/>
            </w:tcBorders>
            <w:shd w:val="clear" w:color="000000" w:fill="FFFFFF"/>
            <w:noWrap/>
            <w:vAlign w:val="bottom"/>
            <w:hideMark/>
          </w:tcPr>
          <w:p w14:paraId="79C2A816" w14:textId="77777777" w:rsidR="008B6A44" w:rsidRPr="008B6A44" w:rsidRDefault="008B6A44" w:rsidP="00B92709">
            <w:pPr>
              <w:jc w:val="center"/>
              <w:rPr>
                <w:color w:val="000000"/>
                <w:sz w:val="22"/>
                <w:szCs w:val="22"/>
              </w:rPr>
            </w:pPr>
            <w:r w:rsidRPr="008B6A44">
              <w:rPr>
                <w:color w:val="000000"/>
                <w:sz w:val="22"/>
                <w:szCs w:val="22"/>
              </w:rPr>
              <w:t>95</w:t>
            </w:r>
          </w:p>
        </w:tc>
      </w:tr>
      <w:tr w:rsidR="008B6A44" w:rsidRPr="008B6A44" w14:paraId="7D87DD82" w14:textId="77777777" w:rsidTr="00B92709">
        <w:trPr>
          <w:trHeight w:val="310"/>
        </w:trPr>
        <w:tc>
          <w:tcPr>
            <w:tcW w:w="2097" w:type="dxa"/>
            <w:tcBorders>
              <w:top w:val="nil"/>
              <w:left w:val="single" w:sz="4" w:space="0" w:color="auto"/>
              <w:bottom w:val="nil"/>
              <w:right w:val="nil"/>
            </w:tcBorders>
            <w:shd w:val="clear" w:color="000000" w:fill="FFFFFF"/>
            <w:noWrap/>
            <w:vAlign w:val="bottom"/>
            <w:hideMark/>
          </w:tcPr>
          <w:p w14:paraId="04568635" w14:textId="77777777" w:rsidR="008B6A44" w:rsidRPr="008B6A44" w:rsidRDefault="008B6A44" w:rsidP="00B92709">
            <w:pPr>
              <w:jc w:val="center"/>
              <w:rPr>
                <w:color w:val="000000"/>
                <w:sz w:val="22"/>
                <w:szCs w:val="22"/>
              </w:rPr>
            </w:pPr>
            <w:r w:rsidRPr="008B6A44">
              <w:rPr>
                <w:color w:val="000000"/>
                <w:sz w:val="22"/>
                <w:szCs w:val="22"/>
              </w:rPr>
              <w:t>2022</w:t>
            </w:r>
          </w:p>
        </w:tc>
        <w:tc>
          <w:tcPr>
            <w:tcW w:w="1318" w:type="dxa"/>
            <w:tcBorders>
              <w:top w:val="nil"/>
              <w:left w:val="nil"/>
              <w:bottom w:val="nil"/>
              <w:right w:val="nil"/>
            </w:tcBorders>
            <w:shd w:val="clear" w:color="000000" w:fill="FFFFFF"/>
            <w:noWrap/>
            <w:vAlign w:val="bottom"/>
            <w:hideMark/>
          </w:tcPr>
          <w:p w14:paraId="06674A6B" w14:textId="77777777" w:rsidR="008B6A44" w:rsidRPr="008B6A44" w:rsidRDefault="008B6A44" w:rsidP="00B92709">
            <w:pPr>
              <w:jc w:val="center"/>
              <w:rPr>
                <w:color w:val="000000"/>
                <w:sz w:val="22"/>
                <w:szCs w:val="22"/>
              </w:rPr>
            </w:pPr>
            <w:r w:rsidRPr="008B6A44">
              <w:rPr>
                <w:color w:val="000000"/>
                <w:sz w:val="22"/>
                <w:szCs w:val="22"/>
              </w:rPr>
              <w:t>83,131</w:t>
            </w:r>
          </w:p>
        </w:tc>
        <w:tc>
          <w:tcPr>
            <w:tcW w:w="2148" w:type="dxa"/>
            <w:tcBorders>
              <w:top w:val="nil"/>
              <w:left w:val="nil"/>
              <w:bottom w:val="nil"/>
              <w:right w:val="nil"/>
            </w:tcBorders>
            <w:shd w:val="clear" w:color="000000" w:fill="FFFFFF"/>
            <w:noWrap/>
            <w:vAlign w:val="bottom"/>
            <w:hideMark/>
          </w:tcPr>
          <w:p w14:paraId="439E8FF6" w14:textId="77777777" w:rsidR="008B6A44" w:rsidRPr="008B6A44" w:rsidRDefault="008B6A44" w:rsidP="00B92709">
            <w:pPr>
              <w:jc w:val="center"/>
              <w:rPr>
                <w:color w:val="000000"/>
                <w:sz w:val="22"/>
                <w:szCs w:val="22"/>
              </w:rPr>
            </w:pPr>
            <w:r w:rsidRPr="008B6A44">
              <w:rPr>
                <w:color w:val="000000"/>
                <w:sz w:val="22"/>
                <w:szCs w:val="22"/>
              </w:rPr>
              <w:t>7,026</w:t>
            </w:r>
          </w:p>
        </w:tc>
        <w:tc>
          <w:tcPr>
            <w:tcW w:w="1213" w:type="dxa"/>
            <w:tcBorders>
              <w:top w:val="nil"/>
              <w:left w:val="nil"/>
              <w:bottom w:val="nil"/>
              <w:right w:val="nil"/>
            </w:tcBorders>
            <w:shd w:val="clear" w:color="000000" w:fill="FFFFFF"/>
            <w:noWrap/>
            <w:vAlign w:val="bottom"/>
            <w:hideMark/>
          </w:tcPr>
          <w:p w14:paraId="3505A6D6" w14:textId="77777777" w:rsidR="008B6A44" w:rsidRPr="008B6A44" w:rsidRDefault="008B6A44" w:rsidP="00B92709">
            <w:pPr>
              <w:jc w:val="center"/>
              <w:rPr>
                <w:color w:val="000000"/>
                <w:sz w:val="22"/>
                <w:szCs w:val="22"/>
              </w:rPr>
            </w:pPr>
            <w:r w:rsidRPr="008B6A44">
              <w:rPr>
                <w:color w:val="000000"/>
                <w:sz w:val="22"/>
                <w:szCs w:val="22"/>
              </w:rPr>
              <w:t>5,908</w:t>
            </w:r>
          </w:p>
        </w:tc>
        <w:tc>
          <w:tcPr>
            <w:tcW w:w="1213" w:type="dxa"/>
            <w:tcBorders>
              <w:top w:val="nil"/>
              <w:left w:val="nil"/>
              <w:bottom w:val="nil"/>
              <w:right w:val="nil"/>
            </w:tcBorders>
            <w:shd w:val="clear" w:color="000000" w:fill="FFFFFF"/>
            <w:noWrap/>
            <w:vAlign w:val="bottom"/>
            <w:hideMark/>
          </w:tcPr>
          <w:p w14:paraId="34DE2ABF" w14:textId="77777777" w:rsidR="008B6A44" w:rsidRPr="008B6A44" w:rsidRDefault="008B6A44" w:rsidP="00B92709">
            <w:pPr>
              <w:jc w:val="center"/>
              <w:rPr>
                <w:color w:val="000000"/>
                <w:sz w:val="22"/>
                <w:szCs w:val="22"/>
              </w:rPr>
            </w:pPr>
            <w:r w:rsidRPr="008B6A44">
              <w:rPr>
                <w:color w:val="000000"/>
                <w:sz w:val="22"/>
                <w:szCs w:val="22"/>
              </w:rPr>
              <w:t>5,908</w:t>
            </w:r>
          </w:p>
        </w:tc>
        <w:tc>
          <w:tcPr>
            <w:tcW w:w="1213" w:type="dxa"/>
            <w:tcBorders>
              <w:top w:val="nil"/>
              <w:left w:val="nil"/>
              <w:bottom w:val="nil"/>
              <w:right w:val="single" w:sz="4" w:space="0" w:color="auto"/>
            </w:tcBorders>
            <w:shd w:val="clear" w:color="000000" w:fill="FFFFFF"/>
            <w:noWrap/>
            <w:vAlign w:val="bottom"/>
            <w:hideMark/>
          </w:tcPr>
          <w:p w14:paraId="4A1AB468" w14:textId="77777777" w:rsidR="008B6A44" w:rsidRPr="008B6A44" w:rsidRDefault="008B6A44" w:rsidP="00B92709">
            <w:pPr>
              <w:jc w:val="center"/>
              <w:rPr>
                <w:color w:val="000000"/>
                <w:sz w:val="22"/>
                <w:szCs w:val="22"/>
              </w:rPr>
            </w:pPr>
            <w:r w:rsidRPr="008B6A44">
              <w:rPr>
                <w:color w:val="000000"/>
                <w:sz w:val="22"/>
                <w:szCs w:val="22"/>
              </w:rPr>
              <w:t>122</w:t>
            </w:r>
          </w:p>
        </w:tc>
      </w:tr>
      <w:tr w:rsidR="008B6A44" w:rsidRPr="008B6A44" w14:paraId="0A0AB401" w14:textId="77777777" w:rsidTr="00B92709">
        <w:trPr>
          <w:trHeight w:val="310"/>
        </w:trPr>
        <w:tc>
          <w:tcPr>
            <w:tcW w:w="2097" w:type="dxa"/>
            <w:tcBorders>
              <w:top w:val="nil"/>
              <w:left w:val="single" w:sz="4" w:space="0" w:color="auto"/>
              <w:bottom w:val="nil"/>
              <w:right w:val="nil"/>
            </w:tcBorders>
            <w:shd w:val="clear" w:color="000000" w:fill="FFFFFF"/>
            <w:noWrap/>
            <w:vAlign w:val="bottom"/>
            <w:hideMark/>
          </w:tcPr>
          <w:p w14:paraId="6049BB5C" w14:textId="77777777" w:rsidR="008B6A44" w:rsidRPr="008B6A44" w:rsidRDefault="008B6A44" w:rsidP="00B92709">
            <w:pPr>
              <w:jc w:val="center"/>
              <w:rPr>
                <w:color w:val="000000"/>
                <w:sz w:val="22"/>
                <w:szCs w:val="22"/>
              </w:rPr>
            </w:pPr>
            <w:r w:rsidRPr="008B6A44">
              <w:rPr>
                <w:color w:val="000000"/>
                <w:sz w:val="22"/>
                <w:szCs w:val="22"/>
              </w:rPr>
              <w:t>2023</w:t>
            </w:r>
          </w:p>
        </w:tc>
        <w:tc>
          <w:tcPr>
            <w:tcW w:w="1318" w:type="dxa"/>
            <w:tcBorders>
              <w:top w:val="nil"/>
              <w:left w:val="nil"/>
              <w:bottom w:val="nil"/>
              <w:right w:val="nil"/>
            </w:tcBorders>
            <w:shd w:val="clear" w:color="000000" w:fill="FFFFFF"/>
            <w:noWrap/>
            <w:vAlign w:val="bottom"/>
            <w:hideMark/>
          </w:tcPr>
          <w:p w14:paraId="07A5B16F" w14:textId="77777777" w:rsidR="008B6A44" w:rsidRPr="008B6A44" w:rsidRDefault="008B6A44" w:rsidP="00B92709">
            <w:pPr>
              <w:jc w:val="center"/>
              <w:rPr>
                <w:color w:val="000000"/>
                <w:sz w:val="22"/>
                <w:szCs w:val="22"/>
              </w:rPr>
            </w:pPr>
            <w:r w:rsidRPr="008B6A44">
              <w:rPr>
                <w:color w:val="000000"/>
                <w:sz w:val="22"/>
                <w:szCs w:val="22"/>
              </w:rPr>
              <w:t>81,328</w:t>
            </w:r>
          </w:p>
        </w:tc>
        <w:tc>
          <w:tcPr>
            <w:tcW w:w="2148" w:type="dxa"/>
            <w:tcBorders>
              <w:top w:val="nil"/>
              <w:left w:val="nil"/>
              <w:bottom w:val="nil"/>
              <w:right w:val="nil"/>
            </w:tcBorders>
            <w:shd w:val="clear" w:color="000000" w:fill="FFFFFF"/>
            <w:noWrap/>
            <w:vAlign w:val="bottom"/>
            <w:hideMark/>
          </w:tcPr>
          <w:p w14:paraId="7A94B035" w14:textId="77777777" w:rsidR="008B6A44" w:rsidRPr="008B6A44" w:rsidRDefault="008B6A44" w:rsidP="00B92709">
            <w:pPr>
              <w:jc w:val="center"/>
              <w:rPr>
                <w:color w:val="000000"/>
                <w:sz w:val="22"/>
                <w:szCs w:val="22"/>
              </w:rPr>
            </w:pPr>
            <w:r w:rsidRPr="008B6A44">
              <w:rPr>
                <w:color w:val="000000"/>
                <w:sz w:val="22"/>
                <w:szCs w:val="22"/>
              </w:rPr>
              <w:t>6,918</w:t>
            </w:r>
          </w:p>
        </w:tc>
        <w:tc>
          <w:tcPr>
            <w:tcW w:w="1213" w:type="dxa"/>
            <w:tcBorders>
              <w:top w:val="nil"/>
              <w:left w:val="nil"/>
              <w:bottom w:val="nil"/>
              <w:right w:val="nil"/>
            </w:tcBorders>
            <w:shd w:val="clear" w:color="000000" w:fill="FFFFFF"/>
            <w:noWrap/>
            <w:vAlign w:val="bottom"/>
            <w:hideMark/>
          </w:tcPr>
          <w:p w14:paraId="3538ECFF" w14:textId="77777777" w:rsidR="008B6A44" w:rsidRPr="008B6A44" w:rsidRDefault="008B6A44" w:rsidP="00B92709">
            <w:pPr>
              <w:jc w:val="center"/>
              <w:rPr>
                <w:color w:val="000000"/>
                <w:sz w:val="22"/>
                <w:szCs w:val="22"/>
              </w:rPr>
            </w:pPr>
            <w:r w:rsidRPr="008B6A44">
              <w:rPr>
                <w:color w:val="000000"/>
                <w:sz w:val="22"/>
                <w:szCs w:val="22"/>
              </w:rPr>
              <w:t>5,816</w:t>
            </w:r>
          </w:p>
        </w:tc>
        <w:tc>
          <w:tcPr>
            <w:tcW w:w="1213" w:type="dxa"/>
            <w:tcBorders>
              <w:top w:val="nil"/>
              <w:left w:val="nil"/>
              <w:bottom w:val="nil"/>
              <w:right w:val="nil"/>
            </w:tcBorders>
            <w:shd w:val="clear" w:color="000000" w:fill="FFFFFF"/>
            <w:noWrap/>
            <w:vAlign w:val="bottom"/>
            <w:hideMark/>
          </w:tcPr>
          <w:p w14:paraId="63E8C355" w14:textId="77777777" w:rsidR="008B6A44" w:rsidRPr="008B6A44" w:rsidRDefault="008B6A44" w:rsidP="00B92709">
            <w:pPr>
              <w:jc w:val="center"/>
              <w:rPr>
                <w:color w:val="000000"/>
                <w:sz w:val="22"/>
                <w:szCs w:val="22"/>
              </w:rPr>
            </w:pPr>
            <w:r w:rsidRPr="008B6A44">
              <w:rPr>
                <w:color w:val="000000"/>
                <w:sz w:val="22"/>
                <w:szCs w:val="22"/>
              </w:rPr>
              <w:t> </w:t>
            </w:r>
          </w:p>
        </w:tc>
        <w:tc>
          <w:tcPr>
            <w:tcW w:w="1213" w:type="dxa"/>
            <w:tcBorders>
              <w:top w:val="nil"/>
              <w:left w:val="nil"/>
              <w:bottom w:val="nil"/>
              <w:right w:val="single" w:sz="4" w:space="0" w:color="auto"/>
            </w:tcBorders>
            <w:shd w:val="clear" w:color="000000" w:fill="FFFFFF"/>
            <w:noWrap/>
            <w:vAlign w:val="bottom"/>
            <w:hideMark/>
          </w:tcPr>
          <w:p w14:paraId="739A85C4" w14:textId="77777777" w:rsidR="008B6A44" w:rsidRPr="008B6A44" w:rsidRDefault="008B6A44" w:rsidP="00B92709">
            <w:pPr>
              <w:jc w:val="center"/>
              <w:rPr>
                <w:color w:val="000000"/>
                <w:sz w:val="22"/>
                <w:szCs w:val="22"/>
              </w:rPr>
            </w:pPr>
            <w:r w:rsidRPr="008B6A44">
              <w:rPr>
                <w:color w:val="000000"/>
                <w:sz w:val="22"/>
                <w:szCs w:val="22"/>
              </w:rPr>
              <w:t> </w:t>
            </w:r>
          </w:p>
        </w:tc>
      </w:tr>
      <w:tr w:rsidR="008B6A44" w:rsidRPr="008B6A44" w14:paraId="66923AAD" w14:textId="77777777" w:rsidTr="00B92709">
        <w:trPr>
          <w:trHeight w:val="310"/>
        </w:trPr>
        <w:tc>
          <w:tcPr>
            <w:tcW w:w="2097" w:type="dxa"/>
            <w:tcBorders>
              <w:top w:val="nil"/>
              <w:left w:val="single" w:sz="4" w:space="0" w:color="auto"/>
              <w:bottom w:val="single" w:sz="4" w:space="0" w:color="auto"/>
              <w:right w:val="nil"/>
            </w:tcBorders>
            <w:shd w:val="clear" w:color="000000" w:fill="FFFFFF"/>
            <w:noWrap/>
            <w:vAlign w:val="bottom"/>
            <w:hideMark/>
          </w:tcPr>
          <w:p w14:paraId="57A85152" w14:textId="77777777" w:rsidR="008B6A44" w:rsidRPr="008B6A44" w:rsidRDefault="008B6A44" w:rsidP="00B92709">
            <w:pPr>
              <w:jc w:val="center"/>
              <w:rPr>
                <w:color w:val="000000"/>
                <w:sz w:val="22"/>
                <w:szCs w:val="22"/>
              </w:rPr>
            </w:pPr>
            <w:r w:rsidRPr="008B6A44">
              <w:rPr>
                <w:color w:val="000000"/>
                <w:sz w:val="22"/>
                <w:szCs w:val="22"/>
              </w:rPr>
              <w:t>2024</w:t>
            </w:r>
          </w:p>
        </w:tc>
        <w:tc>
          <w:tcPr>
            <w:tcW w:w="1318" w:type="dxa"/>
            <w:tcBorders>
              <w:top w:val="nil"/>
              <w:left w:val="nil"/>
              <w:bottom w:val="single" w:sz="4" w:space="0" w:color="auto"/>
              <w:right w:val="nil"/>
            </w:tcBorders>
            <w:shd w:val="clear" w:color="000000" w:fill="FFFFFF"/>
            <w:noWrap/>
            <w:vAlign w:val="bottom"/>
            <w:hideMark/>
          </w:tcPr>
          <w:p w14:paraId="6F449126" w14:textId="77777777" w:rsidR="008B6A44" w:rsidRPr="008B6A44" w:rsidRDefault="008B6A44" w:rsidP="00B92709">
            <w:pPr>
              <w:jc w:val="center"/>
              <w:rPr>
                <w:color w:val="000000"/>
                <w:sz w:val="22"/>
                <w:szCs w:val="22"/>
              </w:rPr>
            </w:pPr>
            <w:r w:rsidRPr="008B6A44">
              <w:rPr>
                <w:color w:val="000000"/>
                <w:sz w:val="22"/>
                <w:szCs w:val="22"/>
              </w:rPr>
              <w:t> </w:t>
            </w:r>
          </w:p>
        </w:tc>
        <w:tc>
          <w:tcPr>
            <w:tcW w:w="2148" w:type="dxa"/>
            <w:tcBorders>
              <w:top w:val="nil"/>
              <w:left w:val="nil"/>
              <w:bottom w:val="single" w:sz="4" w:space="0" w:color="auto"/>
              <w:right w:val="nil"/>
            </w:tcBorders>
            <w:shd w:val="clear" w:color="000000" w:fill="FFFFFF"/>
            <w:noWrap/>
            <w:vAlign w:val="bottom"/>
            <w:hideMark/>
          </w:tcPr>
          <w:p w14:paraId="34816142" w14:textId="77777777" w:rsidR="008B6A44" w:rsidRPr="008B6A44" w:rsidRDefault="008B6A44" w:rsidP="00B92709">
            <w:pPr>
              <w:jc w:val="center"/>
              <w:rPr>
                <w:color w:val="000000"/>
                <w:sz w:val="22"/>
                <w:szCs w:val="22"/>
              </w:rPr>
            </w:pPr>
            <w:r w:rsidRPr="008B6A44">
              <w:rPr>
                <w:color w:val="000000"/>
                <w:sz w:val="22"/>
                <w:szCs w:val="22"/>
              </w:rPr>
              <w:t>6,802</w:t>
            </w:r>
          </w:p>
        </w:tc>
        <w:tc>
          <w:tcPr>
            <w:tcW w:w="1213" w:type="dxa"/>
            <w:tcBorders>
              <w:top w:val="nil"/>
              <w:left w:val="nil"/>
              <w:bottom w:val="single" w:sz="4" w:space="0" w:color="auto"/>
              <w:right w:val="nil"/>
            </w:tcBorders>
            <w:shd w:val="clear" w:color="000000" w:fill="FFFFFF"/>
            <w:noWrap/>
            <w:vAlign w:val="bottom"/>
            <w:hideMark/>
          </w:tcPr>
          <w:p w14:paraId="627CDD97" w14:textId="77777777" w:rsidR="008B6A44" w:rsidRPr="008B6A44" w:rsidRDefault="008B6A44" w:rsidP="00B92709">
            <w:pPr>
              <w:jc w:val="center"/>
              <w:rPr>
                <w:color w:val="000000"/>
                <w:sz w:val="22"/>
                <w:szCs w:val="22"/>
              </w:rPr>
            </w:pPr>
            <w:r w:rsidRPr="008B6A44">
              <w:rPr>
                <w:color w:val="000000"/>
                <w:sz w:val="22"/>
                <w:szCs w:val="22"/>
              </w:rPr>
              <w:t>5,719</w:t>
            </w:r>
          </w:p>
        </w:tc>
        <w:tc>
          <w:tcPr>
            <w:tcW w:w="1213" w:type="dxa"/>
            <w:tcBorders>
              <w:top w:val="nil"/>
              <w:left w:val="nil"/>
              <w:bottom w:val="single" w:sz="4" w:space="0" w:color="auto"/>
              <w:right w:val="nil"/>
            </w:tcBorders>
            <w:shd w:val="clear" w:color="000000" w:fill="FFFFFF"/>
            <w:noWrap/>
            <w:vAlign w:val="bottom"/>
            <w:hideMark/>
          </w:tcPr>
          <w:p w14:paraId="6B4DE808" w14:textId="77777777" w:rsidR="008B6A44" w:rsidRPr="008B6A44" w:rsidRDefault="008B6A44" w:rsidP="00B92709">
            <w:pPr>
              <w:jc w:val="center"/>
              <w:rPr>
                <w:color w:val="000000"/>
                <w:sz w:val="22"/>
                <w:szCs w:val="22"/>
              </w:rPr>
            </w:pPr>
            <w:r w:rsidRPr="008B6A44">
              <w:rPr>
                <w:color w:val="000000"/>
                <w:sz w:val="22"/>
                <w:szCs w:val="22"/>
              </w:rPr>
              <w:t> </w:t>
            </w:r>
          </w:p>
        </w:tc>
        <w:tc>
          <w:tcPr>
            <w:tcW w:w="1213" w:type="dxa"/>
            <w:tcBorders>
              <w:top w:val="nil"/>
              <w:left w:val="nil"/>
              <w:bottom w:val="single" w:sz="4" w:space="0" w:color="auto"/>
              <w:right w:val="single" w:sz="4" w:space="0" w:color="auto"/>
            </w:tcBorders>
            <w:shd w:val="clear" w:color="000000" w:fill="FFFFFF"/>
            <w:noWrap/>
            <w:vAlign w:val="bottom"/>
            <w:hideMark/>
          </w:tcPr>
          <w:p w14:paraId="26CB769D" w14:textId="77777777" w:rsidR="008B6A44" w:rsidRPr="008B6A44" w:rsidRDefault="008B6A44" w:rsidP="00B92709">
            <w:pPr>
              <w:jc w:val="center"/>
              <w:rPr>
                <w:color w:val="000000"/>
                <w:sz w:val="22"/>
                <w:szCs w:val="22"/>
              </w:rPr>
            </w:pPr>
            <w:r w:rsidRPr="008B6A44">
              <w:rPr>
                <w:color w:val="000000"/>
                <w:sz w:val="22"/>
                <w:szCs w:val="22"/>
              </w:rPr>
              <w:t> </w:t>
            </w:r>
          </w:p>
        </w:tc>
      </w:tr>
    </w:tbl>
    <w:p w14:paraId="12E1F04B" w14:textId="77777777" w:rsidR="008B6A44" w:rsidRPr="008B6A44" w:rsidRDefault="008B6A44" w:rsidP="008B6A44">
      <w:pPr>
        <w:rPr>
          <w:sz w:val="22"/>
          <w:szCs w:val="22"/>
        </w:rPr>
      </w:pPr>
    </w:p>
    <w:p w14:paraId="00CC20E0" w14:textId="6B128283" w:rsidR="008B6A44" w:rsidRDefault="008B6A44" w:rsidP="008B6A44">
      <w:pPr>
        <w:rPr>
          <w:sz w:val="22"/>
          <w:szCs w:val="22"/>
        </w:rPr>
      </w:pPr>
      <w:r w:rsidRPr="008B6A44">
        <w:rPr>
          <w:sz w:val="22"/>
          <w:szCs w:val="22"/>
        </w:rPr>
        <w:t xml:space="preserve">The deepwater flatfish complex is comprised of Dover sole, Greenland turbot, Kamchatka flounder, and deepsea sole. Dover sole is the dominant species. Dover sole </w:t>
      </w:r>
      <w:proofErr w:type="gramStart"/>
      <w:r w:rsidRPr="008B6A44">
        <w:rPr>
          <w:sz w:val="22"/>
          <w:szCs w:val="22"/>
        </w:rPr>
        <w:t>is assessed</w:t>
      </w:r>
      <w:proofErr w:type="gramEnd"/>
      <w:r w:rsidRPr="008B6A44">
        <w:rPr>
          <w:sz w:val="22"/>
          <w:szCs w:val="22"/>
        </w:rPr>
        <w:t xml:space="preserve"> using Stock Synthesis, while Greenland turbot and deepsea sole recommendations are based on historical catch. The OFLs and ABCs for the individual species in the deepwater flatfish complex are determined and then summed for calculating a complex-level OFL and ABC.</w:t>
      </w:r>
    </w:p>
    <w:p w14:paraId="4025BC53" w14:textId="77777777" w:rsidR="008B6A44" w:rsidRPr="008B6A44" w:rsidRDefault="008B6A44" w:rsidP="008B6A44">
      <w:pPr>
        <w:rPr>
          <w:sz w:val="22"/>
          <w:szCs w:val="22"/>
        </w:rPr>
      </w:pPr>
    </w:p>
    <w:p w14:paraId="3215EA9F" w14:textId="15DF97C3" w:rsidR="008B6A44" w:rsidRDefault="008B6A44" w:rsidP="008B6A44">
      <w:pPr>
        <w:rPr>
          <w:sz w:val="22"/>
          <w:szCs w:val="22"/>
        </w:rPr>
      </w:pPr>
      <w:r w:rsidRPr="008B6A44">
        <w:rPr>
          <w:sz w:val="22"/>
          <w:szCs w:val="22"/>
        </w:rPr>
        <w:t xml:space="preserve">A full assessment for the Gulf of Alaska deepwater flatfish complex </w:t>
      </w:r>
      <w:proofErr w:type="gramStart"/>
      <w:r w:rsidRPr="008B6A44">
        <w:rPr>
          <w:sz w:val="22"/>
          <w:szCs w:val="22"/>
        </w:rPr>
        <w:t>was conducted</w:t>
      </w:r>
      <w:proofErr w:type="gramEnd"/>
      <w:r w:rsidRPr="008B6A44">
        <w:rPr>
          <w:sz w:val="22"/>
          <w:szCs w:val="22"/>
        </w:rPr>
        <w:t xml:space="preserve"> in 2019. Projections </w:t>
      </w:r>
      <w:proofErr w:type="gramStart"/>
      <w:r w:rsidRPr="008B6A44">
        <w:rPr>
          <w:sz w:val="22"/>
          <w:szCs w:val="22"/>
        </w:rPr>
        <w:t>were run</w:t>
      </w:r>
      <w:proofErr w:type="gramEnd"/>
      <w:r w:rsidRPr="008B6A44">
        <w:rPr>
          <w:sz w:val="22"/>
          <w:szCs w:val="22"/>
        </w:rPr>
        <w:t xml:space="preserve"> in 2022 and updated numbers were used for 2023 specifications.</w:t>
      </w:r>
    </w:p>
    <w:p w14:paraId="3DCDE30A" w14:textId="77777777" w:rsidR="008B6A44" w:rsidRPr="008B6A44" w:rsidRDefault="008B6A44" w:rsidP="008B6A44">
      <w:pPr>
        <w:rPr>
          <w:sz w:val="22"/>
          <w:szCs w:val="22"/>
        </w:rPr>
      </w:pPr>
    </w:p>
    <w:p w14:paraId="0DD6A6EA" w14:textId="77777777" w:rsidR="008B6A44" w:rsidRPr="008B6A44" w:rsidRDefault="008B6A44" w:rsidP="008B6A44">
      <w:pPr>
        <w:rPr>
          <w:sz w:val="22"/>
          <w:szCs w:val="22"/>
        </w:rPr>
      </w:pPr>
      <w:r w:rsidRPr="008B6A44">
        <w:rPr>
          <w:sz w:val="22"/>
          <w:szCs w:val="22"/>
        </w:rPr>
        <w:t xml:space="preserve">The model estimate of 2023 spawning stock biomass for Dover sole is 25,717 t, which is well above </w:t>
      </w:r>
      <w:proofErr w:type="gramStart"/>
      <w:r w:rsidRPr="008B6A44">
        <w:rPr>
          <w:sz w:val="22"/>
          <w:szCs w:val="22"/>
        </w:rPr>
        <w:t>B</w:t>
      </w:r>
      <w:r w:rsidRPr="008B6A44">
        <w:rPr>
          <w:i/>
          <w:iCs/>
          <w:sz w:val="22"/>
          <w:szCs w:val="22"/>
        </w:rPr>
        <w:t>40%</w:t>
      </w:r>
      <w:proofErr w:type="gramEnd"/>
      <w:r w:rsidRPr="008B6A44">
        <w:rPr>
          <w:i/>
          <w:iCs/>
          <w:sz w:val="22"/>
          <w:szCs w:val="22"/>
        </w:rPr>
        <w:t xml:space="preserve"> </w:t>
      </w:r>
      <w:r w:rsidRPr="008B6A44">
        <w:rPr>
          <w:sz w:val="22"/>
          <w:szCs w:val="22"/>
        </w:rPr>
        <w:t xml:space="preserve">(7,613 t). Spawning stock biomass and total biomass </w:t>
      </w:r>
      <w:proofErr w:type="gramStart"/>
      <w:r w:rsidRPr="008B6A44">
        <w:rPr>
          <w:sz w:val="22"/>
          <w:szCs w:val="22"/>
        </w:rPr>
        <w:t>are expected</w:t>
      </w:r>
      <w:proofErr w:type="gramEnd"/>
      <w:r w:rsidRPr="008B6A44">
        <w:rPr>
          <w:sz w:val="22"/>
          <w:szCs w:val="22"/>
        </w:rPr>
        <w:t xml:space="preserve"> to remain stable through 2024. Stock trends for Greenland turbot, Kamchatka flounder, and deepsea sole are unknown. The Gulf of Alaska Dover sole stock is not being subjected to overfishing and is neither overfished nor approaching an overfished condition. Information is insufficient to determine stock status relative to overfished criteria for Greenland turbot, Kamchatka flounder, and deepsea sole. Since Dover sole comprises approximately 96% of the deepwater flatfish </w:t>
      </w:r>
      <w:proofErr w:type="gramStart"/>
      <w:r w:rsidRPr="008B6A44">
        <w:rPr>
          <w:sz w:val="22"/>
          <w:szCs w:val="22"/>
        </w:rPr>
        <w:t>complex</w:t>
      </w:r>
      <w:proofErr w:type="gramEnd"/>
      <w:r w:rsidRPr="008B6A44">
        <w:rPr>
          <w:sz w:val="22"/>
          <w:szCs w:val="22"/>
        </w:rPr>
        <w:t xml:space="preserve"> they are considered the main component for determining the status of this stock complex. Catch levels for this complex remain well below the TAC and below levels where overfishing would be a concern.</w:t>
      </w:r>
    </w:p>
    <w:p w14:paraId="12E02862" w14:textId="77777777" w:rsidR="00DE3EE8" w:rsidRPr="002B7E6B" w:rsidRDefault="00DE3EE8" w:rsidP="00DE3EE8">
      <w:pPr>
        <w:widowControl/>
        <w:rPr>
          <w:sz w:val="22"/>
          <w:szCs w:val="22"/>
        </w:rPr>
      </w:pPr>
    </w:p>
    <w:p w14:paraId="2FE545C7" w14:textId="77777777" w:rsidR="00DE3EE8" w:rsidRPr="002B7E6B" w:rsidRDefault="00DE3EE8" w:rsidP="00DE3EE8">
      <w:pPr>
        <w:pStyle w:val="Heading3"/>
        <w:keepNext w:val="0"/>
        <w:keepLines w:val="0"/>
        <w:numPr>
          <w:ilvl w:val="0"/>
          <w:numId w:val="3"/>
        </w:numPr>
        <w:spacing w:before="0" w:after="0"/>
        <w:ind w:left="0" w:firstLine="0"/>
        <w:rPr>
          <w:rFonts w:cs="Times New Roman"/>
          <w:sz w:val="22"/>
          <w:szCs w:val="22"/>
        </w:rPr>
      </w:pPr>
      <w:bookmarkStart w:id="159" w:name="_Toc131503900"/>
      <w:r w:rsidRPr="002B7E6B">
        <w:rPr>
          <w:rFonts w:cs="Times New Roman"/>
          <w:sz w:val="22"/>
          <w:szCs w:val="22"/>
        </w:rPr>
        <w:t>Pacific halibut</w:t>
      </w:r>
      <w:bookmarkEnd w:id="159"/>
    </w:p>
    <w:p w14:paraId="09B2BBF0" w14:textId="77777777" w:rsidR="00DE3EE8" w:rsidRPr="002B7E6B" w:rsidRDefault="00DE3EE8" w:rsidP="00DE3EE8">
      <w:pPr>
        <w:rPr>
          <w:sz w:val="22"/>
          <w:szCs w:val="22"/>
        </w:rPr>
      </w:pPr>
    </w:p>
    <w:p w14:paraId="28E09518" w14:textId="02E7AF73" w:rsidR="00DE3EE8" w:rsidRPr="002B7E6B" w:rsidRDefault="00DE3EE8" w:rsidP="00DE3EE8">
      <w:pPr>
        <w:pStyle w:val="Heading4"/>
        <w:numPr>
          <w:ilvl w:val="0"/>
          <w:numId w:val="7"/>
        </w:numPr>
        <w:ind w:left="0" w:firstLine="0"/>
        <w:rPr>
          <w:szCs w:val="22"/>
        </w:rPr>
      </w:pPr>
      <w:bookmarkStart w:id="160" w:name="_Toc131503901"/>
      <w:r w:rsidRPr="002B7E6B">
        <w:rPr>
          <w:szCs w:val="22"/>
        </w:rPr>
        <w:t>Research</w:t>
      </w:r>
      <w:bookmarkEnd w:id="160"/>
    </w:p>
    <w:p w14:paraId="4AC48851" w14:textId="77777777" w:rsidR="00DE3EE8" w:rsidRPr="002B7E6B" w:rsidRDefault="00DE3EE8" w:rsidP="00DE3EE8">
      <w:pPr>
        <w:rPr>
          <w:sz w:val="22"/>
          <w:szCs w:val="22"/>
        </w:rPr>
      </w:pPr>
    </w:p>
    <w:p w14:paraId="70AE7A04" w14:textId="6E06681F" w:rsidR="00DE3EE8" w:rsidRDefault="00DE3EE8" w:rsidP="00017EC4">
      <w:pPr>
        <w:pStyle w:val="Heading5"/>
      </w:pPr>
      <w:bookmarkStart w:id="161" w:name="_Toc131503902"/>
      <w:r w:rsidRPr="002B7E6B">
        <w:t>Abundance-based management of halibut bycatch in Alaska’s federal fisheries</w:t>
      </w:r>
      <w:bookmarkEnd w:id="161"/>
    </w:p>
    <w:p w14:paraId="06D5587D" w14:textId="77777777" w:rsidR="00017EC4" w:rsidRPr="00017EC4" w:rsidRDefault="00017EC4" w:rsidP="00017EC4"/>
    <w:p w14:paraId="708BEF8D" w14:textId="77777777" w:rsidR="00DE3EE8" w:rsidRPr="002B7E6B" w:rsidRDefault="00DE3EE8" w:rsidP="00DE3EE8">
      <w:pPr>
        <w:rPr>
          <w:sz w:val="22"/>
          <w:szCs w:val="22"/>
        </w:rPr>
      </w:pPr>
      <w:r w:rsidRPr="002B7E6B">
        <w:rPr>
          <w:sz w:val="22"/>
          <w:szCs w:val="22"/>
        </w:rPr>
        <w:t>The NPFMC has been actively working for several years to improve management of halibut bycatch. Following is the purpose and need statement for the Council’s current actions:</w:t>
      </w:r>
    </w:p>
    <w:p w14:paraId="4371D70E" w14:textId="77777777" w:rsidR="00DE3EE8" w:rsidRPr="002B7E6B" w:rsidRDefault="00DE3EE8" w:rsidP="00DE3EE8">
      <w:pPr>
        <w:rPr>
          <w:sz w:val="22"/>
          <w:szCs w:val="22"/>
        </w:rPr>
      </w:pPr>
    </w:p>
    <w:p w14:paraId="0153FE0B" w14:textId="77777777" w:rsidR="00DE3EE8" w:rsidRPr="002B7E6B" w:rsidRDefault="00DE3EE8" w:rsidP="00DE3EE8">
      <w:pPr>
        <w:rPr>
          <w:sz w:val="22"/>
          <w:szCs w:val="22"/>
        </w:rPr>
      </w:pPr>
      <w:r w:rsidRPr="002B7E6B">
        <w:rPr>
          <w:sz w:val="22"/>
          <w:szCs w:val="22"/>
        </w:rPr>
        <w:t xml:space="preserve">Halibut is an important resource in the Bering Sea and Aleutian Islands (BSAI), supporting commercial halibut fisheries, recreational fisheries, subsistence fisheries, and groundfish fisheries. The International Pacific Halibut Commission (IPHC) is responsible for assessing the Pacific halibut stock and establishing total annual catch limits for directed fisheries and the North Pacific Fishery Management Council (Council) is responsible for managing prohibited species catch (PSC) in U.S. commercial groundfish fisheries managed by the Council. The Amendment 80 sector is accountable for the majority of the annual halibut PSC mortality in the BSAI groundfish fisheries. </w:t>
      </w:r>
    </w:p>
    <w:p w14:paraId="0E45AA31" w14:textId="77777777" w:rsidR="00DE3EE8" w:rsidRPr="002B7E6B" w:rsidRDefault="00DE3EE8" w:rsidP="00DE3EE8">
      <w:pPr>
        <w:rPr>
          <w:sz w:val="22"/>
          <w:szCs w:val="22"/>
        </w:rPr>
      </w:pPr>
    </w:p>
    <w:p w14:paraId="219EC423" w14:textId="77777777" w:rsidR="00DE3EE8" w:rsidRPr="002B7E6B" w:rsidRDefault="00DE3EE8" w:rsidP="00DE3EE8">
      <w:pPr>
        <w:rPr>
          <w:sz w:val="22"/>
          <w:szCs w:val="22"/>
        </w:rPr>
      </w:pPr>
      <w:r w:rsidRPr="002B7E6B">
        <w:rPr>
          <w:sz w:val="22"/>
          <w:szCs w:val="22"/>
        </w:rPr>
        <w:t xml:space="preserve">While the Amendment 80 fleet </w:t>
      </w:r>
      <w:proofErr w:type="gramStart"/>
      <w:r w:rsidRPr="002B7E6B">
        <w:rPr>
          <w:sz w:val="22"/>
          <w:szCs w:val="22"/>
        </w:rPr>
        <w:t>has</w:t>
      </w:r>
      <w:proofErr w:type="gramEnd"/>
      <w:r w:rsidRPr="002B7E6B">
        <w:rPr>
          <w:sz w:val="22"/>
          <w:szCs w:val="22"/>
        </w:rPr>
        <w:t xml:space="preserve"> reduced halibut mortality in recent years, continued decline in the </w:t>
      </w:r>
      <w:r w:rsidRPr="002B7E6B">
        <w:rPr>
          <w:sz w:val="22"/>
          <w:szCs w:val="22"/>
        </w:rPr>
        <w:lastRenderedPageBreak/>
        <w:t>halibut stock requires consideration of additional measures for management of halibut PSC in the Amendment 80 fisheries. When BSAI halibut abundance declines, PSC in Amendment 80 fisheries can become a larger proportion of total halibut removals in the BSAI, particularly in Area 4CDE, and can reduce the proportion of halibut available for harvest in directed halibut fisheries. The Council intends to establish an abundance-based halibut PSC management program in the BSAI for the Amendment 80 sector that meets the requirements of the Magnuson-Stevens Act, particularly to minimize halibut PSC to the extent practicable under National Standard 9 and to achieve optimum yield in the BSAI groundfish fisheries on a continuing basis under National Standard 1. The Council is considering a program that links the Amendment 80 sector PSC</w:t>
      </w:r>
    </w:p>
    <w:p w14:paraId="62D749BE" w14:textId="77777777" w:rsidR="00DE3EE8" w:rsidRPr="002B7E6B" w:rsidRDefault="00DE3EE8" w:rsidP="00DE3EE8">
      <w:pPr>
        <w:rPr>
          <w:sz w:val="22"/>
          <w:szCs w:val="22"/>
        </w:rPr>
      </w:pPr>
      <w:proofErr w:type="gramStart"/>
      <w:r w:rsidRPr="002B7E6B">
        <w:rPr>
          <w:sz w:val="22"/>
          <w:szCs w:val="22"/>
        </w:rPr>
        <w:t>limit</w:t>
      </w:r>
      <w:proofErr w:type="gramEnd"/>
      <w:r w:rsidRPr="002B7E6B">
        <w:rPr>
          <w:sz w:val="22"/>
          <w:szCs w:val="22"/>
        </w:rPr>
        <w:t xml:space="preserve"> to halibut abundance and provides incentives for the fleet to minimize halibut mortality at all times. This action could also promote conservation of the halibut stock and may provide additional</w:t>
      </w:r>
    </w:p>
    <w:p w14:paraId="7834EA1B" w14:textId="77777777" w:rsidR="00DE3EE8" w:rsidRPr="002B7E6B" w:rsidRDefault="00DE3EE8" w:rsidP="00DE3EE8">
      <w:pPr>
        <w:rPr>
          <w:sz w:val="22"/>
          <w:szCs w:val="22"/>
        </w:rPr>
      </w:pPr>
      <w:proofErr w:type="gramStart"/>
      <w:r w:rsidRPr="002B7E6B">
        <w:rPr>
          <w:sz w:val="22"/>
          <w:szCs w:val="22"/>
        </w:rPr>
        <w:t>opportunities</w:t>
      </w:r>
      <w:proofErr w:type="gramEnd"/>
      <w:r w:rsidRPr="002B7E6B">
        <w:rPr>
          <w:sz w:val="22"/>
          <w:szCs w:val="22"/>
        </w:rPr>
        <w:t xml:space="preserve"> for the directed halibut fishery.</w:t>
      </w:r>
    </w:p>
    <w:p w14:paraId="2105FB81" w14:textId="77777777" w:rsidR="00DE3EE8" w:rsidRPr="002B7E6B" w:rsidRDefault="00DE3EE8" w:rsidP="00DE3EE8">
      <w:pPr>
        <w:rPr>
          <w:sz w:val="22"/>
          <w:szCs w:val="22"/>
        </w:rPr>
      </w:pPr>
    </w:p>
    <w:p w14:paraId="7D8E5AB4" w14:textId="77777777" w:rsidR="00DE3EE8" w:rsidRPr="002B7E6B" w:rsidRDefault="00DE3EE8" w:rsidP="00DE3EE8">
      <w:pPr>
        <w:rPr>
          <w:sz w:val="22"/>
          <w:szCs w:val="22"/>
        </w:rPr>
      </w:pPr>
      <w:r w:rsidRPr="002B7E6B">
        <w:rPr>
          <w:sz w:val="22"/>
          <w:szCs w:val="22"/>
        </w:rPr>
        <w:t>For more information please consult the NPFMC website (</w:t>
      </w:r>
      <w:hyperlink r:id="rId85">
        <w:r w:rsidRPr="002B7E6B">
          <w:rPr>
            <w:color w:val="1155CC"/>
            <w:sz w:val="22"/>
            <w:szCs w:val="22"/>
            <w:u w:val="single"/>
          </w:rPr>
          <w:t>https://www.npfmc.org/</w:t>
        </w:r>
      </w:hyperlink>
      <w:r w:rsidRPr="002B7E6B">
        <w:rPr>
          <w:sz w:val="22"/>
          <w:szCs w:val="22"/>
        </w:rPr>
        <w:t xml:space="preserve">); you may also contact Jim Ianelli at </w:t>
      </w:r>
      <w:hyperlink r:id="rId86">
        <w:r w:rsidRPr="002B7E6B">
          <w:rPr>
            <w:color w:val="1155CC"/>
            <w:sz w:val="22"/>
            <w:szCs w:val="22"/>
            <w:u w:val="single"/>
          </w:rPr>
          <w:t>jim.ianelli@noaa.gov</w:t>
        </w:r>
      </w:hyperlink>
      <w:r w:rsidRPr="002B7E6B">
        <w:rPr>
          <w:sz w:val="22"/>
          <w:szCs w:val="22"/>
        </w:rPr>
        <w:t xml:space="preserve"> or Carey McGilliard at carey.mcgilliard@noaa.gov.</w:t>
      </w:r>
    </w:p>
    <w:p w14:paraId="593A993C" w14:textId="77777777" w:rsidR="00DE3EE8" w:rsidRPr="002B7E6B" w:rsidRDefault="00DE3EE8" w:rsidP="00DE3EE8">
      <w:pPr>
        <w:rPr>
          <w:sz w:val="22"/>
          <w:szCs w:val="22"/>
          <w:u w:val="single"/>
        </w:rPr>
      </w:pPr>
    </w:p>
    <w:p w14:paraId="2D2D67AD" w14:textId="77777777" w:rsidR="00DE3EE8" w:rsidRPr="002B7E6B" w:rsidRDefault="00DE3EE8" w:rsidP="00DE3EE8">
      <w:pPr>
        <w:pStyle w:val="Heading3"/>
        <w:keepNext w:val="0"/>
        <w:keepLines w:val="0"/>
        <w:numPr>
          <w:ilvl w:val="0"/>
          <w:numId w:val="3"/>
        </w:numPr>
        <w:spacing w:before="0" w:after="0"/>
        <w:ind w:left="0" w:firstLine="0"/>
        <w:rPr>
          <w:rFonts w:cs="Times New Roman"/>
          <w:sz w:val="22"/>
          <w:szCs w:val="22"/>
        </w:rPr>
      </w:pPr>
      <w:bookmarkStart w:id="162" w:name="_Toc131503903"/>
      <w:r w:rsidRPr="002B7E6B">
        <w:rPr>
          <w:rFonts w:cs="Times New Roman"/>
          <w:sz w:val="22"/>
          <w:szCs w:val="22"/>
        </w:rPr>
        <w:t>Other Groundfish Species</w:t>
      </w:r>
      <w:bookmarkEnd w:id="162"/>
      <w:r w:rsidRPr="002B7E6B">
        <w:rPr>
          <w:rFonts w:cs="Times New Roman"/>
          <w:sz w:val="22"/>
          <w:szCs w:val="22"/>
        </w:rPr>
        <w:t xml:space="preserve"> </w:t>
      </w:r>
    </w:p>
    <w:p w14:paraId="41EF10CB" w14:textId="77777777" w:rsidR="00DE3EE8" w:rsidRPr="002B7E6B" w:rsidRDefault="00DE3EE8" w:rsidP="00DE3EE8">
      <w:pPr>
        <w:rPr>
          <w:sz w:val="22"/>
          <w:szCs w:val="22"/>
        </w:rPr>
      </w:pPr>
    </w:p>
    <w:p w14:paraId="0B641763" w14:textId="6D4423DC" w:rsidR="00DE3EE8" w:rsidRDefault="00DE3EE8" w:rsidP="00017EC4">
      <w:pPr>
        <w:pStyle w:val="Heading5"/>
      </w:pPr>
      <w:bookmarkStart w:id="163" w:name="_Toc131503904"/>
      <w:r w:rsidRPr="00017EC4">
        <w:t xml:space="preserve">Other groundfish stocks assessed by the AFSC </w:t>
      </w:r>
      <w:r w:rsidR="00017EC4">
        <w:t>–</w:t>
      </w:r>
      <w:r w:rsidRPr="00017EC4">
        <w:t xml:space="preserve"> REFM</w:t>
      </w:r>
      <w:bookmarkEnd w:id="163"/>
    </w:p>
    <w:p w14:paraId="36F17F06" w14:textId="77777777" w:rsidR="00017EC4" w:rsidRPr="00017EC4" w:rsidRDefault="00017EC4" w:rsidP="00017EC4"/>
    <w:p w14:paraId="26E1D26A" w14:textId="77777777" w:rsidR="008B6A44" w:rsidRPr="008B6A44" w:rsidRDefault="008B6A44" w:rsidP="008B6A44">
      <w:pPr>
        <w:rPr>
          <w:sz w:val="22"/>
          <w:szCs w:val="22"/>
        </w:rPr>
      </w:pPr>
      <w:r w:rsidRPr="008B6A44">
        <w:rPr>
          <w:color w:val="000000"/>
          <w:sz w:val="22"/>
          <w:szCs w:val="22"/>
        </w:rPr>
        <w:t>In addition to the assessments described above, the AFSC assesses and provides harvest recommendations for an octopus complex in both the BSAI and GOA. These are non-target species and exploitation rates are low. In addition, the AFSC produces status reports for several species groups included in the FMPs as “Ecosystem Components”. These are stocks for which there are not active conservation concerns, but which have ecosystem roles that warrant some level of monitoring. These groups currently include grenadiers, squids, and a diverse forage fish group (the osmerids capelin and eulachon, as well as Pacific sand lance, are the main species of interest). Sculpins are also included in the FMP as Ecosystem Components but receive no reports.</w:t>
      </w:r>
    </w:p>
    <w:p w14:paraId="0ADD2B07" w14:textId="77777777" w:rsidR="00DE3EE8" w:rsidRPr="002B7E6B" w:rsidRDefault="00DE3EE8" w:rsidP="00DE3EE8">
      <w:pPr>
        <w:rPr>
          <w:sz w:val="22"/>
          <w:szCs w:val="22"/>
        </w:rPr>
      </w:pPr>
    </w:p>
    <w:p w14:paraId="064772F2" w14:textId="18AC1B6A" w:rsidR="00DE3EE8" w:rsidRPr="002B7E6B" w:rsidRDefault="00DE3EE8" w:rsidP="00017EC4">
      <w:pPr>
        <w:pStyle w:val="Heading5"/>
      </w:pPr>
      <w:bookmarkStart w:id="164" w:name="_Toc131503905"/>
      <w:r w:rsidRPr="002B7E6B">
        <w:t>Understanding transboundary stocks availability by combining multiple fisheries-independent surveys and oceanographic conditions in spatiotemporal models</w:t>
      </w:r>
      <w:r w:rsidR="0024271A">
        <w:t xml:space="preserve"> – RACE-GAP</w:t>
      </w:r>
      <w:r w:rsidR="00B05625">
        <w:t>/</w:t>
      </w:r>
      <w:r w:rsidRPr="002B7E6B">
        <w:t>HEPR</w:t>
      </w:r>
      <w:r w:rsidR="00B05625">
        <w:t>/</w:t>
      </w:r>
      <w:r w:rsidRPr="002B7E6B">
        <w:t>REFM</w:t>
      </w:r>
      <w:bookmarkEnd w:id="164"/>
    </w:p>
    <w:p w14:paraId="7E1152C6" w14:textId="77777777" w:rsidR="00DE3EE8" w:rsidRPr="002B7E6B" w:rsidRDefault="00DE3EE8" w:rsidP="00DE3EE8">
      <w:pPr>
        <w:spacing w:before="240" w:after="240"/>
        <w:rPr>
          <w:sz w:val="22"/>
          <w:szCs w:val="22"/>
        </w:rPr>
      </w:pPr>
      <w:r w:rsidRPr="002B7E6B">
        <w:rPr>
          <w:sz w:val="22"/>
          <w:szCs w:val="22"/>
        </w:rPr>
        <w:t xml:space="preserve">In this study, we illustrate the necessity for novel partnerships in the North Pacific when responding to climate-driven distribution shifts. We specifically develop the first-ever biomass estimate for groundfishes across the North Pacific, combining scientific fishery-independent bottom trawl data from the United States and Russia. We use three groundfish species across the Bering Sea as case studies, estimating biomass across the Bering Sea in a spatio-temporal model using the Vector Autoregressive Spatio-Temporal (VAST) model. We estimated a fishing-power correction as a catchability ratio to calibrate the disparate data sets and also estimated the impact of an annual oceanographic index, the cold pool extent index (CPI), as a covariate to explain variation in groundfish spatiotemporal density. We found that for major groundfish species included in this analysis, ‘hot spots’ or areas of high density span across the international border, particularly in warmer years when the cold pool extent is lower than the long-term average. We also found that groundfish densities increase throughout the entire Bering Sea region relative to historical densities, and all three groundfish species are shifting northward to varying degrees. The proportion of groundfish biomass found in the eastern and western sides of the Bering Sea is highly variable, but the majority of biomass </w:t>
      </w:r>
      <w:proofErr w:type="gramStart"/>
      <w:r w:rsidRPr="002B7E6B">
        <w:rPr>
          <w:sz w:val="22"/>
          <w:szCs w:val="22"/>
        </w:rPr>
        <w:t>was consistently found</w:t>
      </w:r>
      <w:proofErr w:type="gramEnd"/>
      <w:r w:rsidRPr="002B7E6B">
        <w:rPr>
          <w:sz w:val="22"/>
          <w:szCs w:val="22"/>
        </w:rPr>
        <w:t xml:space="preserve"> in the eastern Bering Sea until the final few years in this study. In the final year of comprehensive survey data (2017), 49%, 65%, 47% of biomass was in the western and northern Bering Sea for pollock, cod, and plaice, respectively, suggesting that availability of groundfish to the more regular eastern Bering Sea survey is declining. We conclude that International partnerships are key to tracking fish across international boundaries as they shift beyond </w:t>
      </w:r>
      <w:r w:rsidRPr="002B7E6B">
        <w:rPr>
          <w:sz w:val="22"/>
          <w:szCs w:val="22"/>
        </w:rPr>
        <w:lastRenderedPageBreak/>
        <w:t xml:space="preserve">historical survey areas. Research effort should be directed towards international collaborations to combine and calibrate past data, and to coordinate efforts in future data collection in order to fully understand biomass changes and manage shifting distribution of fish species as ocean conditions change. This work </w:t>
      </w:r>
      <w:proofErr w:type="gramStart"/>
      <w:r w:rsidRPr="002B7E6B">
        <w:rPr>
          <w:sz w:val="22"/>
          <w:szCs w:val="22"/>
        </w:rPr>
        <w:t>was accepted</w:t>
      </w:r>
      <w:proofErr w:type="gramEnd"/>
      <w:r w:rsidRPr="002B7E6B">
        <w:rPr>
          <w:sz w:val="22"/>
          <w:szCs w:val="22"/>
        </w:rPr>
        <w:t xml:space="preserve"> into ICES Journal of Marine Science and will be available online soon.</w:t>
      </w:r>
    </w:p>
    <w:p w14:paraId="79A18437" w14:textId="77777777" w:rsidR="00DE3EE8" w:rsidRPr="002B7E6B" w:rsidRDefault="00DE3EE8" w:rsidP="00DE3EE8">
      <w:pPr>
        <w:spacing w:before="240" w:after="240"/>
        <w:rPr>
          <w:sz w:val="22"/>
          <w:szCs w:val="22"/>
        </w:rPr>
      </w:pPr>
      <w:r w:rsidRPr="002B7E6B">
        <w:rPr>
          <w:sz w:val="22"/>
          <w:szCs w:val="22"/>
        </w:rPr>
        <w:t>For further information, contact Cecilia O’Leary (cecilia.oleary@noaa.gov).</w:t>
      </w:r>
    </w:p>
    <w:p w14:paraId="445A2FC9" w14:textId="77777777" w:rsidR="00DE3EE8" w:rsidRPr="002B7E6B" w:rsidRDefault="00DE3EE8" w:rsidP="00DE3EE8">
      <w:pPr>
        <w:spacing w:before="240" w:after="240"/>
        <w:rPr>
          <w:sz w:val="22"/>
          <w:szCs w:val="22"/>
        </w:rPr>
      </w:pPr>
      <w:r w:rsidRPr="002B7E6B">
        <w:rPr>
          <w:sz w:val="22"/>
          <w:szCs w:val="22"/>
        </w:rPr>
        <w:t xml:space="preserve"> </w:t>
      </w:r>
    </w:p>
    <w:p w14:paraId="52E80AF5" w14:textId="77777777" w:rsidR="00DE3EE8" w:rsidRPr="002B7E6B" w:rsidRDefault="00DE3EE8" w:rsidP="00DE3EE8">
      <w:pPr>
        <w:spacing w:before="240" w:after="240"/>
        <w:rPr>
          <w:b/>
          <w:sz w:val="22"/>
          <w:szCs w:val="22"/>
        </w:rPr>
      </w:pPr>
      <w:r w:rsidRPr="002B7E6B">
        <w:rPr>
          <w:b/>
          <w:sz w:val="22"/>
          <w:szCs w:val="22"/>
        </w:rPr>
        <w:t>Gulf of Alaska</w:t>
      </w:r>
    </w:p>
    <w:p w14:paraId="2AF94A26" w14:textId="29352E68" w:rsidR="00DE3EE8" w:rsidRPr="002B7E6B" w:rsidRDefault="00DE3EE8" w:rsidP="00DE3EE8">
      <w:pPr>
        <w:spacing w:before="240" w:after="240"/>
        <w:rPr>
          <w:i/>
          <w:sz w:val="22"/>
          <w:szCs w:val="22"/>
        </w:rPr>
      </w:pPr>
      <w:r w:rsidRPr="002B7E6B">
        <w:rPr>
          <w:i/>
          <w:sz w:val="22"/>
          <w:szCs w:val="22"/>
        </w:rPr>
        <w:t xml:space="preserve">Establishing groundfish densities estimates in GOA untrawlable habitat with paired lowered stereo-camera system and bottom trawl data – </w:t>
      </w:r>
      <w:r w:rsidR="0024271A">
        <w:rPr>
          <w:i/>
          <w:sz w:val="22"/>
          <w:szCs w:val="22"/>
        </w:rPr>
        <w:t>RACE-GAP</w:t>
      </w:r>
      <w:r w:rsidR="00B05625">
        <w:rPr>
          <w:i/>
          <w:sz w:val="22"/>
          <w:szCs w:val="22"/>
        </w:rPr>
        <w:t>/</w:t>
      </w:r>
      <w:r w:rsidRPr="002B7E6B">
        <w:rPr>
          <w:i/>
          <w:sz w:val="22"/>
          <w:szCs w:val="22"/>
        </w:rPr>
        <w:t>RACE</w:t>
      </w:r>
      <w:r w:rsidR="00B05625">
        <w:rPr>
          <w:i/>
          <w:sz w:val="22"/>
          <w:szCs w:val="22"/>
        </w:rPr>
        <w:t xml:space="preserve"> </w:t>
      </w:r>
      <w:r w:rsidRPr="002B7E6B">
        <w:rPr>
          <w:i/>
          <w:sz w:val="22"/>
          <w:szCs w:val="22"/>
        </w:rPr>
        <w:t>MACE</w:t>
      </w:r>
      <w:r w:rsidR="00B05625">
        <w:rPr>
          <w:i/>
          <w:sz w:val="22"/>
          <w:szCs w:val="22"/>
        </w:rPr>
        <w:t>/</w:t>
      </w:r>
      <w:r w:rsidRPr="002B7E6B">
        <w:rPr>
          <w:i/>
          <w:sz w:val="22"/>
          <w:szCs w:val="22"/>
        </w:rPr>
        <w:t>REFM</w:t>
      </w:r>
      <w:r w:rsidR="00B05625">
        <w:rPr>
          <w:i/>
          <w:sz w:val="22"/>
          <w:szCs w:val="22"/>
        </w:rPr>
        <w:t>/</w:t>
      </w:r>
      <w:r w:rsidRPr="002B7E6B">
        <w:rPr>
          <w:i/>
          <w:sz w:val="22"/>
          <w:szCs w:val="22"/>
        </w:rPr>
        <w:t>MESA</w:t>
      </w:r>
    </w:p>
    <w:p w14:paraId="389E51EC" w14:textId="77777777" w:rsidR="00DE3EE8" w:rsidRPr="002B7E6B" w:rsidRDefault="00DE3EE8" w:rsidP="00DE3EE8">
      <w:pPr>
        <w:spacing w:before="240" w:after="240"/>
        <w:rPr>
          <w:sz w:val="22"/>
          <w:szCs w:val="22"/>
        </w:rPr>
      </w:pPr>
      <w:r w:rsidRPr="002B7E6B">
        <w:rPr>
          <w:sz w:val="22"/>
          <w:szCs w:val="22"/>
        </w:rPr>
        <w:t>This newly funded project will collect data from untrawlable (UT) habitats using a lowered stereo-camera system (LSC) and integrate those data with existing bottom-trawl data and bathymetry maps to develop a model-based index of abundance for groundfish that includes UT habitat-specific information. Many groundfish stock assessments in the Gulf of Alaska depend on fishery-independent surveys conducted by the Groundfish Assessment Program (GAP) to provide reliable indices of abundance over time. This work will help to provide more accurate and precise indices to GOA stock assessments for select rockfish species, particularly for those species that rely on rocky habitat, tend to be longer-lived with low fecundity, and thus are particularly vulnerable to overfishing and unfavorable environmental conditions.</w:t>
      </w:r>
    </w:p>
    <w:p w14:paraId="2CB99477" w14:textId="77777777" w:rsidR="00DE3EE8" w:rsidRPr="002B7E6B" w:rsidRDefault="00DE3EE8" w:rsidP="00DE3EE8">
      <w:pPr>
        <w:spacing w:before="240" w:after="240"/>
        <w:rPr>
          <w:sz w:val="22"/>
          <w:szCs w:val="22"/>
        </w:rPr>
      </w:pPr>
      <w:r w:rsidRPr="002B7E6B">
        <w:rPr>
          <w:sz w:val="22"/>
          <w:szCs w:val="22"/>
        </w:rPr>
        <w:t>For further information, contact Cecilia O’Leary (cecilia.oleary@noaa.gov) or Kresimir Williams (kresimir.williams@noaa.gov).</w:t>
      </w:r>
    </w:p>
    <w:p w14:paraId="668168E1" w14:textId="77777777" w:rsidR="00DE3EE8" w:rsidRPr="002B7E6B" w:rsidRDefault="00DE3EE8" w:rsidP="00DE3EE8">
      <w:pPr>
        <w:rPr>
          <w:sz w:val="22"/>
          <w:szCs w:val="22"/>
        </w:rPr>
      </w:pPr>
    </w:p>
    <w:p w14:paraId="09657D2C" w14:textId="7321B4FD" w:rsidR="00017EC4" w:rsidRPr="005A25DF" w:rsidRDefault="00017EC4" w:rsidP="00DB463A">
      <w:pPr>
        <w:pStyle w:val="Heading5"/>
      </w:pPr>
      <w:bookmarkStart w:id="165" w:name="_Toc131503906"/>
      <w:r w:rsidRPr="00EA4261">
        <w:t>Nearshore bathymetric changes along the Alaska Beaufort Sea coast and</w:t>
      </w:r>
      <w:r>
        <w:t xml:space="preserve"> </w:t>
      </w:r>
      <w:r w:rsidRPr="00EA4261">
        <w:t>possible physical drivers</w:t>
      </w:r>
      <w:r w:rsidRPr="005A25DF">
        <w:t xml:space="preserve"> </w:t>
      </w:r>
      <w:r w:rsidR="0024271A">
        <w:rPr>
          <w:sz w:val="22"/>
          <w:szCs w:val="22"/>
        </w:rPr>
        <w:t>–</w:t>
      </w:r>
      <w:r w:rsidRPr="005A25DF">
        <w:t xml:space="preserve"> RACE</w:t>
      </w:r>
      <w:r w:rsidR="0024271A">
        <w:t>-</w:t>
      </w:r>
      <w:r w:rsidRPr="005A25DF">
        <w:t>GAP</w:t>
      </w:r>
      <w:bookmarkEnd w:id="165"/>
    </w:p>
    <w:p w14:paraId="157FABC5" w14:textId="77777777" w:rsidR="00017EC4" w:rsidRPr="00896B0B" w:rsidRDefault="00017EC4" w:rsidP="00017EC4">
      <w:pPr>
        <w:contextualSpacing/>
      </w:pPr>
    </w:p>
    <w:p w14:paraId="5DED738A" w14:textId="77777777" w:rsidR="00017EC4" w:rsidRPr="00DB463A" w:rsidRDefault="00017EC4" w:rsidP="00017EC4">
      <w:pPr>
        <w:contextualSpacing/>
        <w:rPr>
          <w:sz w:val="22"/>
          <w:szCs w:val="22"/>
        </w:rPr>
      </w:pPr>
      <w:r w:rsidRPr="00DB463A">
        <w:rPr>
          <w:sz w:val="22"/>
          <w:szCs w:val="22"/>
        </w:rPr>
        <w:t xml:space="preserve">Erosion rates along Alaska’s Beaufort Sea coast, among the highest in the world, are negatively </w:t>
      </w:r>
      <w:proofErr w:type="gramStart"/>
      <w:r w:rsidRPr="00DB463A">
        <w:rPr>
          <w:sz w:val="22"/>
          <w:szCs w:val="22"/>
        </w:rPr>
        <w:t>impacting</w:t>
      </w:r>
      <w:proofErr w:type="gramEnd"/>
      <w:r w:rsidRPr="00DB463A">
        <w:rPr>
          <w:sz w:val="22"/>
          <w:szCs w:val="22"/>
        </w:rPr>
        <w:t xml:space="preserve"> communities, industrial and military infrastructure, and wildlife habitat. Decreasing maximal winter ice extent and increasing summer open water duration and extent in the Beaufort Sea may be making the coast more vulnerable to destructive storm waves than during recent, colder, icier decades. Previous studies of Beaufort Sea coastal change have been limited to subaerial analyses of the shoreline. Here we describe nearshore seafloor change by comparing post-World War II (WWII) (1945-53) bathymetry data to recently acquired (1985–2018) bathymetry data and relate the observed seafloor change to adjacent shoreline change near Utqiagvik, within Stefansson Sound, and immediately west of Barter Island and Kaktovik. Within the Utqiagvik region, seabed erosion was generally highest (&gt;1.0 m of loss) offshore of Point Barrow and along the eastern end of the Tapkaluk Islands, while there were lesser amounts of deposition (&lt;0.5 m of gain) within the protected waters of Elson Lagoon. Sedimentation was generally highest offshore of Point Barrow, in a region of converging currents, and on the landward side of the barrier islands and spits fronting Elson Lagoon, which is likely related to a regional trend of westerly sediment transport and landward migration of the barrier islands. </w:t>
      </w:r>
      <w:proofErr w:type="gramStart"/>
      <w:r w:rsidRPr="00DB463A">
        <w:rPr>
          <w:sz w:val="22"/>
          <w:szCs w:val="22"/>
        </w:rPr>
        <w:t>Within Stefansson Sound, perhaps the most notable changes from post-WWII bathymetry data compared to recent data are a switch from mixed, low erosion and deposition in 1997 to low deposition (&lt;0.5 m) in 2018 east of the Boulder Patch, a switch from low erosion in 1997 to neutral depth change in 2018 in the channel between the north and south Boulder Patch areas, and higher deposition from 1997 to 2018 landward of the rapidly retreating barrier islands along the Sound’s northern border.</w:t>
      </w:r>
      <w:proofErr w:type="gramEnd"/>
      <w:r w:rsidRPr="00DB463A">
        <w:rPr>
          <w:sz w:val="22"/>
          <w:szCs w:val="22"/>
        </w:rPr>
        <w:t xml:space="preserve"> At Barter Island, high erosion near north-facing shorelines and high deposition near west-facing shorelines generally matched shoreline changes. One of our goals is to identify possible processes responsible for the depth changes we quantified. Using simple metrics that </w:t>
      </w:r>
      <w:r w:rsidRPr="00DB463A">
        <w:rPr>
          <w:sz w:val="22"/>
          <w:szCs w:val="22"/>
        </w:rPr>
        <w:lastRenderedPageBreak/>
        <w:t>relate sediment characteristics with modeled waves and non-wave induced currents, we show that sediment resuspension and transport by both wave and non-wave driven currents likely contribute to the overall patterns of change within the ~13 m isobath along the open coast, and that the influence of wave action affecting sediment transport is expanding seaward.</w:t>
      </w:r>
    </w:p>
    <w:p w14:paraId="79766034" w14:textId="77777777" w:rsidR="00017EC4" w:rsidRPr="00DB463A" w:rsidRDefault="00017EC4" w:rsidP="00017EC4">
      <w:pPr>
        <w:contextualSpacing/>
        <w:rPr>
          <w:sz w:val="22"/>
          <w:szCs w:val="22"/>
        </w:rPr>
      </w:pPr>
      <w:r w:rsidRPr="00DB463A">
        <w:rPr>
          <w:noProof/>
          <w:sz w:val="22"/>
          <w:szCs w:val="22"/>
        </w:rPr>
        <w:drawing>
          <wp:inline distT="0" distB="0" distL="0" distR="0" wp14:anchorId="231BFC86" wp14:editId="03B3719B">
            <wp:extent cx="5490556" cy="4242702"/>
            <wp:effectExtent l="19050" t="19050" r="15240" b="2476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6a.tif"/>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490556" cy="4242702"/>
                    </a:xfrm>
                    <a:prstGeom prst="rect">
                      <a:avLst/>
                    </a:prstGeom>
                    <a:ln w="12700">
                      <a:solidFill>
                        <a:schemeClr val="tx1"/>
                      </a:solidFill>
                    </a:ln>
                  </pic:spPr>
                </pic:pic>
              </a:graphicData>
            </a:graphic>
          </wp:inline>
        </w:drawing>
      </w:r>
    </w:p>
    <w:p w14:paraId="4D559A62" w14:textId="77777777" w:rsidR="00017EC4" w:rsidRPr="00DB463A" w:rsidRDefault="00017EC4" w:rsidP="00017EC4">
      <w:pPr>
        <w:contextualSpacing/>
        <w:rPr>
          <w:sz w:val="22"/>
          <w:szCs w:val="22"/>
        </w:rPr>
      </w:pPr>
    </w:p>
    <w:p w14:paraId="5CFA5D19" w14:textId="6C736890" w:rsidR="00017EC4" w:rsidRPr="00DB463A" w:rsidRDefault="00DB463A" w:rsidP="00017EC4">
      <w:pPr>
        <w:contextualSpacing/>
        <w:rPr>
          <w:sz w:val="22"/>
          <w:szCs w:val="22"/>
        </w:rPr>
      </w:pPr>
      <w:r w:rsidRPr="00DB463A">
        <w:rPr>
          <w:sz w:val="22"/>
          <w:szCs w:val="22"/>
        </w:rPr>
        <w:t xml:space="preserve">Figure </w:t>
      </w:r>
      <w:proofErr w:type="gramStart"/>
      <w:r w:rsidRPr="00DB463A">
        <w:rPr>
          <w:sz w:val="22"/>
          <w:szCs w:val="22"/>
        </w:rPr>
        <w:t>2</w:t>
      </w:r>
      <w:proofErr w:type="gramEnd"/>
      <w:r w:rsidRPr="00DB463A">
        <w:rPr>
          <w:sz w:val="22"/>
          <w:szCs w:val="22"/>
        </w:rPr>
        <w:t xml:space="preserve"> (example figure)</w:t>
      </w:r>
      <w:r w:rsidR="00017EC4" w:rsidRPr="00DB463A">
        <w:rPr>
          <w:sz w:val="22"/>
          <w:szCs w:val="22"/>
        </w:rPr>
        <w:t xml:space="preserve">. Depth differences between post-World War II (1945-53) and recent (2012-15) hydrographic surveys in the Utqiagvik region. Warm colors (yellow to red) indicate erosion, whereas cool colors (teal to blue) indicate deposition. Bathymetric contours </w:t>
      </w:r>
      <w:proofErr w:type="gramStart"/>
      <w:r w:rsidR="00017EC4" w:rsidRPr="00DB463A">
        <w:rPr>
          <w:sz w:val="22"/>
          <w:szCs w:val="22"/>
        </w:rPr>
        <w:t>were generated</w:t>
      </w:r>
      <w:proofErr w:type="gramEnd"/>
      <w:r w:rsidR="00017EC4" w:rsidRPr="00DB463A">
        <w:rPr>
          <w:sz w:val="22"/>
          <w:szCs w:val="22"/>
        </w:rPr>
        <w:t xml:space="preserve"> from post-World War II era NOS smooth sheet bathymetry raster, shoreline change is from Gibbs and Richmond (2017), and the land is from IFSAR (Interferometric Synthetic Aperture Radar:  https://elevation.alaska.gov/).</w:t>
      </w:r>
    </w:p>
    <w:p w14:paraId="308CB217" w14:textId="77777777" w:rsidR="00017EC4" w:rsidRPr="00DB463A" w:rsidRDefault="00017EC4" w:rsidP="00017EC4">
      <w:pPr>
        <w:contextualSpacing/>
        <w:rPr>
          <w:sz w:val="22"/>
          <w:szCs w:val="22"/>
        </w:rPr>
      </w:pPr>
    </w:p>
    <w:p w14:paraId="2098DB26" w14:textId="327FD9E1" w:rsidR="00017EC4" w:rsidRPr="00DB463A" w:rsidRDefault="00017EC4" w:rsidP="00DB463A">
      <w:pPr>
        <w:ind w:left="720" w:hanging="720"/>
        <w:rPr>
          <w:sz w:val="22"/>
          <w:szCs w:val="22"/>
        </w:rPr>
      </w:pPr>
      <w:r w:rsidRPr="00DB463A">
        <w:rPr>
          <w:sz w:val="22"/>
          <w:szCs w:val="22"/>
        </w:rPr>
        <w:t xml:space="preserve">Zimmermann, M., Erikson, L.H., Gibbs, A.E., Prescott, M.M., Escarzaga, S.M., Tweedie, C.E., Kasper, J.L., and Duvoy, P.X. 2022. Nearshore bathymetric changes along the Alaska Beaufort Sea coast and possible physical drivers. Cont. Shelf Res., 242, p.104745. </w:t>
      </w:r>
      <w:hyperlink r:id="rId88" w:history="1">
        <w:r w:rsidR="00DB463A" w:rsidRPr="00DB463A">
          <w:rPr>
            <w:rStyle w:val="Hyperlink"/>
            <w:sz w:val="22"/>
            <w:szCs w:val="22"/>
          </w:rPr>
          <w:t>https://doi.org/10.1016/j.csr.2022.104745</w:t>
        </w:r>
      </w:hyperlink>
    </w:p>
    <w:p w14:paraId="1B84D619" w14:textId="77777777" w:rsidR="00DB463A" w:rsidRPr="00DB463A" w:rsidRDefault="00DB463A" w:rsidP="00017EC4">
      <w:pPr>
        <w:rPr>
          <w:sz w:val="22"/>
          <w:szCs w:val="22"/>
        </w:rPr>
      </w:pPr>
    </w:p>
    <w:p w14:paraId="72988EBF" w14:textId="486C9249" w:rsidR="00DB463A" w:rsidRDefault="00DB463A" w:rsidP="00DB463A">
      <w:pPr>
        <w:contextualSpacing/>
        <w:rPr>
          <w:rStyle w:val="Hyperlink"/>
          <w:sz w:val="22"/>
          <w:szCs w:val="22"/>
        </w:rPr>
      </w:pPr>
      <w:r w:rsidRPr="00DB463A">
        <w:rPr>
          <w:sz w:val="22"/>
          <w:szCs w:val="22"/>
        </w:rPr>
        <w:t xml:space="preserve">For further information, contact </w:t>
      </w:r>
      <w:hyperlink r:id="rId89" w:history="1">
        <w:r w:rsidRPr="00DB463A">
          <w:rPr>
            <w:rStyle w:val="Hyperlink"/>
            <w:sz w:val="22"/>
            <w:szCs w:val="22"/>
          </w:rPr>
          <w:t>Mark.Zimmermann@noaa.gov</w:t>
        </w:r>
      </w:hyperlink>
    </w:p>
    <w:p w14:paraId="0834CC7F" w14:textId="77777777" w:rsidR="00102E51" w:rsidRPr="00DB463A" w:rsidRDefault="00102E51" w:rsidP="00DB463A">
      <w:pPr>
        <w:contextualSpacing/>
        <w:rPr>
          <w:rStyle w:val="Hyperlink"/>
          <w:sz w:val="22"/>
          <w:szCs w:val="22"/>
        </w:rPr>
      </w:pPr>
    </w:p>
    <w:p w14:paraId="2D01BB28" w14:textId="38DE38C4" w:rsidR="00DE3EE8" w:rsidRPr="002B7E6B" w:rsidRDefault="00DE3EE8" w:rsidP="00102E51">
      <w:pPr>
        <w:pStyle w:val="Heading5"/>
      </w:pPr>
      <w:bookmarkStart w:id="166" w:name="_Toc131503907"/>
      <w:r w:rsidRPr="002B7E6B">
        <w:t>Accounting for trophic relationships in Essential Fish Habitat designations</w:t>
      </w:r>
      <w:r w:rsidR="00102E51">
        <w:t xml:space="preserve"> – RACE</w:t>
      </w:r>
      <w:r w:rsidR="00B05625">
        <w:t>/</w:t>
      </w:r>
      <w:r w:rsidR="00102E51" w:rsidRPr="002B7E6B">
        <w:rPr>
          <w:color w:val="222222"/>
          <w:sz w:val="22"/>
          <w:szCs w:val="22"/>
        </w:rPr>
        <w:t>CICOES</w:t>
      </w:r>
      <w:r w:rsidR="00B05625">
        <w:rPr>
          <w:color w:val="222222"/>
          <w:sz w:val="22"/>
          <w:szCs w:val="22"/>
        </w:rPr>
        <w:t>/</w:t>
      </w:r>
      <w:r w:rsidR="00102E51" w:rsidRPr="002B7E6B">
        <w:rPr>
          <w:color w:val="222222"/>
          <w:sz w:val="22"/>
          <w:szCs w:val="22"/>
        </w:rPr>
        <w:t>ABL</w:t>
      </w:r>
      <w:r w:rsidR="00B05625">
        <w:rPr>
          <w:color w:val="222222"/>
          <w:sz w:val="22"/>
          <w:szCs w:val="22"/>
        </w:rPr>
        <w:t>/</w:t>
      </w:r>
      <w:r w:rsidR="00102E51">
        <w:rPr>
          <w:color w:val="222222"/>
          <w:sz w:val="22"/>
          <w:szCs w:val="22"/>
        </w:rPr>
        <w:t>EMA</w:t>
      </w:r>
      <w:r w:rsidR="00B05625">
        <w:rPr>
          <w:color w:val="222222"/>
          <w:sz w:val="22"/>
          <w:szCs w:val="22"/>
        </w:rPr>
        <w:t>/</w:t>
      </w:r>
      <w:r w:rsidR="00102E51" w:rsidRPr="002B7E6B">
        <w:rPr>
          <w:color w:val="222222"/>
          <w:sz w:val="22"/>
          <w:szCs w:val="22"/>
        </w:rPr>
        <w:t>EcoFOCI</w:t>
      </w:r>
      <w:r w:rsidR="00B05625">
        <w:rPr>
          <w:color w:val="222222"/>
          <w:sz w:val="22"/>
          <w:szCs w:val="22"/>
        </w:rPr>
        <w:t>/</w:t>
      </w:r>
      <w:r w:rsidR="00102E51" w:rsidRPr="002B7E6B">
        <w:rPr>
          <w:color w:val="222222"/>
          <w:sz w:val="22"/>
          <w:szCs w:val="22"/>
        </w:rPr>
        <w:t>AKRO</w:t>
      </w:r>
      <w:bookmarkEnd w:id="166"/>
    </w:p>
    <w:p w14:paraId="3675C5DF" w14:textId="0B5BFD82" w:rsidR="00DE3EE8" w:rsidRPr="002B7E6B" w:rsidRDefault="00DE3EE8" w:rsidP="00DE3EE8">
      <w:pPr>
        <w:spacing w:before="240" w:after="240"/>
        <w:rPr>
          <w:color w:val="222222"/>
          <w:sz w:val="22"/>
          <w:szCs w:val="22"/>
        </w:rPr>
      </w:pPr>
      <w:r w:rsidRPr="002B7E6B">
        <w:rPr>
          <w:sz w:val="22"/>
          <w:szCs w:val="22"/>
        </w:rPr>
        <w:t xml:space="preserve">This </w:t>
      </w:r>
      <w:r w:rsidR="00102E51">
        <w:rPr>
          <w:sz w:val="22"/>
          <w:szCs w:val="22"/>
        </w:rPr>
        <w:t>project</w:t>
      </w:r>
      <w:r w:rsidRPr="002B7E6B">
        <w:rPr>
          <w:sz w:val="22"/>
          <w:szCs w:val="22"/>
        </w:rPr>
        <w:t xml:space="preserve"> will seek to characterize the relationship between satellite chlorophyll a (chl-</w:t>
      </w:r>
      <w:r w:rsidRPr="002B7E6B">
        <w:rPr>
          <w:i/>
          <w:sz w:val="22"/>
          <w:szCs w:val="22"/>
        </w:rPr>
        <w:t>a</w:t>
      </w:r>
      <w:r w:rsidRPr="002B7E6B">
        <w:rPr>
          <w:sz w:val="22"/>
          <w:szCs w:val="22"/>
        </w:rPr>
        <w:t xml:space="preserve">), zooplankton, and forage fish density. We will accomplish this objective by answering 1) Do dynamic environmental conditions, such as temperature, phytoplankton concentrations, and zooplankton abundances influence the </w:t>
      </w:r>
      <w:r w:rsidRPr="002B7E6B">
        <w:rPr>
          <w:sz w:val="22"/>
          <w:szCs w:val="22"/>
        </w:rPr>
        <w:lastRenderedPageBreak/>
        <w:t>abundance and distribution of forage fish? 2) Is there spatial overlap between chl-a hotspots and forage fish hotspots? The proposed project directly addresses the Alaska Essential Fish Habitat (EFH) Research Plan’s Core EFH Research Priority 1: to characterize habitat utilization and productivity, increase the level of information available to describe and identify EFH; and Research Priority 2: apply information from EFH studies at regional scales. The outcomes from this study are intended to advance EFH for forage fish and invertebrate prey species including capelin [</w:t>
      </w:r>
      <w:r w:rsidRPr="002B7E6B">
        <w:rPr>
          <w:i/>
          <w:sz w:val="22"/>
          <w:szCs w:val="22"/>
        </w:rPr>
        <w:t>Mallotus villosus</w:t>
      </w:r>
      <w:r w:rsidRPr="002B7E6B">
        <w:rPr>
          <w:sz w:val="22"/>
          <w:szCs w:val="22"/>
        </w:rPr>
        <w:t>], herring [</w:t>
      </w:r>
      <w:r w:rsidRPr="002B7E6B">
        <w:rPr>
          <w:i/>
          <w:sz w:val="22"/>
          <w:szCs w:val="22"/>
        </w:rPr>
        <w:t>Clupea pallasii</w:t>
      </w:r>
      <w:r w:rsidRPr="002B7E6B">
        <w:rPr>
          <w:sz w:val="22"/>
          <w:szCs w:val="22"/>
        </w:rPr>
        <w:t>], age-0 walleye pollock [</w:t>
      </w:r>
      <w:r w:rsidRPr="002B7E6B">
        <w:rPr>
          <w:i/>
          <w:sz w:val="22"/>
          <w:szCs w:val="22"/>
        </w:rPr>
        <w:t>Gadus chalcogrammus</w:t>
      </w:r>
      <w:r w:rsidRPr="002B7E6B">
        <w:rPr>
          <w:sz w:val="22"/>
          <w:szCs w:val="22"/>
        </w:rPr>
        <w:t xml:space="preserve">], and large copepods. </w:t>
      </w:r>
      <w:r w:rsidRPr="002B7E6B">
        <w:rPr>
          <w:color w:val="222222"/>
          <w:sz w:val="22"/>
          <w:szCs w:val="22"/>
        </w:rPr>
        <w:t xml:space="preserve">If possible based on model performance, more spatially and temporally explicit zooplankton biomass estimates from ROMS-NPZ </w:t>
      </w:r>
      <w:proofErr w:type="gramStart"/>
      <w:r w:rsidRPr="002B7E6B">
        <w:rPr>
          <w:color w:val="222222"/>
          <w:sz w:val="22"/>
          <w:szCs w:val="22"/>
        </w:rPr>
        <w:t>may be incorporated</w:t>
      </w:r>
      <w:proofErr w:type="gramEnd"/>
      <w:r w:rsidRPr="002B7E6B">
        <w:rPr>
          <w:color w:val="222222"/>
          <w:sz w:val="22"/>
          <w:szCs w:val="22"/>
        </w:rPr>
        <w:t xml:space="preserve"> into EFH models. </w:t>
      </w:r>
      <w:r w:rsidR="00102E51">
        <w:t xml:space="preserve">This project has developed SDMs for three species of prey fish from BASIS survey data; next steps will include an analysis of overlap between hot spots of chlorophyll, zooplankton, and prey fish, to identify months where chlorophyll concentrations most strongly influence the late summer distributions of higher trophic levels. </w:t>
      </w:r>
      <w:r w:rsidRPr="002B7E6B">
        <w:rPr>
          <w:sz w:val="22"/>
          <w:szCs w:val="22"/>
        </w:rPr>
        <w:t>Our work will</w:t>
      </w:r>
      <w:r w:rsidRPr="002B7E6B">
        <w:rPr>
          <w:color w:val="222222"/>
          <w:sz w:val="22"/>
          <w:szCs w:val="22"/>
        </w:rPr>
        <w:t xml:space="preserve"> develop methodology for describing prey habitat and incorporating dynamic environmental covariates in species distribution models. This project involves co-PIs from CICOES, ABL, and EMA and collaborators from EcoFOCI and AKRO.</w:t>
      </w:r>
    </w:p>
    <w:p w14:paraId="5F34DBC5" w14:textId="77777777" w:rsidR="00DE3EE8" w:rsidRPr="002B7E6B" w:rsidRDefault="00DE3EE8" w:rsidP="00DE3EE8">
      <w:pPr>
        <w:spacing w:before="240" w:after="240"/>
        <w:rPr>
          <w:sz w:val="22"/>
          <w:szCs w:val="22"/>
        </w:rPr>
      </w:pPr>
      <w:r w:rsidRPr="002B7E6B">
        <w:rPr>
          <w:sz w:val="22"/>
          <w:szCs w:val="22"/>
        </w:rPr>
        <w:t>For more about this project, contact Margaret Siple (</w:t>
      </w:r>
      <w:proofErr w:type="gramStart"/>
      <w:r w:rsidRPr="002B7E6B">
        <w:rPr>
          <w:sz w:val="22"/>
          <w:szCs w:val="22"/>
        </w:rPr>
        <w:t>margaret.siple@noaa.gov ;</w:t>
      </w:r>
      <w:proofErr w:type="gramEnd"/>
      <w:r w:rsidRPr="002B7E6B">
        <w:rPr>
          <w:sz w:val="22"/>
          <w:szCs w:val="22"/>
        </w:rPr>
        <w:t xml:space="preserve"> RACE) or Jens Nielsen (jens.nielsen@noaa.gov ; CICOES).</w:t>
      </w:r>
    </w:p>
    <w:p w14:paraId="09DFF3A7" w14:textId="66343FA0" w:rsidR="00DE3EE8" w:rsidRPr="002B7E6B" w:rsidRDefault="00DE3EE8" w:rsidP="00DE3EE8">
      <w:pPr>
        <w:spacing w:before="240" w:after="240"/>
        <w:rPr>
          <w:sz w:val="22"/>
          <w:szCs w:val="22"/>
          <w:highlight w:val="yellow"/>
        </w:rPr>
      </w:pPr>
    </w:p>
    <w:p w14:paraId="6F931466" w14:textId="4D38A9B5" w:rsidR="00DE3EE8" w:rsidRPr="002B7E6B" w:rsidRDefault="00DE3EE8" w:rsidP="00DE3EE8">
      <w:pPr>
        <w:spacing w:before="240" w:after="240"/>
        <w:rPr>
          <w:i/>
          <w:sz w:val="22"/>
          <w:szCs w:val="22"/>
        </w:rPr>
      </w:pPr>
      <w:r w:rsidRPr="002B7E6B">
        <w:rPr>
          <w:i/>
          <w:sz w:val="22"/>
          <w:szCs w:val="22"/>
        </w:rPr>
        <w:t>Advancing Essential Fish Habitat (EFH) Species Distribution Modeling (SDM) Descriptions and Methods for North Pacific Fisher</w:t>
      </w:r>
      <w:r w:rsidR="00B05625">
        <w:rPr>
          <w:i/>
          <w:sz w:val="22"/>
          <w:szCs w:val="22"/>
        </w:rPr>
        <w:t>y Management Plan (FMP) Species</w:t>
      </w:r>
      <w:r w:rsidR="00B05625" w:rsidRPr="002B7E6B">
        <w:rPr>
          <w:i/>
          <w:sz w:val="22"/>
          <w:szCs w:val="22"/>
        </w:rPr>
        <w:t xml:space="preserve"> – </w:t>
      </w:r>
      <w:r w:rsidR="00B05625">
        <w:rPr>
          <w:i/>
          <w:sz w:val="22"/>
          <w:szCs w:val="22"/>
        </w:rPr>
        <w:t>RACE-</w:t>
      </w:r>
      <w:r w:rsidRPr="002B7E6B">
        <w:rPr>
          <w:i/>
          <w:sz w:val="22"/>
          <w:szCs w:val="22"/>
        </w:rPr>
        <w:t>GAP</w:t>
      </w:r>
      <w:r w:rsidR="00B05625">
        <w:rPr>
          <w:i/>
          <w:sz w:val="22"/>
          <w:szCs w:val="22"/>
        </w:rPr>
        <w:t>/</w:t>
      </w:r>
      <w:r w:rsidRPr="002B7E6B">
        <w:rPr>
          <w:i/>
          <w:sz w:val="22"/>
          <w:szCs w:val="22"/>
        </w:rPr>
        <w:t>AKR</w:t>
      </w:r>
    </w:p>
    <w:p w14:paraId="788278E0" w14:textId="77777777" w:rsidR="00DE3EE8" w:rsidRPr="002B7E6B" w:rsidRDefault="00DE3EE8" w:rsidP="00DE3EE8">
      <w:pPr>
        <w:spacing w:before="240" w:after="240"/>
        <w:rPr>
          <w:sz w:val="22"/>
          <w:szCs w:val="22"/>
        </w:rPr>
      </w:pPr>
      <w:r w:rsidRPr="002B7E6B">
        <w:rPr>
          <w:sz w:val="22"/>
          <w:szCs w:val="22"/>
        </w:rPr>
        <w:t>Councils and NMFS are required to review the essential fish habitat (EFH) components of Fishery Management Plans (FMPs) and revise or amend these components based on available information at least every five years (</w:t>
      </w:r>
      <w:hyperlink r:id="rId90">
        <w:r w:rsidRPr="002B7E6B">
          <w:rPr>
            <w:color w:val="0033CC"/>
            <w:sz w:val="22"/>
            <w:szCs w:val="22"/>
            <w:u w:val="single"/>
          </w:rPr>
          <w:t>50 CFR 600.815(a)(10)</w:t>
        </w:r>
      </w:hyperlink>
      <w:r w:rsidRPr="002B7E6B">
        <w:rPr>
          <w:sz w:val="22"/>
          <w:szCs w:val="22"/>
        </w:rPr>
        <w:t xml:space="preserve">) in an EFH 5-year Review. This study demonstrates advances in EFH component 1 descriptions and identification (maps) based on refinements to the habitat-based species distribution modeling (SDM) approach to mapping EFH that </w:t>
      </w:r>
      <w:proofErr w:type="gramStart"/>
      <w:r w:rsidRPr="002B7E6B">
        <w:rPr>
          <w:sz w:val="22"/>
          <w:szCs w:val="22"/>
        </w:rPr>
        <w:t>was established</w:t>
      </w:r>
      <w:proofErr w:type="gramEnd"/>
      <w:r w:rsidRPr="002B7E6B">
        <w:rPr>
          <w:sz w:val="22"/>
          <w:szCs w:val="22"/>
        </w:rPr>
        <w:t xml:space="preserve"> in the 2017 EFH 5-year Review. All of the SDM ensembles constructed for FMP species in three regions in Alaska (GOA, AI, and the Bering Sea) in this present work describe and map EFH Level 2 (habitat related abundance), meeting a key objective of the EFH Research Plan for Alaska. For early juvenile life stages in the GOA, SDMs describe and map EFH Level 1 (distribution) for the first time. Another objective of the Research Plan </w:t>
      </w:r>
      <w:proofErr w:type="gramStart"/>
      <w:r w:rsidRPr="002B7E6B">
        <w:rPr>
          <w:sz w:val="22"/>
          <w:szCs w:val="22"/>
        </w:rPr>
        <w:t>was met</w:t>
      </w:r>
      <w:proofErr w:type="gramEnd"/>
      <w:r w:rsidRPr="002B7E6B">
        <w:rPr>
          <w:sz w:val="22"/>
          <w:szCs w:val="22"/>
        </w:rPr>
        <w:t xml:space="preserve"> by introducing maps for a subset of species with EFH Level 3 information (habitat related vital rates) for the first time. In this study, 229 new or revised EFH descriptions and maps </w:t>
      </w:r>
      <w:proofErr w:type="gramStart"/>
      <w:r w:rsidRPr="002B7E6B">
        <w:rPr>
          <w:sz w:val="22"/>
          <w:szCs w:val="22"/>
        </w:rPr>
        <w:t>were generated</w:t>
      </w:r>
      <w:proofErr w:type="gramEnd"/>
      <w:r w:rsidRPr="002B7E6B">
        <w:rPr>
          <w:sz w:val="22"/>
          <w:szCs w:val="22"/>
        </w:rPr>
        <w:t xml:space="preserve"> for 211 species’ life stages and 10 stock complexes available across all regions. For the majority of stocks and life stages, 2022 ensemble performance demonstrated clear improvements over the 2017 SDMs. The maps and descriptions here present the best available science to form a basis for assessing anthropogenic impacts to habitats in Alaska and are extensible to other fishery and ecosystem management information needs. This process revealed some recommendations for the next EFH review cycle, including a goal to develop methods for combining disparate data sources to expand spatial and seasonal coverage</w:t>
      </w:r>
      <w:proofErr w:type="gramStart"/>
      <w:r w:rsidRPr="002B7E6B">
        <w:rPr>
          <w:sz w:val="22"/>
          <w:szCs w:val="22"/>
        </w:rPr>
        <w:t>;</w:t>
      </w:r>
      <w:proofErr w:type="gramEnd"/>
      <w:r w:rsidRPr="002B7E6B">
        <w:rPr>
          <w:sz w:val="22"/>
          <w:szCs w:val="22"/>
        </w:rPr>
        <w:t xml:space="preserve"> and the goal of increasing the scope of EFH research to address rapidly changing environmental conditions in the region. These tech memos contain methodological advancements in species distribution modeling, leading to better species coverage and more robust habitat maps in the 2022 Five Year-Review. In order to make these transparent and available to other scientists and to ensure continuity in the methodology used for EFH, members of the analytical team produced a publicly available R package.</w:t>
      </w:r>
    </w:p>
    <w:p w14:paraId="406411E6" w14:textId="2B03C994" w:rsidR="00DE3EE8" w:rsidRPr="002B7E6B" w:rsidRDefault="00DE3EE8" w:rsidP="00DE3EE8">
      <w:pPr>
        <w:spacing w:before="240" w:after="240"/>
        <w:rPr>
          <w:sz w:val="22"/>
          <w:szCs w:val="22"/>
          <w:highlight w:val="yellow"/>
        </w:rPr>
      </w:pPr>
      <w:r w:rsidRPr="002B7E6B">
        <w:rPr>
          <w:sz w:val="22"/>
          <w:szCs w:val="22"/>
        </w:rPr>
        <w:t>For more about this project, contact Margaret Siple (margaret.siple@noaa.gov) or Jodi Pirtle (Jodi.pirtle@noaa.gov).</w:t>
      </w:r>
    </w:p>
    <w:p w14:paraId="32F30D6B" w14:textId="645BA2FC" w:rsidR="00102E51" w:rsidRDefault="00102E51" w:rsidP="00102E51">
      <w:pPr>
        <w:pStyle w:val="Heading5"/>
      </w:pPr>
      <w:bookmarkStart w:id="167" w:name="_Toc131503908"/>
      <w:r>
        <w:t>Groundfish Assessment Program Systematics Lab – RACE</w:t>
      </w:r>
      <w:r w:rsidR="00B05625">
        <w:t>-GAP</w:t>
      </w:r>
      <w:bookmarkEnd w:id="167"/>
    </w:p>
    <w:p w14:paraId="0C2D4A1E" w14:textId="77777777" w:rsidR="00102E51" w:rsidRDefault="00102E51" w:rsidP="00102E51">
      <w:pPr>
        <w:rPr>
          <w:sz w:val="22"/>
          <w:szCs w:val="22"/>
        </w:rPr>
      </w:pPr>
    </w:p>
    <w:p w14:paraId="4E46EA8C" w14:textId="66AA6BB6" w:rsidR="00102E51" w:rsidRPr="00102E51" w:rsidRDefault="00102E51" w:rsidP="00102E51">
      <w:pPr>
        <w:rPr>
          <w:sz w:val="22"/>
          <w:szCs w:val="22"/>
        </w:rPr>
      </w:pPr>
      <w:r w:rsidRPr="00102E51">
        <w:rPr>
          <w:sz w:val="22"/>
          <w:szCs w:val="22"/>
        </w:rPr>
        <w:t xml:space="preserve">Several projects on the systematics of fishes of the North Pacific </w:t>
      </w:r>
      <w:proofErr w:type="gramStart"/>
      <w:r w:rsidRPr="00102E51">
        <w:rPr>
          <w:sz w:val="22"/>
          <w:szCs w:val="22"/>
        </w:rPr>
        <w:t>have been completed</w:t>
      </w:r>
      <w:proofErr w:type="gramEnd"/>
      <w:r w:rsidRPr="00102E51">
        <w:rPr>
          <w:sz w:val="22"/>
          <w:szCs w:val="22"/>
        </w:rPr>
        <w:t xml:space="preserve"> or were underway during 2023. Friedman recently published work in collaboration with other AFSC scientists on using phylogenetic trait imputation and </w:t>
      </w:r>
      <w:proofErr w:type="gramStart"/>
      <w:r w:rsidRPr="00102E51">
        <w:rPr>
          <w:sz w:val="22"/>
          <w:szCs w:val="22"/>
        </w:rPr>
        <w:t>spatially-varying</w:t>
      </w:r>
      <w:proofErr w:type="gramEnd"/>
      <w:r w:rsidRPr="00102E51">
        <w:rPr>
          <w:sz w:val="22"/>
          <w:szCs w:val="22"/>
        </w:rPr>
        <w:t xml:space="preserve"> parameters to improve modeling performance. In collaboration with researchers at the University of Texas at Austin, Friedman and Buser are finishing </w:t>
      </w:r>
      <w:proofErr w:type="gramStart"/>
      <w:r w:rsidRPr="00102E51">
        <w:rPr>
          <w:sz w:val="22"/>
          <w:szCs w:val="22"/>
        </w:rPr>
        <w:t>up work</w:t>
      </w:r>
      <w:proofErr w:type="gramEnd"/>
      <w:r w:rsidRPr="00102E51">
        <w:rPr>
          <w:sz w:val="22"/>
          <w:szCs w:val="22"/>
        </w:rPr>
        <w:t xml:space="preserve"> on a long-standing project examining the morphological diversity of cryptobenthic fishes across biogeographic regions. As part of another collaboration, Friedman is also continuing to advise UC Irvine graduate student Ayomikun Akinrinade, who is studying the evolution of viviparity with latitude across scorpaeniform fishes. Buser published a description of the function and evolutionary history of preopercular spines in intertidal sculpins of the North-East Pacific with collaborators at the University of Washington (UW) and Oregon State University (OSU). Buser has an ongoing collaboration on the systematics of poachers with researchers at UW and University of Kentucky, as well as a large study of the morphology and evolutionary history of the skull in sculpins and their allies with collaborators at UW, OSU, Rice University, University of Alabama, and CSU Los Angeles.</w:t>
      </w:r>
    </w:p>
    <w:p w14:paraId="11A0D1E8" w14:textId="77777777" w:rsidR="00102E51" w:rsidRPr="00102E51" w:rsidRDefault="00102E51" w:rsidP="00102E51">
      <w:pPr>
        <w:rPr>
          <w:sz w:val="22"/>
          <w:szCs w:val="22"/>
        </w:rPr>
      </w:pPr>
    </w:p>
    <w:p w14:paraId="61A16AF9" w14:textId="77777777" w:rsidR="00102E51" w:rsidRPr="00102E51" w:rsidRDefault="00102E51" w:rsidP="00102E51">
      <w:pPr>
        <w:rPr>
          <w:sz w:val="22"/>
          <w:szCs w:val="22"/>
        </w:rPr>
      </w:pPr>
      <w:r w:rsidRPr="00102E51">
        <w:rPr>
          <w:sz w:val="22"/>
          <w:szCs w:val="22"/>
        </w:rPr>
        <w:t xml:space="preserve">As part of an international collaboration, Friedman recently received a grant to build a global database of fish functional traits to examine the ecological, physiological, and evolutionary consequences of morphological variation. This research will be crucial in our ability to quantify, predict, and preserve marine ecosystems both in Alaska and globally. In the future, Friedman will also be examining morphological variation related to recently </w:t>
      </w:r>
      <w:proofErr w:type="gramStart"/>
      <w:r w:rsidRPr="00102E51">
        <w:rPr>
          <w:sz w:val="22"/>
          <w:szCs w:val="22"/>
        </w:rPr>
        <w:t>revealed</w:t>
      </w:r>
      <w:proofErr w:type="gramEnd"/>
      <w:r w:rsidRPr="00102E51">
        <w:rPr>
          <w:sz w:val="22"/>
          <w:szCs w:val="22"/>
        </w:rPr>
        <w:t xml:space="preserve"> genetic heterogeneity in Pacific Ocean Perch (Sebastes alutus) in collaboration with AFSC geneticists. Lastly, Friedman is working with GAP scientists on a </w:t>
      </w:r>
      <w:proofErr w:type="gramStart"/>
      <w:r w:rsidRPr="00102E51">
        <w:rPr>
          <w:sz w:val="22"/>
          <w:szCs w:val="22"/>
        </w:rPr>
        <w:t>trawl confidence tech memo</w:t>
      </w:r>
      <w:proofErr w:type="gramEnd"/>
      <w:r w:rsidRPr="00102E51">
        <w:rPr>
          <w:sz w:val="22"/>
          <w:szCs w:val="22"/>
        </w:rPr>
        <w:t>, which will incorporate systematic and functional information on Alaskan fishes to assess the reliability of species-specific survey metrics</w:t>
      </w:r>
    </w:p>
    <w:p w14:paraId="0891CD6B" w14:textId="77777777" w:rsidR="00102E51" w:rsidRPr="00102E51" w:rsidRDefault="00102E51" w:rsidP="00102E51">
      <w:pPr>
        <w:rPr>
          <w:sz w:val="22"/>
          <w:szCs w:val="22"/>
        </w:rPr>
      </w:pPr>
    </w:p>
    <w:p w14:paraId="5C82381E" w14:textId="77777777" w:rsidR="00102E51" w:rsidRPr="00102E51" w:rsidRDefault="00102E51" w:rsidP="00102E51">
      <w:pPr>
        <w:rPr>
          <w:sz w:val="22"/>
          <w:szCs w:val="22"/>
        </w:rPr>
      </w:pPr>
      <w:r w:rsidRPr="00102E51">
        <w:rPr>
          <w:sz w:val="22"/>
          <w:szCs w:val="22"/>
        </w:rPr>
        <w:t xml:space="preserve">In 2023, Friedman and Buser thoroughly revised and automated the taxonomic database at AFSC to align with international standards set by ITIS and WORMS databases, which </w:t>
      </w:r>
      <w:proofErr w:type="gramStart"/>
      <w:r w:rsidRPr="00102E51">
        <w:rPr>
          <w:sz w:val="22"/>
          <w:szCs w:val="22"/>
        </w:rPr>
        <w:t>are already used</w:t>
      </w:r>
      <w:proofErr w:type="gramEnd"/>
      <w:r w:rsidRPr="00102E51">
        <w:rPr>
          <w:sz w:val="22"/>
          <w:szCs w:val="22"/>
        </w:rPr>
        <w:t xml:space="preserve"> by other NOAA centers around the country. Friedman and Buser have also begun efforts </w:t>
      </w:r>
      <w:proofErr w:type="gramStart"/>
      <w:r w:rsidRPr="00102E51">
        <w:rPr>
          <w:sz w:val="22"/>
          <w:szCs w:val="22"/>
        </w:rPr>
        <w:t>to completely revamp</w:t>
      </w:r>
      <w:proofErr w:type="gramEnd"/>
      <w:r w:rsidRPr="00102E51">
        <w:rPr>
          <w:sz w:val="22"/>
          <w:szCs w:val="22"/>
        </w:rPr>
        <w:t xml:space="preserve"> the field guides for fishes and invertebrates. Major updates will include taxonomy, distribution, and identification. The layout of the guides </w:t>
      </w:r>
      <w:proofErr w:type="gramStart"/>
      <w:r w:rsidRPr="00102E51">
        <w:rPr>
          <w:sz w:val="22"/>
          <w:szCs w:val="22"/>
        </w:rPr>
        <w:t>is also being revised</w:t>
      </w:r>
      <w:proofErr w:type="gramEnd"/>
      <w:r w:rsidRPr="00102E51">
        <w:rPr>
          <w:sz w:val="22"/>
          <w:szCs w:val="22"/>
        </w:rPr>
        <w:t xml:space="preserve"> in collaboration with AFSC Visualization Specialist Rebecca White.</w:t>
      </w:r>
    </w:p>
    <w:p w14:paraId="140772B6" w14:textId="77777777" w:rsidR="00102E51" w:rsidRPr="00102E51" w:rsidRDefault="00102E51" w:rsidP="00102E51">
      <w:pPr>
        <w:rPr>
          <w:sz w:val="22"/>
          <w:szCs w:val="22"/>
        </w:rPr>
      </w:pPr>
    </w:p>
    <w:p w14:paraId="7CC865D6" w14:textId="31095F39" w:rsidR="00102E51" w:rsidRDefault="00102E51" w:rsidP="00102E51">
      <w:pPr>
        <w:rPr>
          <w:sz w:val="22"/>
          <w:szCs w:val="22"/>
        </w:rPr>
      </w:pPr>
      <w:r w:rsidRPr="00102E51">
        <w:rPr>
          <w:sz w:val="22"/>
          <w:szCs w:val="22"/>
        </w:rPr>
        <w:t>Publications</w:t>
      </w:r>
    </w:p>
    <w:p w14:paraId="4F96D0B1" w14:textId="77777777" w:rsidR="00102E51" w:rsidRPr="00102E51" w:rsidRDefault="00102E51" w:rsidP="00102E51">
      <w:pPr>
        <w:rPr>
          <w:sz w:val="22"/>
          <w:szCs w:val="22"/>
        </w:rPr>
      </w:pPr>
    </w:p>
    <w:p w14:paraId="2EF7CC03" w14:textId="5232A69F" w:rsidR="00102E51" w:rsidRDefault="00102E51" w:rsidP="00102E51">
      <w:pPr>
        <w:ind w:left="720" w:hanging="720"/>
        <w:rPr>
          <w:sz w:val="22"/>
          <w:szCs w:val="22"/>
        </w:rPr>
      </w:pPr>
      <w:r w:rsidRPr="00102E51">
        <w:rPr>
          <w:sz w:val="22"/>
          <w:szCs w:val="22"/>
        </w:rPr>
        <w:t>Friedman, S. T., &amp; Muñoz, M. M. (2023). A latitudinal gradient of deep-sea invasions for marine fishes. Nature Communications, 14(1), 773.</w:t>
      </w:r>
    </w:p>
    <w:p w14:paraId="7C2EFE98" w14:textId="77777777" w:rsidR="00102E51" w:rsidRPr="00102E51" w:rsidRDefault="00102E51" w:rsidP="00102E51">
      <w:pPr>
        <w:ind w:left="720" w:hanging="720"/>
        <w:rPr>
          <w:sz w:val="22"/>
          <w:szCs w:val="22"/>
        </w:rPr>
      </w:pPr>
    </w:p>
    <w:p w14:paraId="735A5FEF" w14:textId="2D7151F5" w:rsidR="00102E51" w:rsidRDefault="00102E51" w:rsidP="00102E51">
      <w:pPr>
        <w:ind w:left="720" w:hanging="720"/>
        <w:rPr>
          <w:sz w:val="22"/>
          <w:szCs w:val="22"/>
        </w:rPr>
      </w:pPr>
      <w:r w:rsidRPr="00102E51">
        <w:rPr>
          <w:sz w:val="22"/>
          <w:szCs w:val="22"/>
        </w:rPr>
        <w:t>Thorson, J.</w:t>
      </w:r>
      <w:proofErr w:type="gramStart"/>
      <w:r w:rsidRPr="00102E51">
        <w:rPr>
          <w:sz w:val="22"/>
          <w:szCs w:val="22"/>
        </w:rPr>
        <w:t>,...</w:t>
      </w:r>
      <w:proofErr w:type="gramEnd"/>
      <w:r w:rsidRPr="00102E51">
        <w:rPr>
          <w:sz w:val="22"/>
          <w:szCs w:val="22"/>
        </w:rPr>
        <w:t xml:space="preserve"> Friedman, S.T.</w:t>
      </w:r>
      <w:proofErr w:type="gramStart"/>
      <w:r w:rsidRPr="00102E51">
        <w:rPr>
          <w:sz w:val="22"/>
          <w:szCs w:val="22"/>
        </w:rPr>
        <w:t>,...</w:t>
      </w:r>
      <w:proofErr w:type="gramEnd"/>
      <w:r w:rsidRPr="00102E51">
        <w:rPr>
          <w:sz w:val="22"/>
          <w:szCs w:val="22"/>
        </w:rPr>
        <w:t>Wainwright, P.C. (2023). Identifying direct and indirect associations among traits by merging phylogenetic trait imputation and structural equation models. Methods in Ecology and Evolution.</w:t>
      </w:r>
    </w:p>
    <w:p w14:paraId="6F61FF30" w14:textId="77777777" w:rsidR="00102E51" w:rsidRPr="00102E51" w:rsidRDefault="00102E51" w:rsidP="00102E51">
      <w:pPr>
        <w:ind w:left="720" w:hanging="720"/>
        <w:rPr>
          <w:sz w:val="22"/>
          <w:szCs w:val="22"/>
        </w:rPr>
      </w:pPr>
    </w:p>
    <w:p w14:paraId="6D1F53A6" w14:textId="759560EA" w:rsidR="00102E51" w:rsidRDefault="00102E51" w:rsidP="00102E51">
      <w:pPr>
        <w:ind w:left="720" w:hanging="720"/>
        <w:rPr>
          <w:sz w:val="22"/>
          <w:szCs w:val="22"/>
        </w:rPr>
      </w:pPr>
      <w:r w:rsidRPr="00102E51">
        <w:rPr>
          <w:sz w:val="22"/>
          <w:szCs w:val="22"/>
        </w:rPr>
        <w:t>Thorson, J., Barnes, C., Friedman, S.T., Morano, J, Siple, M. (2023). Spatially varying coefficient models can improve ecological inferences from species distribution models. Ecography.</w:t>
      </w:r>
    </w:p>
    <w:p w14:paraId="7EB3DB2D" w14:textId="77777777" w:rsidR="00102E51" w:rsidRPr="00102E51" w:rsidRDefault="00102E51" w:rsidP="00102E51">
      <w:pPr>
        <w:ind w:left="720" w:hanging="720"/>
        <w:rPr>
          <w:sz w:val="22"/>
          <w:szCs w:val="22"/>
        </w:rPr>
      </w:pPr>
    </w:p>
    <w:p w14:paraId="5A0F8D61" w14:textId="65D90302" w:rsidR="00DE3EE8" w:rsidRPr="002B7E6B" w:rsidRDefault="00102E51" w:rsidP="00102E51">
      <w:pPr>
        <w:ind w:left="720" w:hanging="720"/>
        <w:rPr>
          <w:sz w:val="22"/>
          <w:szCs w:val="22"/>
        </w:rPr>
      </w:pPr>
      <w:r w:rsidRPr="00102E51">
        <w:rPr>
          <w:sz w:val="22"/>
          <w:szCs w:val="22"/>
        </w:rPr>
        <w:t xml:space="preserve">Buser, T.J., Kee, V.E., Terry, R.C., </w:t>
      </w:r>
      <w:proofErr w:type="gramStart"/>
      <w:r w:rsidRPr="00102E51">
        <w:rPr>
          <w:sz w:val="22"/>
          <w:szCs w:val="22"/>
        </w:rPr>
        <w:t>Summers</w:t>
      </w:r>
      <w:proofErr w:type="gramEnd"/>
      <w:r w:rsidRPr="00102E51">
        <w:rPr>
          <w:sz w:val="22"/>
          <w:szCs w:val="22"/>
        </w:rPr>
        <w:t>, A.P. and Sidlauskas, B.L., 2023. Taurus of the Tidepool? Inferring the Function of Cranial Weapons in Intertidal Sculpins (Pisces: Cottoidea: Oligocottinae). Ichthyology &amp; Herpetology, 111(1), pp.98-108.</w:t>
      </w:r>
    </w:p>
    <w:p w14:paraId="21AFA080" w14:textId="7B763811" w:rsidR="00DE3EE8" w:rsidRDefault="00DE3EE8" w:rsidP="00DE3EE8">
      <w:pPr>
        <w:rPr>
          <w:sz w:val="22"/>
          <w:szCs w:val="22"/>
        </w:rPr>
      </w:pPr>
    </w:p>
    <w:p w14:paraId="0151CF54" w14:textId="193CE2F1" w:rsidR="00B05625" w:rsidRDefault="00B05625" w:rsidP="00DE3EE8">
      <w:pPr>
        <w:rPr>
          <w:sz w:val="22"/>
          <w:szCs w:val="22"/>
        </w:rPr>
      </w:pPr>
      <w:r>
        <w:rPr>
          <w:sz w:val="22"/>
          <w:szCs w:val="22"/>
        </w:rPr>
        <w:t xml:space="preserve">For more information about this </w:t>
      </w:r>
      <w:proofErr w:type="gramStart"/>
      <w:r>
        <w:rPr>
          <w:sz w:val="22"/>
          <w:szCs w:val="22"/>
        </w:rPr>
        <w:t>program</w:t>
      </w:r>
      <w:proofErr w:type="gramEnd"/>
      <w:r>
        <w:rPr>
          <w:sz w:val="22"/>
          <w:szCs w:val="22"/>
        </w:rPr>
        <w:t xml:space="preserve"> contact Sarah Friedman (</w:t>
      </w:r>
      <w:hyperlink r:id="rId91" w:history="1">
        <w:r w:rsidRPr="004712C3">
          <w:rPr>
            <w:rStyle w:val="Hyperlink"/>
            <w:sz w:val="22"/>
            <w:szCs w:val="22"/>
          </w:rPr>
          <w:t>sarah.friedman@noaa.gov</w:t>
        </w:r>
      </w:hyperlink>
      <w:r>
        <w:rPr>
          <w:sz w:val="22"/>
          <w:szCs w:val="22"/>
        </w:rPr>
        <w:t>) or Thaddaeus Buser (</w:t>
      </w:r>
      <w:hyperlink r:id="rId92" w:history="1">
        <w:r w:rsidRPr="004712C3">
          <w:rPr>
            <w:rStyle w:val="Hyperlink"/>
            <w:sz w:val="22"/>
            <w:szCs w:val="22"/>
          </w:rPr>
          <w:t>thaddaeus.buser@noaa.gov</w:t>
        </w:r>
      </w:hyperlink>
      <w:r>
        <w:rPr>
          <w:sz w:val="22"/>
          <w:szCs w:val="22"/>
        </w:rPr>
        <w:t xml:space="preserve">) </w:t>
      </w:r>
    </w:p>
    <w:p w14:paraId="4FDAE6FB" w14:textId="77777777" w:rsidR="00B05625" w:rsidRDefault="00B05625" w:rsidP="00DE3EE8">
      <w:pPr>
        <w:rPr>
          <w:sz w:val="22"/>
          <w:szCs w:val="22"/>
        </w:rPr>
      </w:pPr>
    </w:p>
    <w:p w14:paraId="296B8C66" w14:textId="3BCF9BF5" w:rsidR="004F29FB" w:rsidRPr="004F29FB" w:rsidRDefault="004F29FB" w:rsidP="004F29FB">
      <w:pPr>
        <w:pStyle w:val="Heading5"/>
      </w:pPr>
      <w:bookmarkStart w:id="168" w:name="_Toc131503909"/>
      <w:r w:rsidRPr="004F29FB">
        <w:t>Sponge Identification and Genetics in the Gulf of Alaska and Aleutian Islands</w:t>
      </w:r>
      <w:r>
        <w:t xml:space="preserve"> – RACE-</w:t>
      </w:r>
      <w:r>
        <w:lastRenderedPageBreak/>
        <w:t>GAP</w:t>
      </w:r>
      <w:r w:rsidR="00B05625">
        <w:t>/</w:t>
      </w:r>
      <w:r>
        <w:t>NWFSC</w:t>
      </w:r>
      <w:bookmarkEnd w:id="168"/>
    </w:p>
    <w:p w14:paraId="1DF5F06F" w14:textId="77777777" w:rsidR="004F29FB" w:rsidRPr="004F29FB" w:rsidRDefault="004F29FB" w:rsidP="004F29FB">
      <w:pPr>
        <w:spacing w:line="276" w:lineRule="auto"/>
        <w:rPr>
          <w:color w:val="000000"/>
          <w:sz w:val="22"/>
          <w:szCs w:val="22"/>
        </w:rPr>
      </w:pPr>
    </w:p>
    <w:p w14:paraId="57952C83" w14:textId="77777777" w:rsidR="004F29FB" w:rsidRPr="004F29FB" w:rsidRDefault="004F29FB" w:rsidP="004F29FB">
      <w:pPr>
        <w:tabs>
          <w:tab w:val="left" w:pos="360"/>
        </w:tabs>
        <w:spacing w:line="276" w:lineRule="auto"/>
        <w:rPr>
          <w:sz w:val="22"/>
          <w:szCs w:val="22"/>
        </w:rPr>
      </w:pPr>
      <w:r w:rsidRPr="004F29FB">
        <w:rPr>
          <w:color w:val="000000"/>
          <w:sz w:val="22"/>
          <w:szCs w:val="22"/>
        </w:rPr>
        <w:t xml:space="preserve">Definitive species identification is necessary to support sustainable management of deep-sea sponge ecosystems and establish species distribution models. </w:t>
      </w:r>
      <w:r w:rsidRPr="004F29FB">
        <w:rPr>
          <w:color w:val="222222"/>
          <w:sz w:val="22"/>
          <w:szCs w:val="22"/>
        </w:rPr>
        <w:t xml:space="preserve">Previous research in the Gulf of Alaska has identified 52 taxa of sponges with an additional 38 taxa suspected of occurring in the region. In the </w:t>
      </w:r>
      <w:r w:rsidRPr="004F29FB">
        <w:rPr>
          <w:color w:val="000000"/>
          <w:sz w:val="22"/>
          <w:szCs w:val="22"/>
        </w:rPr>
        <w:t>Aleutian Islands (AI), over 125 species (or subspecies) of deep-water sponges have been identified to date, though it is estimated that several hundred additional sponge species have yet to be described in the region. The objectives of this fieldwork were to collect voucher specimens and accompanying genetic sequences for use as a</w:t>
      </w:r>
      <w:r w:rsidRPr="004F29FB">
        <w:rPr>
          <w:color w:val="222222"/>
          <w:sz w:val="22"/>
          <w:szCs w:val="22"/>
          <w:highlight w:val="white"/>
        </w:rPr>
        <w:t xml:space="preserve"> reference collection, to assist in the development of a species identification guide, and to support future </w:t>
      </w:r>
      <w:proofErr w:type="gramStart"/>
      <w:r w:rsidRPr="004F29FB">
        <w:rPr>
          <w:color w:val="222222"/>
          <w:sz w:val="22"/>
          <w:szCs w:val="22"/>
          <w:highlight w:val="white"/>
        </w:rPr>
        <w:t>eDNA</w:t>
      </w:r>
      <w:proofErr w:type="gramEnd"/>
      <w:r w:rsidRPr="004F29FB">
        <w:rPr>
          <w:color w:val="222222"/>
          <w:sz w:val="22"/>
          <w:szCs w:val="22"/>
          <w:highlight w:val="white"/>
        </w:rPr>
        <w:t xml:space="preserve"> work proposed for the region.</w:t>
      </w:r>
    </w:p>
    <w:p w14:paraId="10D98A04" w14:textId="77777777" w:rsidR="004F29FB" w:rsidRPr="004F29FB" w:rsidRDefault="004F29FB" w:rsidP="004F29FB">
      <w:pPr>
        <w:spacing w:line="276" w:lineRule="auto"/>
        <w:ind w:right="615"/>
        <w:rPr>
          <w:color w:val="000000"/>
          <w:sz w:val="22"/>
          <w:szCs w:val="22"/>
        </w:rPr>
      </w:pPr>
    </w:p>
    <w:p w14:paraId="33081D20" w14:textId="77777777" w:rsidR="004F29FB" w:rsidRPr="004F29FB" w:rsidRDefault="004F29FB" w:rsidP="004F29FB">
      <w:pPr>
        <w:rPr>
          <w:sz w:val="22"/>
          <w:szCs w:val="22"/>
        </w:rPr>
      </w:pPr>
      <w:r w:rsidRPr="004F29FB">
        <w:rPr>
          <w:sz w:val="22"/>
          <w:szCs w:val="22"/>
        </w:rPr>
        <w:t xml:space="preserve">Specimens were opportunistically collected during the Alaska Fisheries Science Center (AFSC) Resource Assessment and </w:t>
      </w:r>
      <w:proofErr w:type="gramStart"/>
      <w:r w:rsidRPr="004F29FB">
        <w:rPr>
          <w:sz w:val="22"/>
          <w:szCs w:val="22"/>
        </w:rPr>
        <w:t>Conservation Engineering Division’s Groundfish Assessment Program’s</w:t>
      </w:r>
      <w:proofErr w:type="gramEnd"/>
      <w:r w:rsidRPr="004F29FB">
        <w:rPr>
          <w:sz w:val="22"/>
          <w:szCs w:val="22"/>
        </w:rPr>
        <w:t xml:space="preserve"> (RACE) biennial bottom trawl survey in the AI aboard the F/V </w:t>
      </w:r>
      <w:r w:rsidRPr="004F29FB">
        <w:rPr>
          <w:i/>
          <w:sz w:val="22"/>
          <w:szCs w:val="22"/>
        </w:rPr>
        <w:t>Alaska Provider</w:t>
      </w:r>
      <w:r w:rsidRPr="004F29FB">
        <w:rPr>
          <w:sz w:val="22"/>
          <w:szCs w:val="22"/>
        </w:rPr>
        <w:t xml:space="preserve"> (6/11-8/17/2022). </w:t>
      </w:r>
      <w:proofErr w:type="gramStart"/>
      <w:r w:rsidRPr="004F29FB">
        <w:rPr>
          <w:sz w:val="22"/>
          <w:szCs w:val="22"/>
        </w:rPr>
        <w:t>The survey area extended over 1,670 km from east to west, and is composed of the continental shelf and upper slope from Islands of Four Mountains (170°W long.) to Stalemate Bank (170°E long.), including Petrel Bank (180° long.), and the northern side of the archipelago between Unimak Pass (165°W long.) and the Islands of Four Mountains (Fig. 1).</w:t>
      </w:r>
      <w:proofErr w:type="gramEnd"/>
      <w:r w:rsidRPr="004F29FB">
        <w:rPr>
          <w:sz w:val="22"/>
          <w:szCs w:val="22"/>
        </w:rPr>
        <w:t xml:space="preserve"> During the 2022 survey, trawls </w:t>
      </w:r>
      <w:proofErr w:type="gramStart"/>
      <w:r w:rsidRPr="004F29FB">
        <w:rPr>
          <w:sz w:val="22"/>
          <w:szCs w:val="22"/>
        </w:rPr>
        <w:t>were successfully conducted</w:t>
      </w:r>
      <w:proofErr w:type="gramEnd"/>
      <w:r w:rsidRPr="004F29FB">
        <w:rPr>
          <w:sz w:val="22"/>
          <w:szCs w:val="22"/>
        </w:rPr>
        <w:t xml:space="preserve"> from the </w:t>
      </w:r>
      <w:r w:rsidRPr="004F29FB">
        <w:rPr>
          <w:i/>
          <w:sz w:val="22"/>
          <w:szCs w:val="22"/>
        </w:rPr>
        <w:t>Alaska Provider</w:t>
      </w:r>
      <w:r w:rsidRPr="004F29FB">
        <w:rPr>
          <w:sz w:val="22"/>
          <w:szCs w:val="22"/>
        </w:rPr>
        <w:t xml:space="preserve"> at 200 stations (Figure 1).</w:t>
      </w:r>
    </w:p>
    <w:p w14:paraId="59523309" w14:textId="77777777" w:rsidR="004F29FB" w:rsidRPr="004F29FB" w:rsidRDefault="004F29FB" w:rsidP="004F29FB">
      <w:pPr>
        <w:rPr>
          <w:sz w:val="22"/>
          <w:szCs w:val="22"/>
          <w:highlight w:val="yellow"/>
        </w:rPr>
      </w:pPr>
    </w:p>
    <w:p w14:paraId="417CB503" w14:textId="77777777" w:rsidR="004F29FB" w:rsidRPr="004F29FB" w:rsidRDefault="004F29FB" w:rsidP="004F29FB">
      <w:pPr>
        <w:rPr>
          <w:sz w:val="22"/>
          <w:szCs w:val="22"/>
        </w:rPr>
      </w:pPr>
      <w:r w:rsidRPr="004F29FB">
        <w:rPr>
          <w:sz w:val="22"/>
          <w:szCs w:val="22"/>
        </w:rPr>
        <w:t xml:space="preserve">The AI bottom trawl survey is </w:t>
      </w:r>
      <w:proofErr w:type="gramStart"/>
      <w:r w:rsidRPr="004F29FB">
        <w:rPr>
          <w:sz w:val="22"/>
          <w:szCs w:val="22"/>
        </w:rPr>
        <w:t>a</w:t>
      </w:r>
      <w:proofErr w:type="gramEnd"/>
      <w:r w:rsidRPr="004F29FB">
        <w:rPr>
          <w:sz w:val="22"/>
          <w:szCs w:val="22"/>
        </w:rPr>
        <w:t xml:space="preserve"> index survey and utilizes a stratified random design of assigning previously successful stations to vessels while occasionally adding new stations. The survey area </w:t>
      </w:r>
      <w:proofErr w:type="gramStart"/>
      <w:r w:rsidRPr="004F29FB">
        <w:rPr>
          <w:sz w:val="22"/>
          <w:szCs w:val="22"/>
        </w:rPr>
        <w:t>is divided</w:t>
      </w:r>
      <w:proofErr w:type="gramEnd"/>
      <w:r w:rsidRPr="004F29FB">
        <w:rPr>
          <w:sz w:val="22"/>
          <w:szCs w:val="22"/>
        </w:rPr>
        <w:t xml:space="preserve"> into 45 strata based on depth, major bathymetric features, and former International North Pacific Fisheries Commission (INPFC) statistical areas. Each stratum </w:t>
      </w:r>
      <w:proofErr w:type="gramStart"/>
      <w:r w:rsidRPr="004F29FB">
        <w:rPr>
          <w:sz w:val="22"/>
          <w:szCs w:val="22"/>
        </w:rPr>
        <w:t>is subdivided</w:t>
      </w:r>
      <w:proofErr w:type="gramEnd"/>
      <w:r w:rsidRPr="004F29FB">
        <w:rPr>
          <w:sz w:val="22"/>
          <w:szCs w:val="22"/>
        </w:rPr>
        <w:t xml:space="preserve"> by 5×5 km grid cells (25 km</w:t>
      </w:r>
      <w:r w:rsidRPr="004F29FB">
        <w:rPr>
          <w:sz w:val="22"/>
          <w:szCs w:val="22"/>
          <w:vertAlign w:val="superscript"/>
        </w:rPr>
        <w:t>2</w:t>
      </w:r>
      <w:r w:rsidRPr="004F29FB">
        <w:rPr>
          <w:sz w:val="22"/>
          <w:szCs w:val="22"/>
        </w:rPr>
        <w:t xml:space="preserve"> stations) superimposed onto the stratum boundaries. Sampled depths range from nearshore areas (&gt;15 m) to 500 m depths on the continental slope. Effort allocation among strata is determined using a Neyman optimal sampling allocation strategy based on previous survey catches, stratum variances, and ex-vessel prices for a select set of commercially landed groundfishes. The survey design and estimation methods </w:t>
      </w:r>
      <w:proofErr w:type="gramStart"/>
      <w:r w:rsidRPr="004F29FB">
        <w:rPr>
          <w:sz w:val="22"/>
          <w:szCs w:val="22"/>
        </w:rPr>
        <w:t>are described</w:t>
      </w:r>
      <w:proofErr w:type="gramEnd"/>
      <w:r w:rsidRPr="004F29FB">
        <w:rPr>
          <w:sz w:val="22"/>
          <w:szCs w:val="22"/>
        </w:rPr>
        <w:t xml:space="preserve"> in detail in the most recent AI Bottom Trawl Survey Report</w:t>
      </w:r>
      <w:r w:rsidRPr="004F29FB">
        <w:rPr>
          <w:rStyle w:val="FootnoteAnchor"/>
          <w:rFonts w:eastAsiaTheme="majorEastAsia"/>
          <w:sz w:val="22"/>
          <w:szCs w:val="22"/>
        </w:rPr>
        <w:footnoteReference w:id="5"/>
      </w:r>
      <w:r w:rsidRPr="004F29FB">
        <w:rPr>
          <w:sz w:val="22"/>
          <w:szCs w:val="22"/>
        </w:rPr>
        <w:t xml:space="preserve"> </w:t>
      </w:r>
    </w:p>
    <w:p w14:paraId="5C30FBA7" w14:textId="77777777" w:rsidR="004F29FB" w:rsidRDefault="004F29FB" w:rsidP="004F29FB">
      <w:pPr>
        <w:spacing w:line="276" w:lineRule="auto"/>
        <w:rPr>
          <w:color w:val="FF0000"/>
          <w:sz w:val="22"/>
          <w:szCs w:val="22"/>
        </w:rPr>
      </w:pPr>
    </w:p>
    <w:p w14:paraId="7259384A" w14:textId="5D6A905C" w:rsidR="004F29FB" w:rsidRPr="004F29FB" w:rsidRDefault="004F29FB" w:rsidP="004F29FB">
      <w:pPr>
        <w:spacing w:line="276" w:lineRule="auto"/>
        <w:rPr>
          <w:color w:val="000000"/>
          <w:sz w:val="22"/>
          <w:szCs w:val="22"/>
        </w:rPr>
      </w:pPr>
      <w:r w:rsidRPr="004F29FB">
        <w:rPr>
          <w:color w:val="000000"/>
          <w:sz w:val="22"/>
          <w:szCs w:val="22"/>
        </w:rPr>
        <w:t xml:space="preserve">The survey vessel was equipped with RACE Division Poly Nor'Eastern high-opening bottom trawl nets with </w:t>
      </w:r>
      <w:proofErr w:type="gramStart"/>
      <w:r w:rsidRPr="004F29FB">
        <w:rPr>
          <w:color w:val="000000"/>
          <w:sz w:val="22"/>
          <w:szCs w:val="22"/>
        </w:rPr>
        <w:t>rubber bobbin roller gear</w:t>
      </w:r>
      <w:proofErr w:type="gramEnd"/>
      <w:r w:rsidRPr="004F29FB">
        <w:rPr>
          <w:color w:val="000000"/>
          <w:sz w:val="22"/>
          <w:szCs w:val="22"/>
        </w:rPr>
        <w:t xml:space="preserve">. Vessel position </w:t>
      </w:r>
      <w:proofErr w:type="gramStart"/>
      <w:r w:rsidRPr="004F29FB">
        <w:rPr>
          <w:color w:val="000000"/>
          <w:sz w:val="22"/>
          <w:szCs w:val="22"/>
        </w:rPr>
        <w:t>was provided</w:t>
      </w:r>
      <w:proofErr w:type="gramEnd"/>
      <w:r w:rsidRPr="004F29FB">
        <w:rPr>
          <w:color w:val="000000"/>
          <w:sz w:val="22"/>
          <w:szCs w:val="22"/>
        </w:rPr>
        <w:t xml:space="preserve"> by a global positioning system (GPS), and measures of water depth were provided via a recording depth profiler. Water temperature profiles </w:t>
      </w:r>
      <w:proofErr w:type="gramStart"/>
      <w:r w:rsidRPr="004F29FB">
        <w:rPr>
          <w:color w:val="000000"/>
          <w:sz w:val="22"/>
          <w:szCs w:val="22"/>
        </w:rPr>
        <w:t>were recorded</w:t>
      </w:r>
      <w:proofErr w:type="gramEnd"/>
      <w:r w:rsidRPr="004F29FB">
        <w:rPr>
          <w:color w:val="000000"/>
          <w:sz w:val="22"/>
          <w:szCs w:val="22"/>
        </w:rPr>
        <w:t xml:space="preserve"> every 1 to 4 seconds during most tows using a Seabird® SBE-39 bathythermograph placed on the headrope of the net. </w:t>
      </w:r>
    </w:p>
    <w:p w14:paraId="63D1705B" w14:textId="77777777" w:rsidR="004F29FB" w:rsidRPr="004F29FB" w:rsidRDefault="004F29FB" w:rsidP="004F29FB">
      <w:pPr>
        <w:spacing w:line="276" w:lineRule="auto"/>
        <w:rPr>
          <w:color w:val="000000"/>
          <w:sz w:val="22"/>
          <w:szCs w:val="22"/>
        </w:rPr>
      </w:pPr>
      <w:r w:rsidRPr="004F29FB">
        <w:rPr>
          <w:color w:val="000000"/>
          <w:sz w:val="22"/>
          <w:szCs w:val="22"/>
        </w:rPr>
        <w:t xml:space="preserve"> </w:t>
      </w:r>
    </w:p>
    <w:p w14:paraId="74D04E76" w14:textId="77777777" w:rsidR="004F29FB" w:rsidRPr="004F29FB" w:rsidRDefault="004F29FB" w:rsidP="004F29FB">
      <w:pPr>
        <w:spacing w:line="276" w:lineRule="auto"/>
        <w:rPr>
          <w:color w:val="000000"/>
          <w:sz w:val="22"/>
          <w:szCs w:val="22"/>
        </w:rPr>
      </w:pPr>
      <w:r w:rsidRPr="004F29FB">
        <w:rPr>
          <w:color w:val="000000"/>
          <w:sz w:val="22"/>
          <w:szCs w:val="22"/>
        </w:rPr>
        <w:t xml:space="preserve">The protocols used by the AFSC’s RACE Division for conducting bottom trawl surveys have been standardized (Stauffer 2004). Criteria for a successful tow include maintaining a continuous vessel speed of 3 knots (5.56 m/sec) while keeping the net in contact with the bottom and in fishing configuration for 15 minutes. Occasionally, tows of shorter duration were necessary to avoid obstacles or when net configuration (e.g., reduced </w:t>
      </w:r>
      <w:proofErr w:type="gramStart"/>
      <w:r w:rsidRPr="004F29FB">
        <w:rPr>
          <w:color w:val="000000"/>
          <w:sz w:val="22"/>
          <w:szCs w:val="22"/>
        </w:rPr>
        <w:t>wing spread</w:t>
      </w:r>
      <w:proofErr w:type="gramEnd"/>
      <w:r w:rsidRPr="004F29FB">
        <w:rPr>
          <w:color w:val="000000"/>
          <w:sz w:val="22"/>
          <w:szCs w:val="22"/>
        </w:rPr>
        <w:t xml:space="preserve">) indicated that an exceptionally large catch was affecting the performance of the trawl. </w:t>
      </w:r>
    </w:p>
    <w:p w14:paraId="765F0B49" w14:textId="77777777" w:rsidR="004F29FB" w:rsidRPr="004F29FB" w:rsidRDefault="004F29FB" w:rsidP="004F29FB">
      <w:pPr>
        <w:tabs>
          <w:tab w:val="left" w:pos="360"/>
        </w:tabs>
        <w:spacing w:line="276" w:lineRule="auto"/>
        <w:rPr>
          <w:color w:val="000000"/>
          <w:sz w:val="22"/>
          <w:szCs w:val="22"/>
        </w:rPr>
      </w:pPr>
    </w:p>
    <w:p w14:paraId="3740EAA1" w14:textId="77777777" w:rsidR="004F29FB" w:rsidRPr="004F29FB" w:rsidRDefault="004F29FB" w:rsidP="004F29FB">
      <w:pPr>
        <w:spacing w:before="6" w:line="276" w:lineRule="auto"/>
        <w:rPr>
          <w:color w:val="000000"/>
          <w:sz w:val="22"/>
          <w:szCs w:val="22"/>
        </w:rPr>
      </w:pPr>
      <w:r w:rsidRPr="004F29FB">
        <w:rPr>
          <w:color w:val="000000"/>
          <w:sz w:val="22"/>
          <w:szCs w:val="22"/>
        </w:rPr>
        <w:t xml:space="preserve">All sponges collected for this project </w:t>
      </w:r>
      <w:proofErr w:type="gramStart"/>
      <w:r w:rsidRPr="004F29FB">
        <w:rPr>
          <w:color w:val="000000"/>
          <w:sz w:val="22"/>
          <w:szCs w:val="22"/>
        </w:rPr>
        <w:t>were assigned</w:t>
      </w:r>
      <w:proofErr w:type="gramEnd"/>
      <w:r w:rsidRPr="004F29FB">
        <w:rPr>
          <w:color w:val="000000"/>
          <w:sz w:val="22"/>
          <w:szCs w:val="22"/>
        </w:rPr>
        <w:t xml:space="preserve"> an AFSC/RACE voucher identification number. </w:t>
      </w:r>
      <w:r w:rsidRPr="004F29FB">
        <w:rPr>
          <w:color w:val="000000"/>
          <w:sz w:val="22"/>
          <w:szCs w:val="22"/>
        </w:rPr>
        <w:lastRenderedPageBreak/>
        <w:t xml:space="preserve">Specimens were photographed (Figure 2), and placed in individual plastic bags with a </w:t>
      </w:r>
      <w:r w:rsidRPr="004F29FB">
        <w:rPr>
          <w:sz w:val="22"/>
          <w:szCs w:val="22"/>
        </w:rPr>
        <w:t>voucher</w:t>
      </w:r>
      <w:r w:rsidRPr="004F29FB">
        <w:rPr>
          <w:color w:val="000000"/>
          <w:sz w:val="22"/>
          <w:szCs w:val="22"/>
        </w:rPr>
        <w:t xml:space="preserve"> label and preserved in 95% ethanol. In cases where only larger specimens (&gt; 20 cm) were available, then the whole specimen </w:t>
      </w:r>
      <w:proofErr w:type="gramStart"/>
      <w:r w:rsidRPr="004F29FB">
        <w:rPr>
          <w:color w:val="000000"/>
          <w:sz w:val="22"/>
          <w:szCs w:val="22"/>
        </w:rPr>
        <w:t>was photographed</w:t>
      </w:r>
      <w:proofErr w:type="gramEnd"/>
      <w:r w:rsidRPr="004F29FB">
        <w:rPr>
          <w:color w:val="000000"/>
          <w:sz w:val="22"/>
          <w:szCs w:val="22"/>
        </w:rPr>
        <w:t xml:space="preserve"> and a 4” subsample containing both the ectosome and choanosome layers was retained. </w:t>
      </w:r>
    </w:p>
    <w:p w14:paraId="5075E6BF" w14:textId="77777777" w:rsidR="004F29FB" w:rsidRPr="004F29FB" w:rsidRDefault="004F29FB" w:rsidP="004F29FB">
      <w:pPr>
        <w:tabs>
          <w:tab w:val="left" w:pos="360"/>
        </w:tabs>
        <w:spacing w:line="276" w:lineRule="auto"/>
        <w:rPr>
          <w:color w:val="000000"/>
          <w:sz w:val="22"/>
          <w:szCs w:val="22"/>
        </w:rPr>
      </w:pPr>
    </w:p>
    <w:p w14:paraId="5622196F" w14:textId="77777777" w:rsidR="004F29FB" w:rsidRPr="004F29FB" w:rsidRDefault="004F29FB" w:rsidP="004F29FB">
      <w:pPr>
        <w:tabs>
          <w:tab w:val="left" w:pos="360"/>
        </w:tabs>
        <w:spacing w:line="276" w:lineRule="auto"/>
        <w:rPr>
          <w:color w:val="231F20"/>
          <w:sz w:val="22"/>
          <w:szCs w:val="22"/>
          <w:highlight w:val="yellow"/>
        </w:rPr>
      </w:pPr>
      <w:r w:rsidRPr="004F29FB">
        <w:rPr>
          <w:color w:val="000000"/>
          <w:sz w:val="22"/>
          <w:szCs w:val="22"/>
        </w:rPr>
        <w:t xml:space="preserve">After the survey, the samples </w:t>
      </w:r>
      <w:proofErr w:type="gramStart"/>
      <w:r w:rsidRPr="004F29FB">
        <w:rPr>
          <w:color w:val="000000"/>
          <w:sz w:val="22"/>
          <w:szCs w:val="22"/>
        </w:rPr>
        <w:t>will be cataloged</w:t>
      </w:r>
      <w:proofErr w:type="gramEnd"/>
      <w:r w:rsidRPr="004F29FB">
        <w:rPr>
          <w:color w:val="000000"/>
          <w:sz w:val="22"/>
          <w:szCs w:val="22"/>
        </w:rPr>
        <w:t xml:space="preserve"> and a subset will be selected for further analyses. </w:t>
      </w:r>
      <w:r w:rsidRPr="004F29FB">
        <w:rPr>
          <w:color w:val="231F20"/>
          <w:sz w:val="22"/>
          <w:szCs w:val="22"/>
        </w:rPr>
        <w:t xml:space="preserve">Voucher specimens </w:t>
      </w:r>
      <w:proofErr w:type="gramStart"/>
      <w:r w:rsidRPr="004F29FB">
        <w:rPr>
          <w:color w:val="231F20"/>
          <w:sz w:val="22"/>
          <w:szCs w:val="22"/>
        </w:rPr>
        <w:t>will be identified</w:t>
      </w:r>
      <w:proofErr w:type="gramEnd"/>
      <w:r w:rsidRPr="004F29FB">
        <w:rPr>
          <w:color w:val="231F20"/>
          <w:sz w:val="22"/>
          <w:szCs w:val="22"/>
        </w:rPr>
        <w:t xml:space="preserve"> using </w:t>
      </w:r>
      <w:r w:rsidRPr="004F29FB">
        <w:rPr>
          <w:color w:val="000000"/>
          <w:sz w:val="22"/>
          <w:szCs w:val="22"/>
        </w:rPr>
        <w:t xml:space="preserve">morphological methods including a combination of </w:t>
      </w:r>
      <w:r w:rsidRPr="004F29FB">
        <w:rPr>
          <w:color w:val="231F20"/>
          <w:sz w:val="22"/>
          <w:szCs w:val="22"/>
        </w:rPr>
        <w:t xml:space="preserve">light </w:t>
      </w:r>
      <w:r w:rsidRPr="004F29FB">
        <w:rPr>
          <w:color w:val="000000"/>
          <w:sz w:val="22"/>
          <w:szCs w:val="22"/>
        </w:rPr>
        <w:t xml:space="preserve">and scanning electron microscopy methods in consultation with Helmut </w:t>
      </w:r>
      <w:r w:rsidRPr="004F29FB">
        <w:rPr>
          <w:color w:val="231F20"/>
          <w:sz w:val="22"/>
          <w:szCs w:val="22"/>
        </w:rPr>
        <w:t>Lehnert</w:t>
      </w:r>
      <w:r w:rsidRPr="004F29FB">
        <w:rPr>
          <w:color w:val="000000"/>
          <w:sz w:val="22"/>
          <w:szCs w:val="22"/>
        </w:rPr>
        <w:t xml:space="preserve">, a morphological taxonomist at </w:t>
      </w:r>
      <w:r w:rsidRPr="004F29FB">
        <w:rPr>
          <w:color w:val="231F20"/>
          <w:sz w:val="22"/>
          <w:szCs w:val="22"/>
        </w:rPr>
        <w:t>GeoBio-Center LMU München</w:t>
      </w:r>
      <w:r w:rsidRPr="004F29FB">
        <w:rPr>
          <w:color w:val="555555"/>
          <w:sz w:val="22"/>
          <w:szCs w:val="22"/>
        </w:rPr>
        <w:t xml:space="preserve">. </w:t>
      </w:r>
      <w:r w:rsidRPr="004F29FB">
        <w:rPr>
          <w:color w:val="000000"/>
          <w:sz w:val="22"/>
          <w:szCs w:val="22"/>
        </w:rPr>
        <w:t xml:space="preserve">Identified specimens </w:t>
      </w:r>
      <w:proofErr w:type="gramStart"/>
      <w:r w:rsidRPr="004F29FB">
        <w:rPr>
          <w:color w:val="000000"/>
          <w:sz w:val="22"/>
          <w:szCs w:val="22"/>
        </w:rPr>
        <w:t>will be archived</w:t>
      </w:r>
      <w:proofErr w:type="gramEnd"/>
      <w:r w:rsidRPr="004F29FB">
        <w:rPr>
          <w:color w:val="000000"/>
          <w:sz w:val="22"/>
          <w:szCs w:val="22"/>
        </w:rPr>
        <w:t xml:space="preserve"> at the </w:t>
      </w:r>
      <w:r w:rsidRPr="004F29FB">
        <w:rPr>
          <w:color w:val="222222"/>
          <w:sz w:val="22"/>
          <w:szCs w:val="22"/>
          <w:highlight w:val="white"/>
        </w:rPr>
        <w:t>Smithsonian Institution.</w:t>
      </w:r>
    </w:p>
    <w:p w14:paraId="75368E50" w14:textId="77777777" w:rsidR="004F29FB" w:rsidRPr="004F29FB" w:rsidRDefault="004F29FB" w:rsidP="004F29FB">
      <w:pPr>
        <w:tabs>
          <w:tab w:val="left" w:pos="360"/>
        </w:tabs>
        <w:spacing w:line="276" w:lineRule="auto"/>
        <w:rPr>
          <w:color w:val="000000"/>
          <w:sz w:val="22"/>
          <w:szCs w:val="22"/>
          <w:highlight w:val="yellow"/>
        </w:rPr>
      </w:pPr>
    </w:p>
    <w:p w14:paraId="48FE8ED8" w14:textId="77777777" w:rsidR="004F29FB" w:rsidRPr="004F29FB" w:rsidRDefault="004F29FB" w:rsidP="004F29FB">
      <w:pPr>
        <w:tabs>
          <w:tab w:val="left" w:pos="360"/>
        </w:tabs>
        <w:spacing w:line="276" w:lineRule="auto"/>
        <w:rPr>
          <w:color w:val="000000"/>
          <w:sz w:val="22"/>
          <w:szCs w:val="22"/>
          <w:highlight w:val="yellow"/>
        </w:rPr>
      </w:pPr>
      <w:r w:rsidRPr="004F29FB">
        <w:rPr>
          <w:color w:val="222222"/>
          <w:sz w:val="22"/>
          <w:szCs w:val="22"/>
          <w:highlight w:val="white"/>
        </w:rPr>
        <w:t xml:space="preserve">DNA </w:t>
      </w:r>
      <w:proofErr w:type="gramStart"/>
      <w:r w:rsidRPr="004F29FB">
        <w:rPr>
          <w:color w:val="222222"/>
          <w:sz w:val="22"/>
          <w:szCs w:val="22"/>
          <w:highlight w:val="white"/>
        </w:rPr>
        <w:t>will be extracted</w:t>
      </w:r>
      <w:proofErr w:type="gramEnd"/>
      <w:r w:rsidRPr="004F29FB">
        <w:rPr>
          <w:color w:val="222222"/>
          <w:sz w:val="22"/>
          <w:szCs w:val="22"/>
          <w:highlight w:val="white"/>
        </w:rPr>
        <w:t xml:space="preserve"> from the sponges using a Qiagen DNEasy kit, following manufacturer's protocols. Extracted DNA will be sequenced for the 28s DNA barcode using standard Sanger sequencing methods. The resulting sequences </w:t>
      </w:r>
      <w:proofErr w:type="gramStart"/>
      <w:r w:rsidRPr="004F29FB">
        <w:rPr>
          <w:color w:val="222222"/>
          <w:sz w:val="22"/>
          <w:szCs w:val="22"/>
          <w:highlight w:val="white"/>
        </w:rPr>
        <w:t>will be used</w:t>
      </w:r>
      <w:proofErr w:type="gramEnd"/>
      <w:r w:rsidRPr="004F29FB">
        <w:rPr>
          <w:color w:val="222222"/>
          <w:sz w:val="22"/>
          <w:szCs w:val="22"/>
          <w:highlight w:val="white"/>
        </w:rPr>
        <w:t xml:space="preserve"> to create a genetic voucher collection for future use, pairing the sequences to morphological species identification whenever possible. Unique sequences that lack a clear morphological identification </w:t>
      </w:r>
      <w:proofErr w:type="gramStart"/>
      <w:r w:rsidRPr="004F29FB">
        <w:rPr>
          <w:color w:val="222222"/>
          <w:sz w:val="22"/>
          <w:szCs w:val="22"/>
          <w:highlight w:val="white"/>
        </w:rPr>
        <w:t>will be clustered</w:t>
      </w:r>
      <w:proofErr w:type="gramEnd"/>
      <w:r w:rsidRPr="004F29FB">
        <w:rPr>
          <w:color w:val="222222"/>
          <w:sz w:val="22"/>
          <w:szCs w:val="22"/>
          <w:highlight w:val="white"/>
        </w:rPr>
        <w:t xml:space="preserve"> into individual Operational Taxonomic Units (OTU) for future analysis. All sequences </w:t>
      </w:r>
      <w:proofErr w:type="gramStart"/>
      <w:r w:rsidRPr="004F29FB">
        <w:rPr>
          <w:color w:val="222222"/>
          <w:sz w:val="22"/>
          <w:szCs w:val="22"/>
          <w:highlight w:val="white"/>
        </w:rPr>
        <w:t>will be deposited</w:t>
      </w:r>
      <w:proofErr w:type="gramEnd"/>
      <w:r w:rsidRPr="004F29FB">
        <w:rPr>
          <w:color w:val="222222"/>
          <w:sz w:val="22"/>
          <w:szCs w:val="22"/>
          <w:highlight w:val="white"/>
        </w:rPr>
        <w:t xml:space="preserve"> in GenBank (</w:t>
      </w:r>
      <w:r w:rsidRPr="004F29FB">
        <w:rPr>
          <w:color w:val="222222"/>
          <w:sz w:val="22"/>
          <w:szCs w:val="22"/>
        </w:rPr>
        <w:t>https://www.ncbi.nlm.nih.gov/genbank/)</w:t>
      </w:r>
      <w:r w:rsidRPr="004F29FB">
        <w:rPr>
          <w:color w:val="222222"/>
          <w:sz w:val="22"/>
          <w:szCs w:val="22"/>
          <w:highlight w:val="white"/>
        </w:rPr>
        <w:t xml:space="preserve">. These vouchers and OTUs will serve as a reference collection of sponge identifications for future </w:t>
      </w:r>
      <w:proofErr w:type="gramStart"/>
      <w:r w:rsidRPr="004F29FB">
        <w:rPr>
          <w:color w:val="222222"/>
          <w:sz w:val="22"/>
          <w:szCs w:val="22"/>
          <w:highlight w:val="white"/>
        </w:rPr>
        <w:t>eDNA</w:t>
      </w:r>
      <w:proofErr w:type="gramEnd"/>
      <w:r w:rsidRPr="004F29FB">
        <w:rPr>
          <w:color w:val="222222"/>
          <w:sz w:val="22"/>
          <w:szCs w:val="22"/>
          <w:highlight w:val="white"/>
        </w:rPr>
        <w:t xml:space="preserve"> work proposed in the region.</w:t>
      </w:r>
    </w:p>
    <w:p w14:paraId="68BAD101" w14:textId="77777777" w:rsidR="004F29FB" w:rsidRPr="004F29FB" w:rsidRDefault="004F29FB" w:rsidP="004F29FB">
      <w:pPr>
        <w:spacing w:before="6" w:line="276" w:lineRule="auto"/>
        <w:rPr>
          <w:color w:val="000000"/>
          <w:sz w:val="22"/>
          <w:szCs w:val="22"/>
        </w:rPr>
      </w:pPr>
    </w:p>
    <w:p w14:paraId="61F0F9B7" w14:textId="01B7AC3F" w:rsidR="004F29FB" w:rsidRPr="004F29FB" w:rsidRDefault="004F29FB" w:rsidP="004F29FB">
      <w:pPr>
        <w:spacing w:before="1" w:line="276" w:lineRule="auto"/>
        <w:ind w:right="304"/>
        <w:rPr>
          <w:color w:val="000000"/>
          <w:sz w:val="22"/>
          <w:szCs w:val="22"/>
        </w:rPr>
      </w:pPr>
      <w:proofErr w:type="gramStart"/>
      <w:r w:rsidRPr="004F29FB">
        <w:rPr>
          <w:color w:val="000000"/>
          <w:sz w:val="22"/>
          <w:szCs w:val="22"/>
        </w:rPr>
        <w:t>A total of 77</w:t>
      </w:r>
      <w:proofErr w:type="gramEnd"/>
      <w:r w:rsidRPr="004F29FB">
        <w:rPr>
          <w:color w:val="000000"/>
          <w:sz w:val="22"/>
          <w:szCs w:val="22"/>
        </w:rPr>
        <w:t xml:space="preserve"> samples were collected during the 2022 field work. Initial screening of these samples is underway to determine which samples to send on for further analysis.</w:t>
      </w:r>
    </w:p>
    <w:p w14:paraId="74A8BFF6" w14:textId="77777777" w:rsidR="004F29FB" w:rsidRPr="004F29FB" w:rsidRDefault="004F29FB" w:rsidP="004F29FB">
      <w:pPr>
        <w:spacing w:before="1" w:line="276" w:lineRule="auto"/>
        <w:ind w:right="304"/>
        <w:rPr>
          <w:color w:val="000000"/>
          <w:sz w:val="22"/>
          <w:szCs w:val="22"/>
        </w:rPr>
      </w:pPr>
    </w:p>
    <w:p w14:paraId="08D94272" w14:textId="77777777" w:rsidR="004F29FB" w:rsidRPr="004F29FB" w:rsidRDefault="004F29FB" w:rsidP="004F29FB">
      <w:pPr>
        <w:spacing w:before="1" w:line="276" w:lineRule="auto"/>
        <w:ind w:right="373"/>
        <w:rPr>
          <w:sz w:val="22"/>
          <w:szCs w:val="22"/>
        </w:rPr>
      </w:pPr>
      <w:r w:rsidRPr="004F29FB">
        <w:rPr>
          <w:color w:val="000000"/>
          <w:sz w:val="22"/>
          <w:szCs w:val="22"/>
        </w:rPr>
        <w:t xml:space="preserve">Of the samples collected in 2021, 71 have undergone morphological identification. </w:t>
      </w:r>
      <w:r w:rsidRPr="004F29FB">
        <w:rPr>
          <w:color w:val="231F20"/>
          <w:sz w:val="22"/>
          <w:szCs w:val="22"/>
        </w:rPr>
        <w:t xml:space="preserve">Voucher specimens </w:t>
      </w:r>
      <w:proofErr w:type="gramStart"/>
      <w:r w:rsidRPr="004F29FB">
        <w:rPr>
          <w:color w:val="231F20"/>
          <w:sz w:val="22"/>
          <w:szCs w:val="22"/>
        </w:rPr>
        <w:t>were identified</w:t>
      </w:r>
      <w:proofErr w:type="gramEnd"/>
      <w:r w:rsidRPr="004F29FB">
        <w:rPr>
          <w:color w:val="231F20"/>
          <w:sz w:val="22"/>
          <w:szCs w:val="22"/>
        </w:rPr>
        <w:t xml:space="preserve"> using</w:t>
      </w:r>
      <w:r w:rsidRPr="004F29FB">
        <w:rPr>
          <w:color w:val="000000"/>
          <w:sz w:val="22"/>
          <w:szCs w:val="22"/>
        </w:rPr>
        <w:t xml:space="preserve"> a combination of </w:t>
      </w:r>
      <w:r w:rsidRPr="004F29FB">
        <w:rPr>
          <w:color w:val="231F20"/>
          <w:sz w:val="22"/>
          <w:szCs w:val="22"/>
        </w:rPr>
        <w:t>light microscopy</w:t>
      </w:r>
      <w:r w:rsidRPr="004F29FB">
        <w:rPr>
          <w:color w:val="000000"/>
          <w:sz w:val="22"/>
          <w:szCs w:val="22"/>
        </w:rPr>
        <w:t xml:space="preserve"> and scanning electron microscopy methods in consultation with morphological taxonomists (Helmut </w:t>
      </w:r>
      <w:r w:rsidRPr="004F29FB">
        <w:rPr>
          <w:color w:val="231F20"/>
          <w:sz w:val="22"/>
          <w:szCs w:val="22"/>
        </w:rPr>
        <w:t>Lehnert</w:t>
      </w:r>
      <w:r w:rsidRPr="004F29FB">
        <w:rPr>
          <w:color w:val="000000"/>
          <w:sz w:val="22"/>
          <w:szCs w:val="22"/>
        </w:rPr>
        <w:t xml:space="preserve">, </w:t>
      </w:r>
      <w:r w:rsidRPr="004F29FB">
        <w:rPr>
          <w:color w:val="231F20"/>
          <w:sz w:val="22"/>
          <w:szCs w:val="22"/>
        </w:rPr>
        <w:t>GeoBio-Center LMU München</w:t>
      </w:r>
      <w:r w:rsidRPr="004F29FB">
        <w:rPr>
          <w:color w:val="555555"/>
          <w:sz w:val="22"/>
          <w:szCs w:val="22"/>
        </w:rPr>
        <w:t>). The 71 samples comprised</w:t>
      </w:r>
      <w:r w:rsidRPr="004F29FB">
        <w:rPr>
          <w:sz w:val="22"/>
          <w:szCs w:val="22"/>
        </w:rPr>
        <w:t xml:space="preserve"> 54 different species, five of which </w:t>
      </w:r>
      <w:proofErr w:type="gramStart"/>
      <w:r w:rsidRPr="004F29FB">
        <w:rPr>
          <w:sz w:val="22"/>
          <w:szCs w:val="22"/>
        </w:rPr>
        <w:t>were newly described</w:t>
      </w:r>
      <w:proofErr w:type="gramEnd"/>
      <w:r w:rsidRPr="004F29FB">
        <w:rPr>
          <w:sz w:val="22"/>
          <w:szCs w:val="22"/>
        </w:rPr>
        <w:t>.</w:t>
      </w:r>
    </w:p>
    <w:p w14:paraId="11D6CF7B" w14:textId="77777777" w:rsidR="004F29FB" w:rsidRPr="004F29FB" w:rsidRDefault="004F29FB" w:rsidP="004F29FB">
      <w:pPr>
        <w:spacing w:before="1" w:line="276" w:lineRule="auto"/>
        <w:ind w:right="373"/>
        <w:rPr>
          <w:sz w:val="22"/>
          <w:szCs w:val="22"/>
        </w:rPr>
      </w:pPr>
    </w:p>
    <w:p w14:paraId="78E260C5" w14:textId="352799C6" w:rsidR="004F29FB" w:rsidRDefault="004F29FB" w:rsidP="004F29FB">
      <w:pPr>
        <w:spacing w:line="276" w:lineRule="auto"/>
        <w:rPr>
          <w:color w:val="000000"/>
          <w:sz w:val="22"/>
          <w:szCs w:val="22"/>
        </w:rPr>
      </w:pPr>
      <w:r w:rsidRPr="004F29FB">
        <w:rPr>
          <w:sz w:val="22"/>
          <w:szCs w:val="22"/>
        </w:rPr>
        <w:t xml:space="preserve">The 72 sub-samples </w:t>
      </w:r>
      <w:proofErr w:type="gramStart"/>
      <w:r w:rsidRPr="004F29FB">
        <w:rPr>
          <w:sz w:val="22"/>
          <w:szCs w:val="22"/>
        </w:rPr>
        <w:t>were also forwarded</w:t>
      </w:r>
      <w:proofErr w:type="gramEnd"/>
      <w:r w:rsidRPr="004F29FB">
        <w:rPr>
          <w:sz w:val="22"/>
          <w:szCs w:val="22"/>
        </w:rPr>
        <w:t xml:space="preserve"> to </w:t>
      </w:r>
      <w:r w:rsidRPr="004F29FB">
        <w:rPr>
          <w:color w:val="000000"/>
          <w:sz w:val="22"/>
          <w:szCs w:val="22"/>
        </w:rPr>
        <w:t xml:space="preserve">Meredith Everett (NWFSC-Molecular-genetics) for DNA extraction and sequencing. To date, 40 of the 72 samples </w:t>
      </w:r>
      <w:proofErr w:type="gramStart"/>
      <w:r w:rsidRPr="004F29FB">
        <w:rPr>
          <w:color w:val="000000"/>
          <w:sz w:val="22"/>
          <w:szCs w:val="22"/>
        </w:rPr>
        <w:t>have been successfully amplified</w:t>
      </w:r>
      <w:proofErr w:type="gramEnd"/>
      <w:r w:rsidRPr="004F29FB">
        <w:rPr>
          <w:color w:val="000000"/>
          <w:sz w:val="22"/>
          <w:szCs w:val="22"/>
        </w:rPr>
        <w:t xml:space="preserve"> and sequences have been obtained for 20 of these. An additional 20 failed to sequence due to a now solved instrument error and sequencing is underway. Troubleshooting the remaining </w:t>
      </w:r>
      <w:proofErr w:type="gramStart"/>
      <w:r w:rsidRPr="004F29FB">
        <w:rPr>
          <w:color w:val="000000"/>
          <w:sz w:val="22"/>
          <w:szCs w:val="22"/>
        </w:rPr>
        <w:t>samples which failed to amplify in the first round</w:t>
      </w:r>
      <w:proofErr w:type="gramEnd"/>
      <w:r w:rsidRPr="004F29FB">
        <w:rPr>
          <w:color w:val="000000"/>
          <w:sz w:val="22"/>
          <w:szCs w:val="22"/>
        </w:rPr>
        <w:t xml:space="preserve"> is ongoing. </w:t>
      </w:r>
    </w:p>
    <w:p w14:paraId="4B4316A6" w14:textId="57039422" w:rsidR="004F29FB" w:rsidRDefault="004F29FB" w:rsidP="004F29FB">
      <w:pPr>
        <w:spacing w:line="276" w:lineRule="auto"/>
        <w:rPr>
          <w:color w:val="000000"/>
          <w:sz w:val="22"/>
          <w:szCs w:val="22"/>
        </w:rPr>
      </w:pPr>
    </w:p>
    <w:p w14:paraId="3808C579" w14:textId="68D2FBBC" w:rsidR="004F29FB" w:rsidRDefault="004F29FB" w:rsidP="004F29FB">
      <w:pPr>
        <w:spacing w:before="2" w:line="276" w:lineRule="auto"/>
        <w:rPr>
          <w:color w:val="231F20"/>
          <w:sz w:val="22"/>
          <w:szCs w:val="22"/>
        </w:rPr>
      </w:pPr>
      <w:r w:rsidRPr="004F29FB">
        <w:rPr>
          <w:color w:val="000000"/>
          <w:sz w:val="22"/>
          <w:szCs w:val="22"/>
        </w:rPr>
        <w:t xml:space="preserve">Additional </w:t>
      </w:r>
      <w:r>
        <w:rPr>
          <w:color w:val="000000"/>
          <w:sz w:val="22"/>
          <w:szCs w:val="22"/>
        </w:rPr>
        <w:t>c</w:t>
      </w:r>
      <w:r w:rsidRPr="004F29FB">
        <w:rPr>
          <w:color w:val="000000"/>
          <w:sz w:val="22"/>
          <w:szCs w:val="22"/>
        </w:rPr>
        <w:t>ollaborators</w:t>
      </w:r>
      <w:r>
        <w:rPr>
          <w:color w:val="000000"/>
          <w:sz w:val="22"/>
          <w:szCs w:val="22"/>
        </w:rPr>
        <w:t xml:space="preserve"> on this project are </w:t>
      </w:r>
      <w:r w:rsidRPr="004F29FB">
        <w:rPr>
          <w:color w:val="000000"/>
          <w:sz w:val="22"/>
          <w:szCs w:val="22"/>
        </w:rPr>
        <w:t>Meredith Everett,</w:t>
      </w:r>
      <w:r w:rsidRPr="004F29FB">
        <w:rPr>
          <w:color w:val="000000"/>
          <w:sz w:val="22"/>
          <w:szCs w:val="22"/>
          <w:vertAlign w:val="superscript"/>
        </w:rPr>
        <w:t xml:space="preserve"> </w:t>
      </w:r>
      <w:r w:rsidRPr="004F29FB">
        <w:rPr>
          <w:color w:val="000000"/>
          <w:sz w:val="22"/>
          <w:szCs w:val="22"/>
        </w:rPr>
        <w:t>NWFSC-Molecular-genetics division (</w:t>
      </w:r>
      <w:hyperlink r:id="rId93" w:history="1">
        <w:r w:rsidRPr="00DB1AB4">
          <w:rPr>
            <w:rStyle w:val="Hyperlink"/>
            <w:sz w:val="22"/>
            <w:szCs w:val="22"/>
          </w:rPr>
          <w:t>meredith.everett@noaa.gov</w:t>
        </w:r>
      </w:hyperlink>
      <w:r w:rsidRPr="004F29FB">
        <w:rPr>
          <w:color w:val="000000"/>
          <w:sz w:val="22"/>
          <w:szCs w:val="22"/>
        </w:rPr>
        <w:t>)</w:t>
      </w:r>
      <w:r>
        <w:rPr>
          <w:color w:val="000000"/>
          <w:sz w:val="22"/>
          <w:szCs w:val="22"/>
        </w:rPr>
        <w:t xml:space="preserve"> and </w:t>
      </w:r>
      <w:r w:rsidRPr="004F29FB">
        <w:rPr>
          <w:color w:val="000000"/>
          <w:sz w:val="22"/>
          <w:szCs w:val="22"/>
        </w:rPr>
        <w:t xml:space="preserve">Helmut </w:t>
      </w:r>
      <w:r w:rsidRPr="004F29FB">
        <w:rPr>
          <w:color w:val="231F20"/>
          <w:sz w:val="22"/>
          <w:szCs w:val="22"/>
        </w:rPr>
        <w:t>Lehnert</w:t>
      </w:r>
      <w:r w:rsidRPr="004F29FB">
        <w:rPr>
          <w:color w:val="000000"/>
          <w:sz w:val="22"/>
          <w:szCs w:val="22"/>
        </w:rPr>
        <w:t xml:space="preserve">, </w:t>
      </w:r>
      <w:r w:rsidRPr="004F29FB">
        <w:rPr>
          <w:color w:val="231F20"/>
          <w:sz w:val="22"/>
          <w:szCs w:val="22"/>
        </w:rPr>
        <w:t>GeoBio-Center LMU München (</w:t>
      </w:r>
      <w:hyperlink r:id="rId94" w:history="1">
        <w:r w:rsidRPr="00DB1AB4">
          <w:rPr>
            <w:rStyle w:val="Hyperlink"/>
            <w:sz w:val="22"/>
            <w:szCs w:val="22"/>
          </w:rPr>
          <w:t>Lehnert@spongetaxonomics.de</w:t>
        </w:r>
      </w:hyperlink>
      <w:r w:rsidRPr="004F29FB">
        <w:rPr>
          <w:color w:val="231F20"/>
          <w:sz w:val="22"/>
          <w:szCs w:val="22"/>
        </w:rPr>
        <w:t>)</w:t>
      </w:r>
    </w:p>
    <w:p w14:paraId="130B9A8C" w14:textId="766AD7C4" w:rsidR="004F29FB" w:rsidRDefault="004F29FB" w:rsidP="004F29FB">
      <w:pPr>
        <w:spacing w:before="2" w:line="276" w:lineRule="auto"/>
        <w:rPr>
          <w:color w:val="231F20"/>
          <w:sz w:val="22"/>
          <w:szCs w:val="22"/>
        </w:rPr>
      </w:pPr>
    </w:p>
    <w:p w14:paraId="6CEDDB21" w14:textId="77777777" w:rsidR="004F29FB" w:rsidRPr="004F29FB" w:rsidRDefault="004F29FB" w:rsidP="004F29FB">
      <w:pPr>
        <w:spacing w:before="42" w:line="276" w:lineRule="auto"/>
        <w:rPr>
          <w:sz w:val="22"/>
          <w:szCs w:val="22"/>
        </w:rPr>
      </w:pPr>
      <w:r w:rsidRPr="004F29FB">
        <w:rPr>
          <w:color w:val="000000"/>
          <w:sz w:val="22"/>
          <w:szCs w:val="22"/>
        </w:rPr>
        <w:t xml:space="preserve">There is a feature story on NOAA Fisheries Website about the 2021 </w:t>
      </w:r>
      <w:proofErr w:type="gramStart"/>
      <w:r w:rsidRPr="004F29FB">
        <w:rPr>
          <w:color w:val="000000"/>
          <w:sz w:val="22"/>
          <w:szCs w:val="22"/>
        </w:rPr>
        <w:t>field work</w:t>
      </w:r>
      <w:proofErr w:type="gramEnd"/>
      <w:r w:rsidRPr="004F29FB">
        <w:rPr>
          <w:color w:val="000000"/>
          <w:sz w:val="22"/>
          <w:szCs w:val="22"/>
        </w:rPr>
        <w:t xml:space="preserve">, which can be found here: </w:t>
      </w:r>
      <w:hyperlink r:id="rId95">
        <w:r w:rsidRPr="004F29FB">
          <w:rPr>
            <w:rStyle w:val="InternetLink"/>
            <w:sz w:val="22"/>
            <w:szCs w:val="22"/>
          </w:rPr>
          <w:t>https://www.fisheries.noaa.gov/feature-story/discovering-deep-sea-sponges-alaska</w:t>
        </w:r>
      </w:hyperlink>
    </w:p>
    <w:p w14:paraId="7BE45FF4" w14:textId="77777777" w:rsidR="004F29FB" w:rsidRPr="004F29FB" w:rsidRDefault="004F29FB" w:rsidP="004F29FB">
      <w:pPr>
        <w:spacing w:before="2" w:line="276" w:lineRule="auto"/>
        <w:rPr>
          <w:color w:val="000000"/>
          <w:sz w:val="22"/>
          <w:szCs w:val="22"/>
        </w:rPr>
      </w:pPr>
    </w:p>
    <w:p w14:paraId="21235CB4" w14:textId="767E0926" w:rsidR="004F29FB" w:rsidRPr="004F29FB" w:rsidRDefault="004F29FB" w:rsidP="004F29FB">
      <w:pPr>
        <w:spacing w:line="276" w:lineRule="auto"/>
        <w:rPr>
          <w:sz w:val="22"/>
          <w:szCs w:val="22"/>
        </w:rPr>
      </w:pPr>
      <w:r>
        <w:rPr>
          <w:sz w:val="22"/>
          <w:szCs w:val="22"/>
        </w:rPr>
        <w:t xml:space="preserve">For more </w:t>
      </w:r>
      <w:proofErr w:type="gramStart"/>
      <w:r>
        <w:rPr>
          <w:sz w:val="22"/>
          <w:szCs w:val="22"/>
        </w:rPr>
        <w:t>information</w:t>
      </w:r>
      <w:proofErr w:type="gramEnd"/>
      <w:r>
        <w:rPr>
          <w:sz w:val="22"/>
          <w:szCs w:val="22"/>
        </w:rPr>
        <w:t xml:space="preserve"> contact </w:t>
      </w:r>
      <w:r w:rsidRPr="004F29FB">
        <w:rPr>
          <w:sz w:val="22"/>
          <w:szCs w:val="22"/>
        </w:rPr>
        <w:t>Sean Rooney, AFSC-RACE Division (sean.rooney@noaa.gov)</w:t>
      </w:r>
    </w:p>
    <w:p w14:paraId="39D1CE07" w14:textId="77777777" w:rsidR="004F29FB" w:rsidRPr="004F29FB" w:rsidRDefault="004F29FB" w:rsidP="004F29FB">
      <w:pPr>
        <w:spacing w:line="276" w:lineRule="auto"/>
        <w:rPr>
          <w:i/>
          <w:sz w:val="22"/>
          <w:szCs w:val="22"/>
        </w:rPr>
      </w:pPr>
    </w:p>
    <w:p w14:paraId="044B2EE4" w14:textId="5A12744D" w:rsidR="004F29FB" w:rsidRDefault="00012650" w:rsidP="00012650">
      <w:pPr>
        <w:jc w:val="center"/>
        <w:rPr>
          <w:sz w:val="22"/>
          <w:szCs w:val="22"/>
        </w:rPr>
      </w:pPr>
      <w:r>
        <w:rPr>
          <w:noProof/>
          <w:sz w:val="22"/>
          <w:szCs w:val="22"/>
        </w:rPr>
        <w:lastRenderedPageBreak/>
        <w:drawing>
          <wp:inline distT="0" distB="0" distL="0" distR="0" wp14:anchorId="55D1C7BC" wp14:editId="1C6674CF">
            <wp:extent cx="3929561" cy="334315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1.jpg"/>
                    <pic:cNvPicPr/>
                  </pic:nvPicPr>
                  <pic:blipFill rotWithShape="1">
                    <a:blip r:embed="rId96">
                      <a:extLst>
                        <a:ext uri="{28A0092B-C50C-407E-A947-70E740481C1C}">
                          <a14:useLocalDpi xmlns:a14="http://schemas.microsoft.com/office/drawing/2010/main" val="0"/>
                        </a:ext>
                      </a:extLst>
                    </a:blip>
                    <a:srcRect l="17156" r="16727"/>
                    <a:stretch/>
                  </pic:blipFill>
                  <pic:spPr bwMode="auto">
                    <a:xfrm>
                      <a:off x="0" y="0"/>
                      <a:ext cx="3929705" cy="3343275"/>
                    </a:xfrm>
                    <a:prstGeom prst="rect">
                      <a:avLst/>
                    </a:prstGeom>
                    <a:ln>
                      <a:noFill/>
                    </a:ln>
                    <a:extLst>
                      <a:ext uri="{53640926-AAD7-44D8-BBD7-CCE9431645EC}">
                        <a14:shadowObscured xmlns:a14="http://schemas.microsoft.com/office/drawing/2010/main"/>
                      </a:ext>
                    </a:extLst>
                  </pic:spPr>
                </pic:pic>
              </a:graphicData>
            </a:graphic>
          </wp:inline>
        </w:drawing>
      </w:r>
    </w:p>
    <w:p w14:paraId="1104899D" w14:textId="44E7D8EE" w:rsidR="00012650" w:rsidRDefault="00012650" w:rsidP="00DE3EE8">
      <w:pPr>
        <w:rPr>
          <w:sz w:val="22"/>
          <w:szCs w:val="22"/>
        </w:rPr>
      </w:pPr>
      <w:r>
        <w:rPr>
          <w:sz w:val="22"/>
          <w:szCs w:val="22"/>
        </w:rPr>
        <w:t xml:space="preserve">Figure 1. </w:t>
      </w:r>
      <w:proofErr w:type="gramStart"/>
      <w:r>
        <w:rPr>
          <w:sz w:val="22"/>
          <w:szCs w:val="22"/>
        </w:rPr>
        <w:t>2022</w:t>
      </w:r>
      <w:proofErr w:type="gramEnd"/>
      <w:r>
        <w:rPr>
          <w:sz w:val="22"/>
          <w:szCs w:val="22"/>
        </w:rPr>
        <w:t xml:space="preserve"> Aleutian Islands bottom trawl survey occupied stations.</w:t>
      </w:r>
    </w:p>
    <w:p w14:paraId="0D79FD0D" w14:textId="43B5A681" w:rsidR="00012650" w:rsidRDefault="00012650" w:rsidP="00DE3EE8">
      <w:pPr>
        <w:rPr>
          <w:sz w:val="22"/>
          <w:szCs w:val="22"/>
        </w:rPr>
      </w:pPr>
    </w:p>
    <w:p w14:paraId="2AC17E6D" w14:textId="2B166C0C" w:rsidR="00012650" w:rsidRDefault="00012650" w:rsidP="00DE3EE8">
      <w:pPr>
        <w:rPr>
          <w:sz w:val="22"/>
          <w:szCs w:val="22"/>
        </w:rPr>
      </w:pPr>
      <w:r>
        <w:rPr>
          <w:noProof/>
          <w:sz w:val="22"/>
          <w:szCs w:val="22"/>
        </w:rPr>
        <w:drawing>
          <wp:inline distT="0" distB="0" distL="0" distR="0" wp14:anchorId="0D92A499" wp14:editId="00117BD3">
            <wp:extent cx="5943600" cy="33432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2.jpg"/>
                    <pic:cNvPicPr/>
                  </pic:nvPicPr>
                  <pic:blipFill>
                    <a:blip r:embed="rId97">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163BCCEC" w14:textId="6096D6FC" w:rsidR="00012650" w:rsidRDefault="00012650" w:rsidP="00DE3EE8">
      <w:pPr>
        <w:rPr>
          <w:sz w:val="22"/>
          <w:szCs w:val="22"/>
        </w:rPr>
      </w:pPr>
    </w:p>
    <w:p w14:paraId="15C25D43" w14:textId="0964B348" w:rsidR="00012650" w:rsidRDefault="00012650" w:rsidP="00DE3EE8">
      <w:pPr>
        <w:rPr>
          <w:sz w:val="22"/>
          <w:szCs w:val="22"/>
        </w:rPr>
      </w:pPr>
      <w:r w:rsidRPr="00012650">
        <w:rPr>
          <w:sz w:val="22"/>
          <w:szCs w:val="22"/>
        </w:rPr>
        <w:t>Figure 2. Example images of sponges collected in the Aleutian Islands.</w:t>
      </w:r>
    </w:p>
    <w:p w14:paraId="7D2F9113" w14:textId="62EC54F3" w:rsidR="008C5A5C" w:rsidRDefault="008C5A5C">
      <w:pPr>
        <w:widowControl/>
        <w:spacing w:after="160" w:line="259" w:lineRule="auto"/>
        <w:rPr>
          <w:sz w:val="22"/>
          <w:szCs w:val="22"/>
        </w:rPr>
      </w:pPr>
      <w:r>
        <w:rPr>
          <w:sz w:val="22"/>
          <w:szCs w:val="22"/>
        </w:rPr>
        <w:br w:type="page"/>
      </w:r>
    </w:p>
    <w:p w14:paraId="1F83EAE3" w14:textId="77777777" w:rsidR="00012650" w:rsidRDefault="00012650" w:rsidP="00DE3EE8">
      <w:pPr>
        <w:rPr>
          <w:sz w:val="22"/>
          <w:szCs w:val="22"/>
        </w:rPr>
      </w:pPr>
    </w:p>
    <w:p w14:paraId="65ACF098" w14:textId="47E0EAE0" w:rsidR="008C5A5C" w:rsidRDefault="008C5A5C" w:rsidP="008C5A5C">
      <w:pPr>
        <w:pStyle w:val="Heading5"/>
      </w:pPr>
      <w:bookmarkStart w:id="169" w:name="_Toc131503910"/>
      <w:r>
        <w:t>Science-Industry Rockfish Research Collaboration in Alaska (SIRRCA) – RACE-GAP/APU FAST</w:t>
      </w:r>
      <w:bookmarkEnd w:id="169"/>
    </w:p>
    <w:p w14:paraId="03AB66E9" w14:textId="6C556A3E" w:rsidR="008C5A5C" w:rsidRPr="008C5A5C" w:rsidRDefault="008C5A5C" w:rsidP="008C5A5C">
      <w:pPr>
        <w:spacing w:before="240" w:after="240"/>
        <w:rPr>
          <w:sz w:val="22"/>
          <w:szCs w:val="22"/>
        </w:rPr>
      </w:pPr>
      <w:r w:rsidRPr="008C5A5C">
        <w:rPr>
          <w:sz w:val="22"/>
          <w:szCs w:val="22"/>
        </w:rPr>
        <w:t xml:space="preserve">Over time, the Alaska Fisheries Science Center (AFSC) Gulf of Alaska (GOA) bottom trawl survey has systematically identified certain habitats as untrawlable and subsequently eliminated these habitats from survey sampling (Figure 1). The label of “untrawlable” is a functional definition describing habitats that are unavailable to sample using survey gear while maintaining constant bottom contact. Rockfish </w:t>
      </w:r>
      <w:proofErr w:type="gramStart"/>
      <w:r w:rsidRPr="008C5A5C">
        <w:rPr>
          <w:sz w:val="22"/>
          <w:szCs w:val="22"/>
        </w:rPr>
        <w:t>can be found</w:t>
      </w:r>
      <w:proofErr w:type="gramEnd"/>
      <w:r w:rsidRPr="008C5A5C">
        <w:rPr>
          <w:sz w:val="22"/>
          <w:szCs w:val="22"/>
        </w:rPr>
        <w:t xml:space="preserve"> in both trawlable and untrawlable habitats (Zimmermann 2003), but Jones et al. (2021) found increased densities for several rockfish species (</w:t>
      </w:r>
      <w:r w:rsidRPr="008C5A5C">
        <w:rPr>
          <w:i/>
          <w:sz w:val="22"/>
          <w:szCs w:val="22"/>
        </w:rPr>
        <w:t>Sebastes</w:t>
      </w:r>
      <w:r w:rsidRPr="008C5A5C">
        <w:rPr>
          <w:sz w:val="22"/>
          <w:szCs w:val="22"/>
        </w:rPr>
        <w:t xml:space="preserve"> spp.) in untrawlable habitats. There has been speculation that estimates of abundance for rockfish species in the GOA are both imprecise and inaccurate because the trawl survey is generally unable to sample in areas where many of these species are mo</w:t>
      </w:r>
      <w:r>
        <w:rPr>
          <w:sz w:val="22"/>
          <w:szCs w:val="22"/>
        </w:rPr>
        <w:t>re</w:t>
      </w:r>
      <w:r w:rsidRPr="008C5A5C">
        <w:rPr>
          <w:sz w:val="22"/>
          <w:szCs w:val="22"/>
        </w:rPr>
        <w:t xml:space="preserve"> abundant, and habitats </w:t>
      </w:r>
      <w:proofErr w:type="gramStart"/>
      <w:r w:rsidRPr="008C5A5C">
        <w:rPr>
          <w:sz w:val="22"/>
          <w:szCs w:val="22"/>
        </w:rPr>
        <w:t>are thus not being sampled</w:t>
      </w:r>
      <w:proofErr w:type="gramEnd"/>
      <w:r w:rsidRPr="008C5A5C">
        <w:rPr>
          <w:sz w:val="22"/>
          <w:szCs w:val="22"/>
        </w:rPr>
        <w:t xml:space="preserve"> in proportion to their importance (Rooper and Martin 2012). One potential solution to this problem is </w:t>
      </w:r>
      <w:proofErr w:type="gramStart"/>
      <w:r w:rsidRPr="008C5A5C">
        <w:rPr>
          <w:sz w:val="22"/>
          <w:szCs w:val="22"/>
        </w:rPr>
        <w:t>to cooperatively collect</w:t>
      </w:r>
      <w:proofErr w:type="gramEnd"/>
      <w:r w:rsidRPr="008C5A5C">
        <w:rPr>
          <w:sz w:val="22"/>
          <w:szCs w:val="22"/>
        </w:rPr>
        <w:t xml:space="preserve"> data in untrawlable habitats with partners in the fishing industry, as industry boats successfully fish many areas that are unavailable to the bottom trawl survey.</w:t>
      </w:r>
    </w:p>
    <w:p w14:paraId="6197A97F" w14:textId="17B457E2" w:rsidR="008C5A5C" w:rsidRPr="008C5A5C" w:rsidRDefault="008C5A5C" w:rsidP="008C5A5C">
      <w:pPr>
        <w:spacing w:before="240" w:after="240"/>
        <w:rPr>
          <w:sz w:val="22"/>
          <w:szCs w:val="22"/>
        </w:rPr>
      </w:pPr>
      <w:r w:rsidRPr="008C5A5C">
        <w:rPr>
          <w:sz w:val="22"/>
          <w:szCs w:val="22"/>
        </w:rPr>
        <w:t>Beginning in 2020, AFSC began pursuing cooperative work with the GOA fishing industry via the Science-Industry Rockfish Research Collaboration in Alaska (SIRRCA). SIRRCA aims to develop a solution for quantifying commercial fishery catch and effort data for several rockfish species focused on adding information from untrawlable habitats through cooperative sampling of these habitats by fishery vessels, supplying valuable data to the stock assessment from areas not sampled by the survey. Th</w:t>
      </w:r>
      <w:r>
        <w:rPr>
          <w:sz w:val="22"/>
          <w:szCs w:val="22"/>
        </w:rPr>
        <w:t>ese</w:t>
      </w:r>
      <w:r w:rsidRPr="008C5A5C">
        <w:rPr>
          <w:sz w:val="22"/>
          <w:szCs w:val="22"/>
        </w:rPr>
        <w:t xml:space="preserve"> cooperatively collected data will serve as a supplemental source of population abundance information and aid in understanding differences between survey and commercial gear catchability between different habitat types. Additionally, this work can inform how estimates of abundance (including the magnitude and variability) </w:t>
      </w:r>
      <w:proofErr w:type="gramStart"/>
      <w:r w:rsidRPr="008C5A5C">
        <w:rPr>
          <w:sz w:val="22"/>
          <w:szCs w:val="22"/>
        </w:rPr>
        <w:t>are impacted</w:t>
      </w:r>
      <w:proofErr w:type="gramEnd"/>
      <w:r w:rsidRPr="008C5A5C">
        <w:rPr>
          <w:sz w:val="22"/>
          <w:szCs w:val="22"/>
        </w:rPr>
        <w:t xml:space="preserve"> by gear </w:t>
      </w:r>
      <w:r>
        <w:rPr>
          <w:sz w:val="22"/>
          <w:szCs w:val="22"/>
        </w:rPr>
        <w:t>deployment</w:t>
      </w:r>
      <w:r w:rsidRPr="008C5A5C">
        <w:rPr>
          <w:sz w:val="22"/>
          <w:szCs w:val="22"/>
        </w:rPr>
        <w:t xml:space="preserve"> in trawlable versus untrawlable habitats.</w:t>
      </w:r>
    </w:p>
    <w:p w14:paraId="124E5777" w14:textId="30FF7B2A" w:rsidR="008C5A5C" w:rsidRPr="008C5A5C" w:rsidRDefault="008C5A5C" w:rsidP="008C5A5C">
      <w:pPr>
        <w:spacing w:before="240" w:after="240"/>
        <w:rPr>
          <w:sz w:val="22"/>
          <w:szCs w:val="22"/>
        </w:rPr>
      </w:pPr>
      <w:r w:rsidRPr="008C5A5C">
        <w:rPr>
          <w:sz w:val="22"/>
          <w:szCs w:val="22"/>
        </w:rPr>
        <w:t>SIRRCA began fieldwork aboard 2 catcher-processor vessels (</w:t>
      </w:r>
      <w:r w:rsidRPr="008C5A5C">
        <w:rPr>
          <w:i/>
          <w:sz w:val="22"/>
          <w:szCs w:val="22"/>
        </w:rPr>
        <w:t>F/V America’s Finest</w:t>
      </w:r>
      <w:r w:rsidRPr="008C5A5C">
        <w:rPr>
          <w:sz w:val="22"/>
          <w:szCs w:val="22"/>
        </w:rPr>
        <w:t xml:space="preserve">, </w:t>
      </w:r>
      <w:r w:rsidRPr="008C5A5C">
        <w:rPr>
          <w:i/>
          <w:sz w:val="22"/>
          <w:szCs w:val="22"/>
        </w:rPr>
        <w:t>F/V Seafisher</w:t>
      </w:r>
      <w:r w:rsidRPr="008C5A5C">
        <w:rPr>
          <w:sz w:val="22"/>
          <w:szCs w:val="22"/>
        </w:rPr>
        <w:t xml:space="preserve">) in 2021 concurrent with the biennial Gulf of Alaska bottom trawl survey (GOA BTS), sampling 29 calibration stations (cells defined as “trawlable” in the GOA BTS grid) and 2 experimental stations (cells defined as “untrawlable”). We had a willing third participant in the </w:t>
      </w:r>
      <w:r w:rsidRPr="008C5A5C">
        <w:rPr>
          <w:i/>
          <w:sz w:val="22"/>
          <w:szCs w:val="22"/>
        </w:rPr>
        <w:t>F/V Araho</w:t>
      </w:r>
      <w:r w:rsidRPr="008C5A5C">
        <w:rPr>
          <w:sz w:val="22"/>
          <w:szCs w:val="22"/>
        </w:rPr>
        <w:t xml:space="preserve">, but weather prevented a critical transfer and we missed our ability to collaborate. In 2022, an </w:t>
      </w:r>
      <w:proofErr w:type="gramStart"/>
      <w:r w:rsidRPr="008C5A5C">
        <w:rPr>
          <w:sz w:val="22"/>
          <w:szCs w:val="22"/>
        </w:rPr>
        <w:t>off-year</w:t>
      </w:r>
      <w:proofErr w:type="gramEnd"/>
      <w:r w:rsidRPr="008C5A5C">
        <w:rPr>
          <w:sz w:val="22"/>
          <w:szCs w:val="22"/>
        </w:rPr>
        <w:t xml:space="preserve"> for the GOA BTS, we conducted 6 test-tows in experimental cells aboard the Kodiak catcher vessel </w:t>
      </w:r>
      <w:r w:rsidRPr="008C5A5C">
        <w:rPr>
          <w:i/>
          <w:sz w:val="22"/>
          <w:szCs w:val="22"/>
        </w:rPr>
        <w:t>F/V Evie Grace</w:t>
      </w:r>
      <w:r w:rsidRPr="008C5A5C">
        <w:rPr>
          <w:sz w:val="22"/>
          <w:szCs w:val="22"/>
        </w:rPr>
        <w:t xml:space="preserve">. The locations of the SIRCCA pilot tows conducted in 2021 </w:t>
      </w:r>
      <w:proofErr w:type="gramStart"/>
      <w:r w:rsidRPr="008C5A5C">
        <w:rPr>
          <w:sz w:val="22"/>
          <w:szCs w:val="22"/>
        </w:rPr>
        <w:t>are shown</w:t>
      </w:r>
      <w:proofErr w:type="gramEnd"/>
      <w:r w:rsidRPr="008C5A5C">
        <w:rPr>
          <w:sz w:val="22"/>
          <w:szCs w:val="22"/>
        </w:rPr>
        <w:t xml:space="preserve"> in Figure 2.</w:t>
      </w:r>
    </w:p>
    <w:p w14:paraId="627E1A0A" w14:textId="2AA975D5" w:rsidR="008C5A5C" w:rsidRPr="008C5A5C" w:rsidRDefault="008C5A5C" w:rsidP="008C5A5C">
      <w:pPr>
        <w:spacing w:before="240" w:after="240"/>
        <w:rPr>
          <w:sz w:val="22"/>
          <w:szCs w:val="22"/>
        </w:rPr>
      </w:pPr>
      <w:r w:rsidRPr="008C5A5C">
        <w:rPr>
          <w:sz w:val="22"/>
          <w:szCs w:val="22"/>
        </w:rPr>
        <w:t xml:space="preserve">SIRRCA is preparing for a third consecutive year of data collection after receiving funding support from the National Cooperative Research Program in 2021 and 2022. While </w:t>
      </w:r>
      <w:proofErr w:type="gramStart"/>
      <w:r w:rsidRPr="008C5A5C">
        <w:rPr>
          <w:sz w:val="22"/>
          <w:szCs w:val="22"/>
        </w:rPr>
        <w:t>previous sampling efforts were completed by Madison Hall</w:t>
      </w:r>
      <w:proofErr w:type="gramEnd"/>
      <w:r w:rsidRPr="008C5A5C">
        <w:rPr>
          <w:sz w:val="22"/>
          <w:szCs w:val="22"/>
        </w:rPr>
        <w:t>, either alone or with an assistant, 2023 sampling will be coordinated and supervised by Madison Hall</w:t>
      </w:r>
      <w:r>
        <w:rPr>
          <w:sz w:val="22"/>
          <w:szCs w:val="22"/>
        </w:rPr>
        <w:t>,</w:t>
      </w:r>
      <w:r w:rsidRPr="008C5A5C">
        <w:rPr>
          <w:sz w:val="22"/>
          <w:szCs w:val="22"/>
        </w:rPr>
        <w:t xml:space="preserve"> but conducted by teams of government contracted sea samplers. These teams will be </w:t>
      </w:r>
      <w:proofErr w:type="gramStart"/>
      <w:r w:rsidRPr="008C5A5C">
        <w:rPr>
          <w:sz w:val="22"/>
          <w:szCs w:val="22"/>
        </w:rPr>
        <w:t>deployed</w:t>
      </w:r>
      <w:proofErr w:type="gramEnd"/>
      <w:r w:rsidRPr="008C5A5C">
        <w:rPr>
          <w:sz w:val="22"/>
          <w:szCs w:val="22"/>
        </w:rPr>
        <w:t xml:space="preserve"> as our participating vessels are ready to receive them and will likely be operating in the GOA simultaneously to the GOA BTS. </w:t>
      </w:r>
    </w:p>
    <w:p w14:paraId="1AB9D91D" w14:textId="77777777" w:rsidR="008C5A5C" w:rsidRPr="008C5A5C" w:rsidRDefault="008C5A5C" w:rsidP="008C5A5C">
      <w:pPr>
        <w:spacing w:before="240" w:after="240"/>
        <w:rPr>
          <w:sz w:val="22"/>
          <w:szCs w:val="22"/>
        </w:rPr>
      </w:pPr>
      <w:r w:rsidRPr="008C5A5C">
        <w:rPr>
          <w:sz w:val="22"/>
          <w:szCs w:val="22"/>
        </w:rPr>
        <w:t>Once the 2023 SIRRCA survey commences, participating vessels can request that a team of samplers meet the vessel in Dutch Harbor, AK or Kodiak, AK. In the interest of facilitating cooperation with multiple willing partner vessels, government contracted sea samplers will accompany each vessel for one trip and then will be available to rotate to a new participating vessel. Barring other issues, SIRRCA will continue sampling until we have reached our total station goal, or until we have consumed the 100 funded at-sea sampling days.</w:t>
      </w:r>
    </w:p>
    <w:p w14:paraId="66CADB17" w14:textId="77777777" w:rsidR="008C5A5C" w:rsidRPr="008C5A5C" w:rsidRDefault="008C5A5C" w:rsidP="008C5A5C">
      <w:pPr>
        <w:rPr>
          <w:sz w:val="22"/>
          <w:szCs w:val="22"/>
        </w:rPr>
      </w:pPr>
      <w:r w:rsidRPr="008C5A5C">
        <w:rPr>
          <w:sz w:val="22"/>
          <w:szCs w:val="22"/>
        </w:rPr>
        <w:t>Objectives of the 2023 SIRRCA survey include:</w:t>
      </w:r>
    </w:p>
    <w:p w14:paraId="0F43EBFB" w14:textId="77777777" w:rsidR="008C5A5C" w:rsidRPr="008C5A5C" w:rsidRDefault="008C5A5C" w:rsidP="008C5A5C">
      <w:pPr>
        <w:rPr>
          <w:sz w:val="22"/>
          <w:szCs w:val="22"/>
        </w:rPr>
      </w:pPr>
      <w:r w:rsidRPr="008C5A5C">
        <w:rPr>
          <w:sz w:val="22"/>
          <w:szCs w:val="22"/>
        </w:rPr>
        <w:t xml:space="preserve"> </w:t>
      </w:r>
    </w:p>
    <w:p w14:paraId="3BC0C1DE" w14:textId="77777777" w:rsidR="008C5A5C" w:rsidRPr="008C5A5C" w:rsidRDefault="008C5A5C" w:rsidP="008C5A5C">
      <w:pPr>
        <w:ind w:left="1260" w:hanging="260"/>
        <w:rPr>
          <w:sz w:val="22"/>
          <w:szCs w:val="22"/>
        </w:rPr>
      </w:pPr>
      <w:r w:rsidRPr="008C5A5C">
        <w:rPr>
          <w:sz w:val="22"/>
          <w:szCs w:val="22"/>
        </w:rPr>
        <w:lastRenderedPageBreak/>
        <w:t xml:space="preserve">1. Measure the abundance (numbers), biomass (weight), and species composition of the catch, and size composition of Pacific </w:t>
      </w:r>
      <w:proofErr w:type="gramStart"/>
      <w:r w:rsidRPr="008C5A5C">
        <w:rPr>
          <w:sz w:val="22"/>
          <w:szCs w:val="22"/>
        </w:rPr>
        <w:t>ocean</w:t>
      </w:r>
      <w:proofErr w:type="gramEnd"/>
      <w:r w:rsidRPr="008C5A5C">
        <w:rPr>
          <w:sz w:val="22"/>
          <w:szCs w:val="22"/>
        </w:rPr>
        <w:t xml:space="preserve"> perch, northern rockfish, and dusky rockfish.</w:t>
      </w:r>
    </w:p>
    <w:p w14:paraId="6CDA38A3" w14:textId="77777777" w:rsidR="008C5A5C" w:rsidRPr="008C5A5C" w:rsidRDefault="008C5A5C" w:rsidP="008C5A5C">
      <w:pPr>
        <w:ind w:left="1260" w:hanging="260"/>
        <w:rPr>
          <w:sz w:val="22"/>
          <w:szCs w:val="22"/>
        </w:rPr>
      </w:pPr>
      <w:r w:rsidRPr="008C5A5C">
        <w:rPr>
          <w:sz w:val="22"/>
          <w:szCs w:val="22"/>
        </w:rPr>
        <w:t xml:space="preserve"> </w:t>
      </w:r>
    </w:p>
    <w:p w14:paraId="0ABBC100" w14:textId="77777777" w:rsidR="008C5A5C" w:rsidRPr="008C5A5C" w:rsidRDefault="008C5A5C" w:rsidP="008C5A5C">
      <w:pPr>
        <w:ind w:left="1260" w:hanging="260"/>
        <w:rPr>
          <w:sz w:val="22"/>
          <w:szCs w:val="22"/>
        </w:rPr>
      </w:pPr>
      <w:r w:rsidRPr="008C5A5C">
        <w:rPr>
          <w:sz w:val="22"/>
          <w:szCs w:val="22"/>
        </w:rPr>
        <w:t>2. Calibrate SIRRCA vessel CPUE to GOA BTS CPUE by performing tows at 15 scheduled 2023 GOA BTS stations defined as “trawlable”</w:t>
      </w:r>
    </w:p>
    <w:p w14:paraId="5FE7D32C" w14:textId="77777777" w:rsidR="008C5A5C" w:rsidRPr="008C5A5C" w:rsidRDefault="008C5A5C" w:rsidP="008C5A5C">
      <w:pPr>
        <w:ind w:left="1260" w:hanging="260"/>
        <w:rPr>
          <w:sz w:val="22"/>
          <w:szCs w:val="22"/>
        </w:rPr>
      </w:pPr>
      <w:r w:rsidRPr="008C5A5C">
        <w:rPr>
          <w:sz w:val="22"/>
          <w:szCs w:val="22"/>
        </w:rPr>
        <w:t xml:space="preserve"> </w:t>
      </w:r>
    </w:p>
    <w:p w14:paraId="5B9D2556" w14:textId="77777777" w:rsidR="008C5A5C" w:rsidRPr="008C5A5C" w:rsidRDefault="008C5A5C" w:rsidP="008C5A5C">
      <w:pPr>
        <w:ind w:left="1260" w:hanging="260"/>
        <w:rPr>
          <w:sz w:val="22"/>
          <w:szCs w:val="22"/>
        </w:rPr>
      </w:pPr>
      <w:r w:rsidRPr="008C5A5C">
        <w:rPr>
          <w:sz w:val="22"/>
          <w:szCs w:val="22"/>
        </w:rPr>
        <w:t>3. Conduct tows at 45 randomly selected GOA BTS stations currently defined as “untrawlable”</w:t>
      </w:r>
    </w:p>
    <w:p w14:paraId="36AE32BA" w14:textId="77777777" w:rsidR="008C5A5C" w:rsidRPr="008C5A5C" w:rsidRDefault="008C5A5C" w:rsidP="008C5A5C">
      <w:pPr>
        <w:ind w:left="1260" w:hanging="260"/>
        <w:rPr>
          <w:sz w:val="22"/>
          <w:szCs w:val="22"/>
        </w:rPr>
      </w:pPr>
      <w:r w:rsidRPr="008C5A5C">
        <w:rPr>
          <w:sz w:val="22"/>
          <w:szCs w:val="22"/>
        </w:rPr>
        <w:t xml:space="preserve"> </w:t>
      </w:r>
    </w:p>
    <w:p w14:paraId="53DCE548" w14:textId="77777777" w:rsidR="008C5A5C" w:rsidRPr="008C5A5C" w:rsidRDefault="008C5A5C" w:rsidP="008C5A5C">
      <w:pPr>
        <w:ind w:left="1260" w:hanging="260"/>
        <w:rPr>
          <w:sz w:val="22"/>
          <w:szCs w:val="22"/>
        </w:rPr>
      </w:pPr>
      <w:r w:rsidRPr="008C5A5C">
        <w:rPr>
          <w:sz w:val="22"/>
          <w:szCs w:val="22"/>
        </w:rPr>
        <w:t>4. Record echosounder data streams from vessels during SIRRCA survey tows and record to external hard drives</w:t>
      </w:r>
    </w:p>
    <w:p w14:paraId="0067CE7B" w14:textId="77777777" w:rsidR="008C5A5C" w:rsidRPr="008C5A5C" w:rsidRDefault="008C5A5C" w:rsidP="008C5A5C">
      <w:pPr>
        <w:rPr>
          <w:sz w:val="22"/>
          <w:szCs w:val="22"/>
        </w:rPr>
      </w:pPr>
    </w:p>
    <w:p w14:paraId="392689B9" w14:textId="034EC853" w:rsidR="008C5A5C" w:rsidRPr="008C5A5C" w:rsidRDefault="008C5A5C" w:rsidP="008C5A5C">
      <w:pPr>
        <w:rPr>
          <w:i/>
          <w:sz w:val="22"/>
          <w:szCs w:val="22"/>
        </w:rPr>
      </w:pPr>
      <w:r w:rsidRPr="008C5A5C">
        <w:rPr>
          <w:sz w:val="22"/>
          <w:szCs w:val="22"/>
        </w:rPr>
        <w:t>Experimental Design</w:t>
      </w:r>
    </w:p>
    <w:p w14:paraId="167E3EA6" w14:textId="77777777" w:rsidR="008C5A5C" w:rsidRPr="008C5A5C" w:rsidRDefault="008C5A5C" w:rsidP="008C5A5C">
      <w:pPr>
        <w:rPr>
          <w:i/>
          <w:sz w:val="22"/>
          <w:szCs w:val="22"/>
        </w:rPr>
      </w:pPr>
    </w:p>
    <w:p w14:paraId="043621E0" w14:textId="6E512872" w:rsidR="008C5A5C" w:rsidRPr="008C5A5C" w:rsidRDefault="008C5A5C" w:rsidP="008C5A5C">
      <w:pPr>
        <w:rPr>
          <w:sz w:val="22"/>
          <w:szCs w:val="22"/>
        </w:rPr>
      </w:pPr>
      <w:r w:rsidRPr="008C5A5C">
        <w:rPr>
          <w:sz w:val="22"/>
          <w:szCs w:val="22"/>
        </w:rPr>
        <w:t xml:space="preserve">SIRRCA tows </w:t>
      </w:r>
      <w:proofErr w:type="gramStart"/>
      <w:r w:rsidRPr="008C5A5C">
        <w:rPr>
          <w:sz w:val="22"/>
          <w:szCs w:val="22"/>
        </w:rPr>
        <w:t>will be conducted</w:t>
      </w:r>
      <w:proofErr w:type="gramEnd"/>
      <w:r w:rsidRPr="008C5A5C">
        <w:rPr>
          <w:sz w:val="22"/>
          <w:szCs w:val="22"/>
        </w:rPr>
        <w:t xml:space="preserve"> </w:t>
      </w:r>
      <w:r>
        <w:rPr>
          <w:sz w:val="22"/>
          <w:szCs w:val="22"/>
        </w:rPr>
        <w:t>at</w:t>
      </w:r>
      <w:r w:rsidRPr="008C5A5C">
        <w:rPr>
          <w:sz w:val="22"/>
          <w:szCs w:val="22"/>
        </w:rPr>
        <w:t xml:space="preserve"> stations defined by the AFSC GOA BTS grid (5</w:t>
      </w:r>
      <w:r>
        <w:rPr>
          <w:sz w:val="22"/>
          <w:szCs w:val="22"/>
        </w:rPr>
        <w:t xml:space="preserve"> × </w:t>
      </w:r>
      <w:r w:rsidRPr="008C5A5C">
        <w:rPr>
          <w:sz w:val="22"/>
          <w:szCs w:val="22"/>
        </w:rPr>
        <w:t>5</w:t>
      </w:r>
      <w:r>
        <w:rPr>
          <w:sz w:val="22"/>
          <w:szCs w:val="22"/>
        </w:rPr>
        <w:t xml:space="preserve"> </w:t>
      </w:r>
      <w:r w:rsidRPr="008C5A5C">
        <w:rPr>
          <w:sz w:val="22"/>
          <w:szCs w:val="22"/>
        </w:rPr>
        <w:t xml:space="preserve">km grid cells) and the sampling burden will be distributed among the participating 2023 vessels. Approximately 2.7% of all possible NMFS survey stations </w:t>
      </w:r>
      <w:proofErr w:type="gramStart"/>
      <w:r w:rsidRPr="008C5A5C">
        <w:rPr>
          <w:sz w:val="22"/>
          <w:szCs w:val="22"/>
        </w:rPr>
        <w:t>are selected</w:t>
      </w:r>
      <w:proofErr w:type="gramEnd"/>
      <w:r w:rsidRPr="008C5A5C">
        <w:rPr>
          <w:sz w:val="22"/>
          <w:szCs w:val="22"/>
        </w:rPr>
        <w:t xml:space="preserve"> for sampling in a given two-boat GOA BTS year. If SIRRCA sampled untrawlable cells at this same rate during our 2023 data collection season, we would aim to sample 45 untrawlable GOA bottom trawl survey stations (1719 </w:t>
      </w:r>
      <w:r>
        <w:rPr>
          <w:sz w:val="22"/>
          <w:szCs w:val="22"/>
        </w:rPr>
        <w:t>[</w:t>
      </w:r>
      <w:r w:rsidRPr="008C5A5C">
        <w:rPr>
          <w:sz w:val="22"/>
          <w:szCs w:val="22"/>
        </w:rPr>
        <w:t>number of untrawlable stations</w:t>
      </w:r>
      <w:r>
        <w:rPr>
          <w:sz w:val="22"/>
          <w:szCs w:val="22"/>
        </w:rPr>
        <w:t>]</w:t>
      </w:r>
      <w:r w:rsidRPr="008C5A5C">
        <w:rPr>
          <w:sz w:val="22"/>
          <w:szCs w:val="22"/>
        </w:rPr>
        <w:t xml:space="preserve"> *</w:t>
      </w:r>
      <w:r>
        <w:rPr>
          <w:sz w:val="22"/>
          <w:szCs w:val="22"/>
        </w:rPr>
        <w:t xml:space="preserve"> </w:t>
      </w:r>
      <w:r w:rsidRPr="008C5A5C">
        <w:rPr>
          <w:sz w:val="22"/>
          <w:szCs w:val="22"/>
        </w:rPr>
        <w:t xml:space="preserve">0.027 = 46.4 stations). We will also aim to sample 15 calibration stations where the GOA BTS will survey. We will complete two tows per calibration cell and one tow per experimental cell, equaling </w:t>
      </w:r>
      <w:proofErr w:type="gramStart"/>
      <w:r w:rsidRPr="008C5A5C">
        <w:rPr>
          <w:sz w:val="22"/>
          <w:szCs w:val="22"/>
        </w:rPr>
        <w:t>a total of 75</w:t>
      </w:r>
      <w:proofErr w:type="gramEnd"/>
      <w:r w:rsidRPr="008C5A5C">
        <w:rPr>
          <w:sz w:val="22"/>
          <w:szCs w:val="22"/>
        </w:rPr>
        <w:t xml:space="preserve"> SIRRCA hauls for the 2023 survey. This plan is subject to changes due to individual vessel’s fishing plans or willingness to participate.</w:t>
      </w:r>
    </w:p>
    <w:p w14:paraId="2BBE515D" w14:textId="77777777" w:rsidR="008C5A5C" w:rsidRPr="008C5A5C" w:rsidRDefault="008C5A5C" w:rsidP="008C5A5C">
      <w:pPr>
        <w:rPr>
          <w:sz w:val="22"/>
          <w:szCs w:val="22"/>
        </w:rPr>
      </w:pPr>
    </w:p>
    <w:p w14:paraId="3F441F19" w14:textId="77777777" w:rsidR="008C5A5C" w:rsidRPr="008C5A5C" w:rsidRDefault="008C5A5C" w:rsidP="008C5A5C">
      <w:pPr>
        <w:rPr>
          <w:sz w:val="22"/>
          <w:szCs w:val="22"/>
        </w:rPr>
      </w:pPr>
      <w:r w:rsidRPr="008C5A5C">
        <w:rPr>
          <w:sz w:val="22"/>
          <w:szCs w:val="22"/>
        </w:rPr>
        <w:t xml:space="preserve">Three primary sources of information will be collected for each haul: 1) total catch weight and number, 2) species composition of catch (to then estimate species-specific catch weight and numbers), and 3) length frequencies of our target species (Pacific ocean perch, northern rockfish, and dusky rockfish). Each sea sampler team will conduct SIRRCA sampling concurrently with, but downstream from observer sampling and will not interfere with standard observer protocols. The team will collect data only on 15-minute, standard cooperative research </w:t>
      </w:r>
      <w:proofErr w:type="gramStart"/>
      <w:r w:rsidRPr="008C5A5C">
        <w:rPr>
          <w:sz w:val="22"/>
          <w:szCs w:val="22"/>
        </w:rPr>
        <w:t>tows,</w:t>
      </w:r>
      <w:proofErr w:type="gramEnd"/>
      <w:r w:rsidRPr="008C5A5C">
        <w:rPr>
          <w:sz w:val="22"/>
          <w:szCs w:val="22"/>
        </w:rPr>
        <w:t xml:space="preserve"> no data will be collected by our scientists during normal fishing operations. All rockfish species of interest </w:t>
      </w:r>
      <w:proofErr w:type="gramStart"/>
      <w:r w:rsidRPr="008C5A5C">
        <w:rPr>
          <w:sz w:val="22"/>
          <w:szCs w:val="22"/>
        </w:rPr>
        <w:t>will be sorted into baskets by species and subsampled for weights, counts and lengths</w:t>
      </w:r>
      <w:proofErr w:type="gramEnd"/>
      <w:r w:rsidRPr="008C5A5C">
        <w:rPr>
          <w:sz w:val="22"/>
          <w:szCs w:val="22"/>
        </w:rPr>
        <w:t>. Sorting of species is performed by vessel crew, all other on deck/ factory/ wheelhouse data collection tasks are performed by SIRRCA scientists. We will subsample at least 200 lengths per species in order to match the requirements for rockfish lengths on the AFSC bottom trawl survey. We will not collect any otoliths in 2023.</w:t>
      </w:r>
    </w:p>
    <w:p w14:paraId="3369D268" w14:textId="77777777" w:rsidR="008C5A5C" w:rsidRPr="008C5A5C" w:rsidRDefault="008C5A5C" w:rsidP="008C5A5C">
      <w:pPr>
        <w:rPr>
          <w:sz w:val="22"/>
          <w:szCs w:val="22"/>
        </w:rPr>
      </w:pPr>
    </w:p>
    <w:p w14:paraId="7DB9AED4" w14:textId="77777777" w:rsidR="008C5A5C" w:rsidRPr="008C5A5C" w:rsidRDefault="008C5A5C" w:rsidP="008C5A5C">
      <w:pPr>
        <w:rPr>
          <w:sz w:val="22"/>
          <w:szCs w:val="22"/>
        </w:rPr>
      </w:pPr>
      <w:r w:rsidRPr="008C5A5C">
        <w:rPr>
          <w:sz w:val="22"/>
          <w:szCs w:val="22"/>
        </w:rPr>
        <w:t xml:space="preserve">For calibration tows, cells are ranked according to the number of times that cell has been successfully sampled by the survey in previous years and the historical proportion of catches from survey data for our species of interest; final calibration station selection is opportunistic but informed by this information (Figure 3). During the survey, SIRRCA scientists and the captain will collectively decide which calibration station to sample based on 1) the information in the provided maps and 2) the proximity of the station to the vessel’s normal fishing operations. For experimental tows, the industry’s normal summer fishing grounds across the Gulf of Alaska were plotted, and we eliminated (1) BTS survey strata where the industry does not regularly fish, and (2) BTS survey strata where the proportion of biomass for our target rockfish species was less than 10% (as estimated by recent BTS surveys). Finally, 45 experimental cells </w:t>
      </w:r>
      <w:proofErr w:type="gramStart"/>
      <w:r w:rsidRPr="008C5A5C">
        <w:rPr>
          <w:sz w:val="22"/>
          <w:szCs w:val="22"/>
        </w:rPr>
        <w:t>were selected</w:t>
      </w:r>
      <w:proofErr w:type="gramEnd"/>
      <w:r w:rsidRPr="008C5A5C">
        <w:rPr>
          <w:sz w:val="22"/>
          <w:szCs w:val="22"/>
        </w:rPr>
        <w:t xml:space="preserve"> using a stratified random design from the remaining BTS strata (Figure 4). The number of experimental stations allocated to each of these strata was directly proportional to the number of untrawlable stations in each stratum divided by the total number of untrawlable stations in all considered strata.</w:t>
      </w:r>
    </w:p>
    <w:p w14:paraId="5774ED0E" w14:textId="77777777" w:rsidR="008C5A5C" w:rsidRPr="008C5A5C" w:rsidRDefault="008C5A5C" w:rsidP="008C5A5C">
      <w:pPr>
        <w:rPr>
          <w:sz w:val="22"/>
          <w:szCs w:val="22"/>
        </w:rPr>
      </w:pPr>
    </w:p>
    <w:p w14:paraId="3BB71D9C" w14:textId="77777777" w:rsidR="008C5A5C" w:rsidRPr="008C5A5C" w:rsidRDefault="008C5A5C" w:rsidP="008C5A5C">
      <w:pPr>
        <w:rPr>
          <w:sz w:val="22"/>
          <w:szCs w:val="22"/>
        </w:rPr>
      </w:pPr>
    </w:p>
    <w:p w14:paraId="7AF7B63F" w14:textId="77777777" w:rsidR="008C5A5C" w:rsidRPr="008C5A5C" w:rsidRDefault="008C5A5C" w:rsidP="008C5A5C">
      <w:pPr>
        <w:rPr>
          <w:sz w:val="22"/>
          <w:szCs w:val="22"/>
        </w:rPr>
      </w:pPr>
      <w:r w:rsidRPr="008C5A5C">
        <w:rPr>
          <w:sz w:val="22"/>
          <w:szCs w:val="22"/>
        </w:rPr>
        <w:lastRenderedPageBreak/>
        <w:t xml:space="preserve">Lastly, SIRRCA has focused on using simulations to quantify the impact of additional information on the bias and precision of rockfish biomass estimates. Preliminary results from this study (Figure 5) indicated that a trawlable-only survey (representing current GOA BTS methods) of N=550 stations produced biomass estimates about 1/3 below the simulated population total (bias = -0.303, cv=0.219), whereas the all-habitats survey of the same size in the same seascape overestimated by less than 5% (bias = 0.035, cv=0.254). Comparing trawlable only and all habitat surveys, average CV was slightly lower in trawlable-only surveys but average bias was lower in “all-habitat” surveys. Across survey sizes, average bias for trawlable-only surveys was consistently low by around 1/3, ranging from from -0.350 to -0.283. The range in average bias for “all habitat” surveys in this seascape included </w:t>
      </w:r>
      <w:proofErr w:type="gramStart"/>
      <w:r w:rsidRPr="008C5A5C">
        <w:rPr>
          <w:sz w:val="22"/>
          <w:szCs w:val="22"/>
        </w:rPr>
        <w:t>0</w:t>
      </w:r>
      <w:proofErr w:type="gramEnd"/>
      <w:r w:rsidRPr="008C5A5C">
        <w:rPr>
          <w:sz w:val="22"/>
          <w:szCs w:val="22"/>
        </w:rPr>
        <w:t xml:space="preserve"> and was more narrow, ranging from -0.061 to 0.036. These preliminary results indicate that adding SIRRCA data from untrawlable habitats to the assessment process could make meaningful improvements for some rockfish estimates. </w:t>
      </w:r>
    </w:p>
    <w:p w14:paraId="0C178128" w14:textId="77777777" w:rsidR="008C5A5C" w:rsidRPr="008C5A5C" w:rsidRDefault="008C5A5C" w:rsidP="008C5A5C">
      <w:pPr>
        <w:rPr>
          <w:sz w:val="22"/>
          <w:szCs w:val="22"/>
        </w:rPr>
      </w:pPr>
    </w:p>
    <w:p w14:paraId="7CC28F27" w14:textId="77777777" w:rsidR="008C5A5C" w:rsidRPr="008C5A5C" w:rsidRDefault="008C5A5C" w:rsidP="008C5A5C">
      <w:pPr>
        <w:rPr>
          <w:sz w:val="22"/>
          <w:szCs w:val="22"/>
        </w:rPr>
      </w:pPr>
    </w:p>
    <w:p w14:paraId="4EFAD124" w14:textId="67F3E529" w:rsidR="008C5A5C" w:rsidRPr="008C5A5C" w:rsidRDefault="008C5A5C" w:rsidP="008C5A5C">
      <w:pPr>
        <w:rPr>
          <w:sz w:val="22"/>
          <w:szCs w:val="22"/>
        </w:rPr>
      </w:pPr>
      <w:r w:rsidRPr="008C5A5C">
        <w:rPr>
          <w:b/>
          <w:noProof/>
          <w:sz w:val="22"/>
          <w:szCs w:val="22"/>
        </w:rPr>
        <w:drawing>
          <wp:inline distT="114300" distB="114300" distL="114300" distR="114300" wp14:anchorId="12AB4D69" wp14:editId="50C55DC1">
            <wp:extent cx="4969470" cy="3822669"/>
            <wp:effectExtent l="0" t="0" r="0" b="0"/>
            <wp:docPr id="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8"/>
                    <a:srcRect/>
                    <a:stretch>
                      <a:fillRect/>
                    </a:stretch>
                  </pic:blipFill>
                  <pic:spPr>
                    <a:xfrm>
                      <a:off x="0" y="0"/>
                      <a:ext cx="4969470" cy="3822669"/>
                    </a:xfrm>
                    <a:prstGeom prst="rect">
                      <a:avLst/>
                    </a:prstGeom>
                    <a:ln/>
                  </pic:spPr>
                </pic:pic>
              </a:graphicData>
            </a:graphic>
          </wp:inline>
        </w:drawing>
      </w:r>
    </w:p>
    <w:p w14:paraId="0736233B" w14:textId="4286377A" w:rsidR="008C5A5C" w:rsidRPr="008C5A5C" w:rsidRDefault="008C5A5C" w:rsidP="008C5A5C">
      <w:pPr>
        <w:spacing w:before="240" w:after="240"/>
        <w:rPr>
          <w:sz w:val="22"/>
          <w:szCs w:val="22"/>
        </w:rPr>
      </w:pPr>
      <w:r w:rsidRPr="008C5A5C">
        <w:rPr>
          <w:sz w:val="22"/>
          <w:szCs w:val="22"/>
        </w:rPr>
        <w:t>Figure 1. Locations of all potential untrawlable habitat sampling locations in the Gulf of Alaska bottom trawl survey grid (n=1788</w:t>
      </w:r>
      <w:r>
        <w:rPr>
          <w:sz w:val="22"/>
          <w:szCs w:val="22"/>
        </w:rPr>
        <w:t>; red cells</w:t>
      </w:r>
      <w:r w:rsidRPr="008C5A5C">
        <w:rPr>
          <w:sz w:val="22"/>
          <w:szCs w:val="22"/>
        </w:rPr>
        <w:t>).</w:t>
      </w:r>
    </w:p>
    <w:p w14:paraId="61368C11" w14:textId="208FFDAA" w:rsidR="008C5A5C" w:rsidRPr="008C5A5C" w:rsidRDefault="008C5A5C" w:rsidP="008C5A5C">
      <w:pPr>
        <w:rPr>
          <w:b/>
          <w:sz w:val="22"/>
          <w:szCs w:val="22"/>
        </w:rPr>
      </w:pPr>
    </w:p>
    <w:p w14:paraId="49381FC0" w14:textId="77777777" w:rsidR="008C5A5C" w:rsidRPr="008C5A5C" w:rsidRDefault="008C5A5C" w:rsidP="008C5A5C">
      <w:pPr>
        <w:spacing w:before="240"/>
        <w:rPr>
          <w:b/>
          <w:sz w:val="22"/>
          <w:szCs w:val="22"/>
        </w:rPr>
      </w:pPr>
      <w:r w:rsidRPr="008C5A5C">
        <w:rPr>
          <w:b/>
          <w:noProof/>
          <w:sz w:val="22"/>
          <w:szCs w:val="22"/>
        </w:rPr>
        <w:lastRenderedPageBreak/>
        <w:drawing>
          <wp:inline distT="114300" distB="114300" distL="114300" distR="114300" wp14:anchorId="00F9852D" wp14:editId="7F76C8E4">
            <wp:extent cx="5943600" cy="4584700"/>
            <wp:effectExtent l="0" t="0" r="0" b="0"/>
            <wp:docPr id="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9"/>
                    <a:srcRect/>
                    <a:stretch>
                      <a:fillRect/>
                    </a:stretch>
                  </pic:blipFill>
                  <pic:spPr>
                    <a:xfrm>
                      <a:off x="0" y="0"/>
                      <a:ext cx="5943600" cy="4584700"/>
                    </a:xfrm>
                    <a:prstGeom prst="rect">
                      <a:avLst/>
                    </a:prstGeom>
                    <a:ln/>
                  </pic:spPr>
                </pic:pic>
              </a:graphicData>
            </a:graphic>
          </wp:inline>
        </w:drawing>
      </w:r>
    </w:p>
    <w:p w14:paraId="24BFA315" w14:textId="57D04DC4" w:rsidR="008C5A5C" w:rsidRPr="008C5A5C" w:rsidRDefault="008C5A5C" w:rsidP="008C5A5C">
      <w:pPr>
        <w:spacing w:before="240"/>
        <w:rPr>
          <w:sz w:val="22"/>
          <w:szCs w:val="22"/>
        </w:rPr>
      </w:pPr>
      <w:r w:rsidRPr="008C5A5C">
        <w:rPr>
          <w:sz w:val="22"/>
          <w:szCs w:val="22"/>
        </w:rPr>
        <w:t>Figure 2. Locations of 30 GOA BTS stations sampled during 2021 cooperative sampling.</w:t>
      </w:r>
      <w:r w:rsidRPr="008C5A5C">
        <w:rPr>
          <w:b/>
          <w:sz w:val="22"/>
          <w:szCs w:val="22"/>
        </w:rPr>
        <w:t xml:space="preserve"> </w:t>
      </w:r>
      <w:r w:rsidRPr="008C5A5C">
        <w:rPr>
          <w:sz w:val="22"/>
          <w:szCs w:val="22"/>
        </w:rPr>
        <w:t>Stations where calibration tows were conducted are shown in pink</w:t>
      </w:r>
      <w:r>
        <w:rPr>
          <w:sz w:val="22"/>
          <w:szCs w:val="22"/>
        </w:rPr>
        <w:t>;</w:t>
      </w:r>
      <w:r w:rsidRPr="008C5A5C">
        <w:rPr>
          <w:sz w:val="22"/>
          <w:szCs w:val="22"/>
        </w:rPr>
        <w:t xml:space="preserve"> n</w:t>
      </w:r>
      <w:r>
        <w:rPr>
          <w:sz w:val="22"/>
          <w:szCs w:val="22"/>
        </w:rPr>
        <w:t xml:space="preserve"> </w:t>
      </w:r>
      <w:r w:rsidRPr="008C5A5C">
        <w:rPr>
          <w:sz w:val="22"/>
          <w:szCs w:val="22"/>
        </w:rPr>
        <w:t>= 29); untrawlable stations are shown in blue (n</w:t>
      </w:r>
      <w:r>
        <w:rPr>
          <w:sz w:val="22"/>
          <w:szCs w:val="22"/>
        </w:rPr>
        <w:t xml:space="preserve"> </w:t>
      </w:r>
      <w:r w:rsidRPr="008C5A5C">
        <w:rPr>
          <w:sz w:val="22"/>
          <w:szCs w:val="22"/>
        </w:rPr>
        <w:t>= 2).</w:t>
      </w:r>
    </w:p>
    <w:p w14:paraId="4BA7A540" w14:textId="77777777" w:rsidR="008C5A5C" w:rsidRPr="008C5A5C" w:rsidRDefault="008C5A5C" w:rsidP="008C5A5C">
      <w:pPr>
        <w:rPr>
          <w:sz w:val="22"/>
          <w:szCs w:val="22"/>
        </w:rPr>
      </w:pPr>
      <w:r w:rsidRPr="008C5A5C">
        <w:rPr>
          <w:noProof/>
          <w:sz w:val="22"/>
          <w:szCs w:val="22"/>
        </w:rPr>
        <w:lastRenderedPageBreak/>
        <w:drawing>
          <wp:inline distT="114300" distB="114300" distL="114300" distR="114300" wp14:anchorId="0B05BFDB" wp14:editId="769DD84C">
            <wp:extent cx="5943600" cy="3302000"/>
            <wp:effectExtent l="0" t="0" r="0" b="0"/>
            <wp:docPr id="10"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00"/>
                    <a:srcRect/>
                    <a:stretch>
                      <a:fillRect/>
                    </a:stretch>
                  </pic:blipFill>
                  <pic:spPr>
                    <a:xfrm>
                      <a:off x="0" y="0"/>
                      <a:ext cx="5943600" cy="3302000"/>
                    </a:xfrm>
                    <a:prstGeom prst="rect">
                      <a:avLst/>
                    </a:prstGeom>
                    <a:ln/>
                  </pic:spPr>
                </pic:pic>
              </a:graphicData>
            </a:graphic>
          </wp:inline>
        </w:drawing>
      </w:r>
    </w:p>
    <w:p w14:paraId="641CF0E0" w14:textId="2F21BEBD" w:rsidR="008C5A5C" w:rsidRPr="008C5A5C" w:rsidRDefault="008C5A5C" w:rsidP="008C5A5C">
      <w:pPr>
        <w:rPr>
          <w:sz w:val="22"/>
          <w:szCs w:val="22"/>
        </w:rPr>
      </w:pPr>
      <w:r w:rsidRPr="008C5A5C">
        <w:rPr>
          <w:sz w:val="22"/>
          <w:szCs w:val="22"/>
        </w:rPr>
        <w:t>Figure 3: Top calibration station options for 2023 (</w:t>
      </w:r>
      <w:r>
        <w:rPr>
          <w:sz w:val="22"/>
          <w:szCs w:val="22"/>
        </w:rPr>
        <w:t xml:space="preserve">n </w:t>
      </w:r>
      <w:r w:rsidRPr="008C5A5C">
        <w:rPr>
          <w:sz w:val="22"/>
          <w:szCs w:val="22"/>
        </w:rPr>
        <w:t>=</w:t>
      </w:r>
      <w:r>
        <w:rPr>
          <w:sz w:val="22"/>
          <w:szCs w:val="22"/>
        </w:rPr>
        <w:t xml:space="preserve"> </w:t>
      </w:r>
      <w:r w:rsidRPr="008C5A5C">
        <w:rPr>
          <w:sz w:val="22"/>
          <w:szCs w:val="22"/>
        </w:rPr>
        <w:t>42) based on previous successful survey sampling efforts and high previous rockfish catches by weight. Legend displays number of previous successful survey samples.</w:t>
      </w:r>
    </w:p>
    <w:p w14:paraId="45EA1A93" w14:textId="77777777" w:rsidR="008C5A5C" w:rsidRPr="008C5A5C" w:rsidRDefault="008C5A5C" w:rsidP="008C5A5C">
      <w:pPr>
        <w:spacing w:before="240" w:after="240"/>
        <w:rPr>
          <w:b/>
          <w:sz w:val="22"/>
          <w:szCs w:val="22"/>
        </w:rPr>
      </w:pPr>
    </w:p>
    <w:p w14:paraId="410A6094" w14:textId="77777777" w:rsidR="008C5A5C" w:rsidRPr="008C5A5C" w:rsidRDefault="008C5A5C" w:rsidP="008C5A5C">
      <w:pPr>
        <w:rPr>
          <w:b/>
          <w:sz w:val="22"/>
          <w:szCs w:val="22"/>
        </w:rPr>
      </w:pPr>
      <w:r w:rsidRPr="008C5A5C">
        <w:rPr>
          <w:b/>
          <w:noProof/>
          <w:sz w:val="22"/>
          <w:szCs w:val="22"/>
        </w:rPr>
        <w:lastRenderedPageBreak/>
        <w:drawing>
          <wp:inline distT="114300" distB="114300" distL="114300" distR="114300" wp14:anchorId="207FCE1A" wp14:editId="621283E6">
            <wp:extent cx="5943600" cy="4089400"/>
            <wp:effectExtent l="0" t="0" r="0" b="0"/>
            <wp:docPr id="7"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01"/>
                    <a:srcRect/>
                    <a:stretch>
                      <a:fillRect/>
                    </a:stretch>
                  </pic:blipFill>
                  <pic:spPr>
                    <a:xfrm>
                      <a:off x="0" y="0"/>
                      <a:ext cx="5943600" cy="4089400"/>
                    </a:xfrm>
                    <a:prstGeom prst="rect">
                      <a:avLst/>
                    </a:prstGeom>
                    <a:ln/>
                  </pic:spPr>
                </pic:pic>
              </a:graphicData>
            </a:graphic>
          </wp:inline>
        </w:drawing>
      </w:r>
    </w:p>
    <w:p w14:paraId="542BA3F8" w14:textId="173FD6B9" w:rsidR="008C5A5C" w:rsidRDefault="008C5A5C" w:rsidP="008C5A5C">
      <w:pPr>
        <w:rPr>
          <w:sz w:val="22"/>
          <w:szCs w:val="22"/>
        </w:rPr>
      </w:pPr>
      <w:r w:rsidRPr="008C5A5C">
        <w:rPr>
          <w:sz w:val="22"/>
          <w:szCs w:val="22"/>
        </w:rPr>
        <w:t xml:space="preserve">Figure 4. Locations of 2023 SIRRCA experimental survey stations. Stations within each stratum were selected by stratified random sampling and are depicted in red (n=45); the strata considered in this process are depicted in blue (n=5), whereas all other strata not considered for our 2023 untrawlable habitat survey are depicted in purple (n=54). </w:t>
      </w:r>
    </w:p>
    <w:p w14:paraId="071D4450" w14:textId="77777777" w:rsidR="008C5A5C" w:rsidRDefault="008C5A5C">
      <w:pPr>
        <w:widowControl/>
        <w:spacing w:after="160" w:line="259" w:lineRule="auto"/>
        <w:rPr>
          <w:sz w:val="22"/>
          <w:szCs w:val="22"/>
        </w:rPr>
      </w:pPr>
      <w:r>
        <w:rPr>
          <w:sz w:val="22"/>
          <w:szCs w:val="22"/>
        </w:rPr>
        <w:br w:type="page"/>
      </w:r>
    </w:p>
    <w:p w14:paraId="08BEB559" w14:textId="77777777" w:rsidR="008C5A5C" w:rsidRPr="008C5A5C" w:rsidRDefault="008C5A5C" w:rsidP="008C5A5C">
      <w:pPr>
        <w:rPr>
          <w:sz w:val="22"/>
          <w:szCs w:val="22"/>
        </w:rPr>
      </w:pPr>
    </w:p>
    <w:p w14:paraId="0BA5C9B3" w14:textId="77777777" w:rsidR="008C5A5C" w:rsidRPr="008C5A5C" w:rsidRDefault="008C5A5C" w:rsidP="008C5A5C">
      <w:pPr>
        <w:spacing w:before="240" w:after="240"/>
        <w:rPr>
          <w:sz w:val="22"/>
          <w:szCs w:val="22"/>
        </w:rPr>
      </w:pPr>
      <w:r w:rsidRPr="008C5A5C">
        <w:rPr>
          <w:noProof/>
          <w:sz w:val="22"/>
          <w:szCs w:val="22"/>
        </w:rPr>
        <w:drawing>
          <wp:inline distT="114300" distB="114300" distL="114300" distR="114300" wp14:anchorId="7B5B0131" wp14:editId="6D49B18E">
            <wp:extent cx="2900363" cy="1464352"/>
            <wp:effectExtent l="0" t="0" r="0" b="0"/>
            <wp:docPr id="1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2"/>
                    <a:srcRect/>
                    <a:stretch>
                      <a:fillRect/>
                    </a:stretch>
                  </pic:blipFill>
                  <pic:spPr>
                    <a:xfrm>
                      <a:off x="0" y="0"/>
                      <a:ext cx="2900363" cy="1464352"/>
                    </a:xfrm>
                    <a:prstGeom prst="rect">
                      <a:avLst/>
                    </a:prstGeom>
                    <a:ln/>
                  </pic:spPr>
                </pic:pic>
              </a:graphicData>
            </a:graphic>
          </wp:inline>
        </w:drawing>
      </w:r>
      <w:r w:rsidRPr="008C5A5C">
        <w:rPr>
          <w:noProof/>
          <w:sz w:val="22"/>
          <w:szCs w:val="22"/>
        </w:rPr>
        <w:drawing>
          <wp:inline distT="114300" distB="114300" distL="114300" distR="114300" wp14:anchorId="3F2D7F0F" wp14:editId="4F7040A2">
            <wp:extent cx="2919413" cy="1459706"/>
            <wp:effectExtent l="0" t="0" r="0" b="0"/>
            <wp:docPr id="1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3"/>
                    <a:srcRect/>
                    <a:stretch>
                      <a:fillRect/>
                    </a:stretch>
                  </pic:blipFill>
                  <pic:spPr>
                    <a:xfrm>
                      <a:off x="0" y="0"/>
                      <a:ext cx="2919413" cy="1459706"/>
                    </a:xfrm>
                    <a:prstGeom prst="rect">
                      <a:avLst/>
                    </a:prstGeom>
                    <a:ln/>
                  </pic:spPr>
                </pic:pic>
              </a:graphicData>
            </a:graphic>
          </wp:inline>
        </w:drawing>
      </w:r>
    </w:p>
    <w:p w14:paraId="723786A1" w14:textId="311FFEF5" w:rsidR="008C5A5C" w:rsidRPr="008C5A5C" w:rsidRDefault="008C5A5C" w:rsidP="008C5A5C">
      <w:pPr>
        <w:spacing w:before="240" w:after="240"/>
        <w:rPr>
          <w:sz w:val="22"/>
          <w:szCs w:val="22"/>
        </w:rPr>
      </w:pPr>
      <w:r w:rsidRPr="008C5A5C">
        <w:rPr>
          <w:noProof/>
          <w:sz w:val="22"/>
          <w:szCs w:val="22"/>
        </w:rPr>
        <w:drawing>
          <wp:inline distT="114300" distB="114300" distL="114300" distR="114300" wp14:anchorId="206C6D0E" wp14:editId="7AA082A1">
            <wp:extent cx="2903272" cy="1446938"/>
            <wp:effectExtent l="0" t="0" r="0" b="0"/>
            <wp:docPr id="1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4"/>
                    <a:srcRect/>
                    <a:stretch>
                      <a:fillRect/>
                    </a:stretch>
                  </pic:blipFill>
                  <pic:spPr>
                    <a:xfrm>
                      <a:off x="0" y="0"/>
                      <a:ext cx="2903272" cy="1446938"/>
                    </a:xfrm>
                    <a:prstGeom prst="rect">
                      <a:avLst/>
                    </a:prstGeom>
                    <a:ln/>
                  </pic:spPr>
                </pic:pic>
              </a:graphicData>
            </a:graphic>
          </wp:inline>
        </w:drawing>
      </w:r>
      <w:r w:rsidRPr="008C5A5C">
        <w:rPr>
          <w:noProof/>
          <w:sz w:val="22"/>
          <w:szCs w:val="22"/>
        </w:rPr>
        <w:drawing>
          <wp:inline distT="114300" distB="114300" distL="114300" distR="114300" wp14:anchorId="7AC064CD" wp14:editId="41E818AA">
            <wp:extent cx="2938463" cy="1469231"/>
            <wp:effectExtent l="0" t="0" r="0" b="0"/>
            <wp:docPr id="1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5"/>
                    <a:srcRect/>
                    <a:stretch>
                      <a:fillRect/>
                    </a:stretch>
                  </pic:blipFill>
                  <pic:spPr>
                    <a:xfrm>
                      <a:off x="0" y="0"/>
                      <a:ext cx="2938463" cy="1469231"/>
                    </a:xfrm>
                    <a:prstGeom prst="rect">
                      <a:avLst/>
                    </a:prstGeom>
                    <a:ln/>
                  </pic:spPr>
                </pic:pic>
              </a:graphicData>
            </a:graphic>
          </wp:inline>
        </w:drawing>
      </w:r>
    </w:p>
    <w:p w14:paraId="3384D173" w14:textId="2ED15E0D" w:rsidR="008C5A5C" w:rsidRPr="008C5A5C" w:rsidRDefault="008C5A5C" w:rsidP="008C5A5C">
      <w:pPr>
        <w:spacing w:before="240" w:after="240"/>
        <w:rPr>
          <w:sz w:val="22"/>
          <w:szCs w:val="22"/>
        </w:rPr>
      </w:pPr>
      <w:r w:rsidRPr="008C5A5C">
        <w:rPr>
          <w:sz w:val="22"/>
          <w:szCs w:val="22"/>
        </w:rPr>
        <w:t xml:space="preserve">Figure 5: Mean Bias (MB) and Mean CV (MCV) in the Targeted Simulation Run. Mean bias and Mean CV </w:t>
      </w:r>
      <w:proofErr w:type="gramStart"/>
      <w:r w:rsidRPr="008C5A5C">
        <w:rPr>
          <w:sz w:val="22"/>
          <w:szCs w:val="22"/>
        </w:rPr>
        <w:t>were calculated</w:t>
      </w:r>
      <w:proofErr w:type="gramEnd"/>
      <w:r w:rsidRPr="008C5A5C">
        <w:rPr>
          <w:sz w:val="22"/>
          <w:szCs w:val="22"/>
        </w:rPr>
        <w:t xml:space="preserve"> across replicate surveys at each survey size (N</w:t>
      </w:r>
      <w:r>
        <w:rPr>
          <w:sz w:val="22"/>
          <w:szCs w:val="22"/>
        </w:rPr>
        <w:t>_</w:t>
      </w:r>
      <w:r w:rsidRPr="008C5A5C">
        <w:rPr>
          <w:sz w:val="22"/>
          <w:szCs w:val="22"/>
        </w:rPr>
        <w:t>stations). The red line indicates n=550 stations, the standard survey effort in the biennial GOA BTS. The two left panels depict results for surveys sampling all habitats (trawlable + untrawlable)</w:t>
      </w:r>
      <w:proofErr w:type="gramStart"/>
      <w:r w:rsidRPr="008C5A5C">
        <w:rPr>
          <w:sz w:val="22"/>
          <w:szCs w:val="22"/>
        </w:rPr>
        <w:t>,</w:t>
      </w:r>
      <w:proofErr w:type="gramEnd"/>
      <w:r w:rsidRPr="008C5A5C">
        <w:rPr>
          <w:sz w:val="22"/>
          <w:szCs w:val="22"/>
        </w:rPr>
        <w:t xml:space="preserve"> while the two right panels depict results from surveys sampling trawlable habitats only. The top right panel indicates that current methods could be underestimating northern rockfish biomass by about ⅓ (-0.350 to -0.283).</w:t>
      </w:r>
    </w:p>
    <w:p w14:paraId="270CFB18" w14:textId="77777777" w:rsidR="00A44DE9" w:rsidRDefault="00A44DE9" w:rsidP="008C5A5C">
      <w:pPr>
        <w:spacing w:before="240" w:after="240"/>
        <w:rPr>
          <w:sz w:val="22"/>
          <w:szCs w:val="22"/>
        </w:rPr>
      </w:pPr>
      <w:r>
        <w:rPr>
          <w:sz w:val="22"/>
          <w:szCs w:val="22"/>
        </w:rPr>
        <w:t>Literature Cited</w:t>
      </w:r>
    </w:p>
    <w:p w14:paraId="5F431330" w14:textId="77777777" w:rsidR="00A44DE9" w:rsidRPr="00A44DE9" w:rsidRDefault="00A44DE9" w:rsidP="00A44DE9">
      <w:pPr>
        <w:widowControl/>
        <w:shd w:val="clear" w:color="auto" w:fill="FFFFFF"/>
        <w:spacing w:after="120" w:line="235" w:lineRule="atLeast"/>
        <w:ind w:left="720" w:hanging="720"/>
        <w:rPr>
          <w:color w:val="222222"/>
          <w:sz w:val="22"/>
          <w:szCs w:val="22"/>
        </w:rPr>
      </w:pPr>
      <w:bookmarkStart w:id="170" w:name="_GoBack"/>
      <w:bookmarkEnd w:id="170"/>
      <w:r w:rsidRPr="00A44DE9">
        <w:rPr>
          <w:color w:val="222222"/>
          <w:sz w:val="22"/>
          <w:szCs w:val="22"/>
        </w:rPr>
        <w:t>Jones, D. T., C. Rooper, C. Wilson, P. Spencer, D. Hanselman, and R. Willborn (2021). "Estimates of availability and catchability for select rockfish species based on acoustic-optic surveys in the Gulf of Alaska."  </w:t>
      </w:r>
      <w:r w:rsidRPr="00A44DE9">
        <w:rPr>
          <w:color w:val="222222"/>
          <w:sz w:val="22"/>
          <w:szCs w:val="22"/>
          <w:u w:val="single"/>
        </w:rPr>
        <w:t>Fisheries Research </w:t>
      </w:r>
      <w:r w:rsidRPr="00A44DE9">
        <w:rPr>
          <w:color w:val="222222"/>
          <w:sz w:val="22"/>
          <w:szCs w:val="22"/>
        </w:rPr>
        <w:t>236: 105848.</w:t>
      </w:r>
    </w:p>
    <w:p w14:paraId="2B4407B5" w14:textId="77777777" w:rsidR="00A44DE9" w:rsidRPr="00A44DE9" w:rsidRDefault="00A44DE9" w:rsidP="00A44DE9">
      <w:pPr>
        <w:widowControl/>
        <w:shd w:val="clear" w:color="auto" w:fill="FFFFFF"/>
        <w:spacing w:after="120" w:line="235" w:lineRule="atLeast"/>
        <w:ind w:left="720" w:hanging="720"/>
        <w:rPr>
          <w:color w:val="222222"/>
          <w:sz w:val="22"/>
          <w:szCs w:val="22"/>
        </w:rPr>
      </w:pPr>
      <w:r w:rsidRPr="00A44DE9">
        <w:rPr>
          <w:color w:val="222222"/>
          <w:sz w:val="22"/>
          <w:szCs w:val="22"/>
        </w:rPr>
        <w:t>Rooper, C. N. and M. H. Martin (2012). "Comparison of habitat-based indices of abundance with fishery-independent biomass estimates from bottom trawl surveys." </w:t>
      </w:r>
      <w:r w:rsidRPr="00A44DE9">
        <w:rPr>
          <w:color w:val="222222"/>
          <w:sz w:val="22"/>
          <w:szCs w:val="22"/>
          <w:u w:val="single"/>
        </w:rPr>
        <w:t>Fishery Bulletin</w:t>
      </w:r>
      <w:r w:rsidRPr="00A44DE9">
        <w:rPr>
          <w:color w:val="222222"/>
          <w:sz w:val="22"/>
          <w:szCs w:val="22"/>
        </w:rPr>
        <w:t> 110(1): 21-35.</w:t>
      </w:r>
    </w:p>
    <w:p w14:paraId="6BE87A7A" w14:textId="77777777" w:rsidR="00A44DE9" w:rsidRPr="00A44DE9" w:rsidRDefault="00A44DE9" w:rsidP="00A44DE9">
      <w:pPr>
        <w:widowControl/>
        <w:shd w:val="clear" w:color="auto" w:fill="FFFFFF"/>
        <w:spacing w:after="120" w:line="209" w:lineRule="atLeast"/>
        <w:ind w:left="720" w:hanging="720"/>
        <w:rPr>
          <w:color w:val="222222"/>
          <w:sz w:val="22"/>
          <w:szCs w:val="22"/>
        </w:rPr>
      </w:pPr>
      <w:r w:rsidRPr="00A44DE9">
        <w:rPr>
          <w:color w:val="222222"/>
          <w:sz w:val="22"/>
          <w:szCs w:val="22"/>
        </w:rPr>
        <w:t>Zimmermann, M. (2003). Calculation of untrawlable areas within the boundaries of a bottom trawl survey. </w:t>
      </w:r>
      <w:r w:rsidRPr="00A44DE9">
        <w:rPr>
          <w:color w:val="333333"/>
          <w:sz w:val="22"/>
          <w:szCs w:val="22"/>
          <w:u w:val="single"/>
        </w:rPr>
        <w:t>Canadian Journal of Fisheries and Aquatic Sciences.</w:t>
      </w:r>
      <w:r w:rsidRPr="00A44DE9">
        <w:rPr>
          <w:color w:val="222222"/>
          <w:sz w:val="22"/>
          <w:szCs w:val="22"/>
        </w:rPr>
        <w:t> </w:t>
      </w:r>
      <w:proofErr w:type="gramStart"/>
      <w:r w:rsidRPr="00A44DE9">
        <w:rPr>
          <w:color w:val="222222"/>
          <w:sz w:val="22"/>
          <w:szCs w:val="22"/>
        </w:rPr>
        <w:t>60</w:t>
      </w:r>
      <w:proofErr w:type="gramEnd"/>
      <w:r w:rsidRPr="00A44DE9">
        <w:rPr>
          <w:color w:val="222222"/>
          <w:sz w:val="22"/>
          <w:szCs w:val="22"/>
        </w:rPr>
        <w:t>: 657-669.</w:t>
      </w:r>
    </w:p>
    <w:p w14:paraId="5734CDF1" w14:textId="710EE504" w:rsidR="008C5A5C" w:rsidRPr="008C5A5C" w:rsidRDefault="008C5A5C" w:rsidP="008C5A5C">
      <w:pPr>
        <w:spacing w:before="240" w:after="240"/>
        <w:rPr>
          <w:sz w:val="22"/>
          <w:szCs w:val="22"/>
        </w:rPr>
      </w:pPr>
      <w:r w:rsidRPr="008C5A5C">
        <w:rPr>
          <w:sz w:val="22"/>
          <w:szCs w:val="22"/>
        </w:rPr>
        <w:t>For more information, contact Madison Hall (</w:t>
      </w:r>
      <w:hyperlink r:id="rId106" w:history="1">
        <w:r w:rsidRPr="008C5A5C">
          <w:rPr>
            <w:rStyle w:val="Hyperlink"/>
            <w:sz w:val="22"/>
            <w:szCs w:val="22"/>
          </w:rPr>
          <w:t>madison.hall@noaa.gov</w:t>
        </w:r>
      </w:hyperlink>
      <w:r w:rsidRPr="008C5A5C">
        <w:rPr>
          <w:sz w:val="22"/>
          <w:szCs w:val="22"/>
        </w:rPr>
        <w:t>) or Mark Zimmermann (</w:t>
      </w:r>
      <w:hyperlink r:id="rId107" w:history="1">
        <w:r w:rsidRPr="008C5A5C">
          <w:rPr>
            <w:rStyle w:val="Hyperlink"/>
            <w:sz w:val="22"/>
            <w:szCs w:val="22"/>
          </w:rPr>
          <w:t>mark.zimmermann@noaa.gov</w:t>
        </w:r>
      </w:hyperlink>
      <w:r w:rsidRPr="008C5A5C">
        <w:rPr>
          <w:sz w:val="22"/>
          <w:szCs w:val="22"/>
        </w:rPr>
        <w:t xml:space="preserve">) </w:t>
      </w:r>
    </w:p>
    <w:p w14:paraId="2559B8D5" w14:textId="21FA83D5" w:rsidR="008F42F1" w:rsidRPr="002B7E6B" w:rsidRDefault="008F42F1" w:rsidP="00DE3EE8">
      <w:pPr>
        <w:rPr>
          <w:sz w:val="22"/>
          <w:szCs w:val="22"/>
        </w:rPr>
      </w:pPr>
    </w:p>
    <w:p w14:paraId="69AD154E" w14:textId="77777777" w:rsidR="00DE3EE8" w:rsidRPr="002B7E6B" w:rsidRDefault="00DE3EE8" w:rsidP="002B7E6B">
      <w:pPr>
        <w:pStyle w:val="Heading2"/>
        <w:rPr>
          <w:rFonts w:cs="Times New Roman"/>
          <w:sz w:val="22"/>
          <w:szCs w:val="22"/>
        </w:rPr>
      </w:pPr>
      <w:bookmarkStart w:id="171" w:name="_Toc131503911"/>
      <w:r w:rsidRPr="002B7E6B">
        <w:rPr>
          <w:rFonts w:cs="Times New Roman"/>
          <w:sz w:val="22"/>
          <w:szCs w:val="22"/>
        </w:rPr>
        <w:t>V.</w:t>
      </w:r>
      <w:r w:rsidRPr="002B7E6B">
        <w:rPr>
          <w:rFonts w:cs="Times New Roman"/>
          <w:sz w:val="22"/>
          <w:szCs w:val="22"/>
        </w:rPr>
        <w:tab/>
        <w:t>Ecosystem Studies</w:t>
      </w:r>
      <w:bookmarkEnd w:id="171"/>
    </w:p>
    <w:p w14:paraId="30174421" w14:textId="77777777" w:rsidR="00DE3EE8" w:rsidRPr="002B7E6B" w:rsidRDefault="00DE3EE8" w:rsidP="00DE3EE8">
      <w:pPr>
        <w:rPr>
          <w:sz w:val="22"/>
          <w:szCs w:val="22"/>
        </w:rPr>
      </w:pPr>
    </w:p>
    <w:p w14:paraId="079D63F5" w14:textId="5C1D41BF" w:rsidR="00DE3EE8" w:rsidRDefault="00DE3EE8" w:rsidP="00A24238">
      <w:pPr>
        <w:pStyle w:val="Heading5"/>
      </w:pPr>
      <w:bookmarkStart w:id="172" w:name="_Toc131503912"/>
      <w:r w:rsidRPr="00A24238">
        <w:t>Ecosystem and Socioeconomic Profiles (ESP) – REFM</w:t>
      </w:r>
      <w:bookmarkEnd w:id="172"/>
      <w:r w:rsidRPr="00A24238">
        <w:t xml:space="preserve"> </w:t>
      </w:r>
    </w:p>
    <w:p w14:paraId="69702C8D" w14:textId="77777777" w:rsidR="00A24238" w:rsidRPr="00A24238" w:rsidRDefault="00A24238" w:rsidP="00A24238"/>
    <w:p w14:paraId="3C1069CC" w14:textId="77777777" w:rsidR="00DE3EE8" w:rsidRPr="002B7E6B" w:rsidRDefault="00DE3EE8" w:rsidP="00DE3EE8">
      <w:pPr>
        <w:rPr>
          <w:sz w:val="22"/>
          <w:szCs w:val="22"/>
        </w:rPr>
      </w:pPr>
      <w:r w:rsidRPr="002B7E6B">
        <w:rPr>
          <w:sz w:val="22"/>
          <w:szCs w:val="22"/>
        </w:rPr>
        <w:t xml:space="preserve">Ecosystem-based science is an important component of effective marine conservation and resource management; however, the proverbial gap remains between conducting ecosystem research and </w:t>
      </w:r>
      <w:r w:rsidRPr="002B7E6B">
        <w:rPr>
          <w:sz w:val="22"/>
          <w:szCs w:val="22"/>
        </w:rPr>
        <w:lastRenderedPageBreak/>
        <w:t xml:space="preserve">integrating with stock assessments. A main issue involves the general lack of a consistent approach to deciding when to incorporate ecosystem and socioeconomic information into a stock assessment and how to test the reliability of this information for identifying future change. Our current national system needs an efficient testing ground and communication tool </w:t>
      </w:r>
      <w:proofErr w:type="gramStart"/>
      <w:r w:rsidRPr="002B7E6B">
        <w:rPr>
          <w:sz w:val="22"/>
          <w:szCs w:val="22"/>
        </w:rPr>
        <w:t>in order to effectively merge</w:t>
      </w:r>
      <w:proofErr w:type="gramEnd"/>
      <w:r w:rsidRPr="002B7E6B">
        <w:rPr>
          <w:sz w:val="22"/>
          <w:szCs w:val="22"/>
        </w:rPr>
        <w:t xml:space="preserve"> the ecosystem and stock assessment disciplines.</w:t>
      </w:r>
    </w:p>
    <w:p w14:paraId="5CB78F00" w14:textId="77777777" w:rsidR="00DE3EE8" w:rsidRPr="002B7E6B" w:rsidRDefault="00DE3EE8" w:rsidP="00DE3EE8">
      <w:pPr>
        <w:rPr>
          <w:sz w:val="22"/>
          <w:szCs w:val="22"/>
        </w:rPr>
      </w:pPr>
    </w:p>
    <w:p w14:paraId="08F5CF51" w14:textId="77777777" w:rsidR="00DE3EE8" w:rsidRPr="002B7E6B" w:rsidRDefault="00DE3EE8" w:rsidP="00DE3EE8">
      <w:pPr>
        <w:rPr>
          <w:sz w:val="22"/>
          <w:szCs w:val="22"/>
        </w:rPr>
      </w:pPr>
      <w:r w:rsidRPr="002B7E6B">
        <w:rPr>
          <w:sz w:val="22"/>
          <w:szCs w:val="22"/>
        </w:rPr>
        <w:t xml:space="preserve">Over the past several years, we have developed a new standardized framework termed the Ecosystem and Socioeconomic Profile or ESP that facilitates the integration of ecosystem and socioeconomic factors within the stock assessment process and acts as a proving ground for use in management advice (Shotwell et al., 2020). The ESPs are a commitment to a process that allows for creating a proactive strategy in response to change. Here we are building on the rich history of identifying ecosystem pressures on stocks in the Alaska region and designing a research template that tests these linkages for providing advice. The ESPs serve as a corollary stock-specific process to the large-scale ecosystem status reports, effectively creating a two-pronged system for ecosystem based fisheries management at the AFSC. </w:t>
      </w:r>
    </w:p>
    <w:p w14:paraId="591F0182" w14:textId="77777777" w:rsidR="00DE3EE8" w:rsidRPr="002B7E6B" w:rsidRDefault="00DE3EE8" w:rsidP="00DE3EE8">
      <w:pPr>
        <w:rPr>
          <w:sz w:val="22"/>
          <w:szCs w:val="22"/>
        </w:rPr>
      </w:pPr>
    </w:p>
    <w:p w14:paraId="1589C314" w14:textId="77777777" w:rsidR="00DE3EE8" w:rsidRPr="002B7E6B" w:rsidRDefault="00DE3EE8" w:rsidP="00DE3EE8">
      <w:pPr>
        <w:rPr>
          <w:sz w:val="22"/>
          <w:szCs w:val="22"/>
        </w:rPr>
      </w:pPr>
      <w:r w:rsidRPr="002B7E6B">
        <w:rPr>
          <w:sz w:val="22"/>
          <w:szCs w:val="22"/>
        </w:rPr>
        <w:t xml:space="preserve">There are four steps to the ESP process. In the first step, we start with a focused effort to review information from national initiatives on prioritization, vulnerability, and classification and combine that with regional priorities to develop a list of priority stocks for producing ESPs. Once an ESP </w:t>
      </w:r>
      <w:proofErr w:type="gramStart"/>
      <w:r w:rsidRPr="002B7E6B">
        <w:rPr>
          <w:sz w:val="22"/>
          <w:szCs w:val="22"/>
        </w:rPr>
        <w:t>has been prioritized</w:t>
      </w:r>
      <w:proofErr w:type="gramEnd"/>
      <w:r w:rsidRPr="002B7E6B">
        <w:rPr>
          <w:sz w:val="22"/>
          <w:szCs w:val="22"/>
        </w:rPr>
        <w:t xml:space="preserve"> for a stock, we then move to grading a standard set of descriptive stock metrics and then evaluate ecosystem and socioeconomic processes driving stock dynamics to develop a mechanistic understanding of the drivers for the stock. This leads to defining a suite of indicators to monitoring and analyzing trends of these indicators using tests appropriate to the data availability for the stock. The process </w:t>
      </w:r>
      <w:proofErr w:type="gramStart"/>
      <w:r w:rsidRPr="002B7E6B">
        <w:rPr>
          <w:sz w:val="22"/>
          <w:szCs w:val="22"/>
        </w:rPr>
        <w:t>is completed</w:t>
      </w:r>
      <w:proofErr w:type="gramEnd"/>
      <w:r w:rsidRPr="002B7E6B">
        <w:rPr>
          <w:sz w:val="22"/>
          <w:szCs w:val="22"/>
        </w:rPr>
        <w:t xml:space="preserve"> with a standardized reporting template that is concise and conveys the status of the leading indicators to fisheries managers within the stock assessment cycle (Shotwell et al., In Review).</w:t>
      </w:r>
    </w:p>
    <w:p w14:paraId="610D8A7D" w14:textId="77777777" w:rsidR="00DE3EE8" w:rsidRPr="002B7E6B" w:rsidRDefault="00DE3EE8" w:rsidP="00DE3EE8">
      <w:pPr>
        <w:rPr>
          <w:sz w:val="22"/>
          <w:szCs w:val="22"/>
        </w:rPr>
      </w:pPr>
    </w:p>
    <w:p w14:paraId="5F86CE67" w14:textId="77777777" w:rsidR="00DE3EE8" w:rsidRPr="002B7E6B" w:rsidRDefault="00DE3EE8" w:rsidP="00DE3EE8">
      <w:pPr>
        <w:rPr>
          <w:sz w:val="22"/>
          <w:szCs w:val="22"/>
        </w:rPr>
      </w:pPr>
      <w:r w:rsidRPr="002B7E6B">
        <w:rPr>
          <w:sz w:val="22"/>
          <w:szCs w:val="22"/>
        </w:rPr>
        <w:t xml:space="preserve">Three annual workshops planned to fine-tune the ESP framework to the needs of the AFSC </w:t>
      </w:r>
      <w:proofErr w:type="gramStart"/>
      <w:r w:rsidRPr="002B7E6B">
        <w:rPr>
          <w:sz w:val="22"/>
          <w:szCs w:val="22"/>
        </w:rPr>
        <w:t>have recently been completed</w:t>
      </w:r>
      <w:proofErr w:type="gramEnd"/>
      <w:r w:rsidRPr="002B7E6B">
        <w:rPr>
          <w:sz w:val="22"/>
          <w:szCs w:val="22"/>
        </w:rPr>
        <w:t xml:space="preserve">. The first data workshop summarized the available data for use in an ESP from a large variety of programs both within and external to the AFSC. This workshop </w:t>
      </w:r>
      <w:proofErr w:type="gramStart"/>
      <w:r w:rsidRPr="002B7E6B">
        <w:rPr>
          <w:sz w:val="22"/>
          <w:szCs w:val="22"/>
        </w:rPr>
        <w:t>was conducted</w:t>
      </w:r>
      <w:proofErr w:type="gramEnd"/>
      <w:r w:rsidRPr="002B7E6B">
        <w:rPr>
          <w:sz w:val="22"/>
          <w:szCs w:val="22"/>
        </w:rPr>
        <w:t xml:space="preserve"> in May 2019 and results were presented at the Preview of Ecosystem and Economic Considerations (PEEC) meeting in June 2019 and at the Joint Crab and Groundfish September Plan Team 2019. The second model workshop </w:t>
      </w:r>
      <w:proofErr w:type="gramStart"/>
      <w:r w:rsidRPr="002B7E6B">
        <w:rPr>
          <w:sz w:val="22"/>
          <w:szCs w:val="22"/>
        </w:rPr>
        <w:t>was conducted</w:t>
      </w:r>
      <w:proofErr w:type="gramEnd"/>
      <w:r w:rsidRPr="002B7E6B">
        <w:rPr>
          <w:sz w:val="22"/>
          <w:szCs w:val="22"/>
        </w:rPr>
        <w:t xml:space="preserve"> in March 2020 through two small in-person host sites and large remote participation due to current events regarding COVID-19. The workshop presentations reviewed current progress on the ESPs as well as modeling applications to create value-added metrics or indicators for the ESPs and models to evaluate indicators for use in the ESPs and the operational stock assessments. A one-day follow-up discussion session </w:t>
      </w:r>
      <w:proofErr w:type="gramStart"/>
      <w:r w:rsidRPr="002B7E6B">
        <w:rPr>
          <w:sz w:val="22"/>
          <w:szCs w:val="22"/>
        </w:rPr>
        <w:t>was conducted</w:t>
      </w:r>
      <w:proofErr w:type="gramEnd"/>
      <w:r w:rsidRPr="002B7E6B">
        <w:rPr>
          <w:sz w:val="22"/>
          <w:szCs w:val="22"/>
        </w:rPr>
        <w:t xml:space="preserve"> in September 2020 to provide a short review of the presentations and engage in-group discussions that were truncated due to the largely remote participation of the workshop.</w:t>
      </w:r>
    </w:p>
    <w:p w14:paraId="51A91BF6" w14:textId="77777777" w:rsidR="00DE3EE8" w:rsidRPr="002B7E6B" w:rsidRDefault="00DE3EE8" w:rsidP="00DE3EE8">
      <w:pPr>
        <w:rPr>
          <w:sz w:val="22"/>
          <w:szCs w:val="22"/>
        </w:rPr>
      </w:pPr>
    </w:p>
    <w:p w14:paraId="5FA27E56" w14:textId="77777777" w:rsidR="00DE3EE8" w:rsidRPr="002B7E6B" w:rsidRDefault="00DE3EE8" w:rsidP="00DE3EE8">
      <w:pPr>
        <w:rPr>
          <w:sz w:val="22"/>
          <w:szCs w:val="22"/>
        </w:rPr>
      </w:pPr>
      <w:r w:rsidRPr="002B7E6B">
        <w:rPr>
          <w:sz w:val="22"/>
          <w:szCs w:val="22"/>
        </w:rPr>
        <w:t xml:space="preserve">The third ESP advice workshop </w:t>
      </w:r>
      <w:proofErr w:type="gramStart"/>
      <w:r w:rsidRPr="002B7E6B">
        <w:rPr>
          <w:sz w:val="22"/>
          <w:szCs w:val="22"/>
        </w:rPr>
        <w:t>was conducted</w:t>
      </w:r>
      <w:proofErr w:type="gramEnd"/>
      <w:r w:rsidRPr="002B7E6B">
        <w:rPr>
          <w:sz w:val="22"/>
          <w:szCs w:val="22"/>
        </w:rPr>
        <w:t xml:space="preserve"> entirely remotely in March 2021 due to the persistence of COVID-19; however, attendance was higher than the previous two workshops. Progress on new ESPs and ESP teams </w:t>
      </w:r>
      <w:proofErr w:type="gramStart"/>
      <w:r w:rsidRPr="002B7E6B">
        <w:rPr>
          <w:sz w:val="22"/>
          <w:szCs w:val="22"/>
        </w:rPr>
        <w:t>were reviewed</w:t>
      </w:r>
      <w:proofErr w:type="gramEnd"/>
      <w:r w:rsidRPr="002B7E6B">
        <w:rPr>
          <w:sz w:val="22"/>
          <w:szCs w:val="22"/>
        </w:rPr>
        <w:t xml:space="preserve"> as well as presentations on data accessibility and reproducibility and a series of program updates that reviewed avenues for interfacing with the ESPs. Two evaluation gates </w:t>
      </w:r>
      <w:proofErr w:type="gramStart"/>
      <w:r w:rsidRPr="002B7E6B">
        <w:rPr>
          <w:sz w:val="22"/>
          <w:szCs w:val="22"/>
        </w:rPr>
        <w:t>have now been established</w:t>
      </w:r>
      <w:proofErr w:type="gramEnd"/>
      <w:r w:rsidRPr="002B7E6B">
        <w:rPr>
          <w:sz w:val="22"/>
          <w:szCs w:val="22"/>
        </w:rPr>
        <w:t xml:space="preserve"> for including indicators within an ESP (gate 1) and within a stock assessment model (gate 2). A series of presentations reviewed the types of indicators currently in ESPs and forecasting with climate enhanced single and multispecies models. Two discussion sessions included creating guideline criteria for entering the two ESP gates. The final workshop day included presentations on how the ESPs </w:t>
      </w:r>
      <w:proofErr w:type="gramStart"/>
      <w:r w:rsidRPr="002B7E6B">
        <w:rPr>
          <w:sz w:val="22"/>
          <w:szCs w:val="22"/>
        </w:rPr>
        <w:t>are currently used</w:t>
      </w:r>
      <w:proofErr w:type="gramEnd"/>
      <w:r w:rsidRPr="002B7E6B">
        <w:rPr>
          <w:sz w:val="22"/>
          <w:szCs w:val="22"/>
        </w:rPr>
        <w:t xml:space="preserve"> for management advice and a discussion session on interfacing more with stakeholders and the public. A one-day ESP session </w:t>
      </w:r>
      <w:proofErr w:type="gramStart"/>
      <w:r w:rsidRPr="002B7E6B">
        <w:rPr>
          <w:sz w:val="22"/>
          <w:szCs w:val="22"/>
        </w:rPr>
        <w:t>is now scheduled</w:t>
      </w:r>
      <w:proofErr w:type="gramEnd"/>
      <w:r w:rsidRPr="002B7E6B">
        <w:rPr>
          <w:sz w:val="22"/>
          <w:szCs w:val="22"/>
        </w:rPr>
        <w:t xml:space="preserve"> to coincide with the PEEC workshop to review new and upcoming ESPs and have discussions on further developing the ESP process both regionally and nationally. </w:t>
      </w:r>
    </w:p>
    <w:p w14:paraId="77D59E80" w14:textId="77777777" w:rsidR="00DE3EE8" w:rsidRPr="002B7E6B" w:rsidRDefault="00DE3EE8" w:rsidP="00DE3EE8">
      <w:pPr>
        <w:rPr>
          <w:sz w:val="22"/>
          <w:szCs w:val="22"/>
        </w:rPr>
      </w:pPr>
    </w:p>
    <w:p w14:paraId="592E9EF7" w14:textId="77777777" w:rsidR="00DE3EE8" w:rsidRPr="002B7E6B" w:rsidRDefault="00DE3EE8" w:rsidP="00DE3EE8">
      <w:pPr>
        <w:rPr>
          <w:sz w:val="22"/>
          <w:szCs w:val="22"/>
        </w:rPr>
      </w:pPr>
      <w:r w:rsidRPr="002B7E6B">
        <w:rPr>
          <w:sz w:val="22"/>
          <w:szCs w:val="22"/>
        </w:rPr>
        <w:t xml:space="preserve">A methods manuscript detailing the four-step ESP framework, along with technical memorandums of the </w:t>
      </w:r>
      <w:r w:rsidRPr="002B7E6B">
        <w:rPr>
          <w:sz w:val="22"/>
          <w:szCs w:val="22"/>
        </w:rPr>
        <w:lastRenderedPageBreak/>
        <w:t xml:space="preserve">workshops </w:t>
      </w:r>
      <w:proofErr w:type="gramStart"/>
      <w:r w:rsidRPr="002B7E6B">
        <w:rPr>
          <w:sz w:val="22"/>
          <w:szCs w:val="22"/>
        </w:rPr>
        <w:t>are planned</w:t>
      </w:r>
      <w:proofErr w:type="gramEnd"/>
      <w:r w:rsidRPr="002B7E6B">
        <w:rPr>
          <w:sz w:val="22"/>
          <w:szCs w:val="22"/>
        </w:rPr>
        <w:t xml:space="preserve"> for 2021. Additional web applications and data repository are also in development to provide access to the data and model output for use in the ESPs. These products will improve communication of the ESP framework and allow timely and consistent access to regional or stock-specific ecosystem and socioeconomic indicators for use in the ESPs. Altogether, the workshops and reports will pave a clear path toward building next generation stock assessments and increase communication and collaboration across the ecosystem, </w:t>
      </w:r>
      <w:proofErr w:type="gramStart"/>
      <w:r w:rsidRPr="002B7E6B">
        <w:rPr>
          <w:sz w:val="22"/>
          <w:szCs w:val="22"/>
        </w:rPr>
        <w:t>economic,</w:t>
      </w:r>
      <w:proofErr w:type="gramEnd"/>
      <w:r w:rsidRPr="002B7E6B">
        <w:rPr>
          <w:sz w:val="22"/>
          <w:szCs w:val="22"/>
        </w:rPr>
        <w:t xml:space="preserve"> and stock assessment communities at the AFSC. We plan to expand the ESPs to other regions to form a more coordinated national effort of integrating ecosystem information within our next generation stock assessments. </w:t>
      </w:r>
    </w:p>
    <w:p w14:paraId="6C955D58" w14:textId="77777777" w:rsidR="00DE3EE8" w:rsidRPr="002B7E6B" w:rsidRDefault="00DE3EE8" w:rsidP="00DE3EE8">
      <w:pPr>
        <w:rPr>
          <w:sz w:val="22"/>
          <w:szCs w:val="22"/>
        </w:rPr>
      </w:pPr>
    </w:p>
    <w:p w14:paraId="392ADD39" w14:textId="77777777" w:rsidR="00DE3EE8" w:rsidRPr="002B7E6B" w:rsidRDefault="00DE3EE8" w:rsidP="00DE3EE8">
      <w:pPr>
        <w:rPr>
          <w:sz w:val="22"/>
          <w:szCs w:val="22"/>
        </w:rPr>
      </w:pPr>
      <w:r w:rsidRPr="002B7E6B">
        <w:rPr>
          <w:sz w:val="22"/>
          <w:szCs w:val="22"/>
        </w:rPr>
        <w:t>For more information, contact Kalei Shotwell at (907) 789-6056 or kalei.shotwell@noaa.gov.</w:t>
      </w:r>
    </w:p>
    <w:p w14:paraId="3C75AF0C" w14:textId="77777777" w:rsidR="00DE3EE8" w:rsidRPr="002B7E6B" w:rsidRDefault="00DE3EE8" w:rsidP="00DE3EE8">
      <w:pPr>
        <w:rPr>
          <w:sz w:val="22"/>
          <w:szCs w:val="22"/>
        </w:rPr>
      </w:pPr>
    </w:p>
    <w:p w14:paraId="09C922F3" w14:textId="77777777" w:rsidR="00DE3EE8" w:rsidRPr="002B7E6B" w:rsidRDefault="00DE3EE8" w:rsidP="00DE3EE8">
      <w:pPr>
        <w:rPr>
          <w:sz w:val="22"/>
          <w:szCs w:val="22"/>
        </w:rPr>
      </w:pPr>
      <w:r w:rsidRPr="002B7E6B">
        <w:rPr>
          <w:sz w:val="22"/>
          <w:szCs w:val="22"/>
        </w:rPr>
        <w:t xml:space="preserve">References: </w:t>
      </w:r>
    </w:p>
    <w:p w14:paraId="044E719D" w14:textId="77777777" w:rsidR="00DE3EE8" w:rsidRPr="002B7E6B" w:rsidRDefault="00DE3EE8" w:rsidP="00DE3EE8">
      <w:pPr>
        <w:rPr>
          <w:sz w:val="22"/>
          <w:szCs w:val="22"/>
        </w:rPr>
      </w:pPr>
    </w:p>
    <w:p w14:paraId="50694364" w14:textId="77777777" w:rsidR="00DE3EE8" w:rsidRPr="002B7E6B" w:rsidRDefault="00DE3EE8" w:rsidP="00A24238">
      <w:pPr>
        <w:ind w:left="720" w:hanging="720"/>
        <w:rPr>
          <w:sz w:val="22"/>
          <w:szCs w:val="22"/>
        </w:rPr>
      </w:pPr>
      <w:r w:rsidRPr="002B7E6B">
        <w:rPr>
          <w:sz w:val="22"/>
          <w:szCs w:val="22"/>
        </w:rPr>
        <w:t xml:space="preserve">Shotwell, S.K. 2020. Update on the Ecosystem and Socioeconomic Profile (ESP) in the Alaska groundfish and crab fishery management plans. NPFMC Report. </w:t>
      </w:r>
      <w:proofErr w:type="gramStart"/>
      <w:r w:rsidRPr="002B7E6B">
        <w:rPr>
          <w:sz w:val="22"/>
          <w:szCs w:val="22"/>
        </w:rPr>
        <w:t>18</w:t>
      </w:r>
      <w:proofErr w:type="gramEnd"/>
      <w:r w:rsidRPr="002B7E6B">
        <w:rPr>
          <w:sz w:val="22"/>
          <w:szCs w:val="22"/>
        </w:rPr>
        <w:t xml:space="preserve"> p. Available online at: https://meetings.npfmc.org/CommentReview/DownloadFile?p=8f5233fb-3b62-4571-9b49-8bb7ce675916.pdf&amp;fileName=ESP_Shotwell.pdf </w:t>
      </w:r>
    </w:p>
    <w:p w14:paraId="714B255F" w14:textId="77777777" w:rsidR="00DE3EE8" w:rsidRPr="002B7E6B" w:rsidRDefault="00DE3EE8" w:rsidP="00A24238">
      <w:pPr>
        <w:ind w:left="720" w:hanging="720"/>
        <w:rPr>
          <w:sz w:val="22"/>
          <w:szCs w:val="22"/>
        </w:rPr>
      </w:pPr>
    </w:p>
    <w:p w14:paraId="6AE5A9BE" w14:textId="77777777" w:rsidR="00DE3EE8" w:rsidRPr="002B7E6B" w:rsidRDefault="00DE3EE8" w:rsidP="00A24238">
      <w:pPr>
        <w:ind w:left="720" w:hanging="720"/>
        <w:rPr>
          <w:sz w:val="22"/>
          <w:szCs w:val="22"/>
        </w:rPr>
      </w:pPr>
      <w:r w:rsidRPr="002B7E6B">
        <w:rPr>
          <w:sz w:val="22"/>
          <w:szCs w:val="22"/>
        </w:rPr>
        <w:t>Shotwell, S.K., K., Blackhart, C. Cunningham, B. Fissel, D., Hanselman, P., Lynch, and S., Zador. In Review. Introducing the Ecosystem and Socioeconomic Profile, a national framework for including stock-specific ecosystem and socioeconomic considerations within next generation stock assessments. Frontiers in Marine Science or Marine Policy (Anticipated submission 2021)</w:t>
      </w:r>
    </w:p>
    <w:p w14:paraId="07ADBE29" w14:textId="77777777" w:rsidR="00DE3EE8" w:rsidRPr="002B7E6B" w:rsidRDefault="00DE3EE8" w:rsidP="00A24238">
      <w:pPr>
        <w:ind w:left="720" w:hanging="720"/>
        <w:rPr>
          <w:sz w:val="22"/>
          <w:szCs w:val="22"/>
        </w:rPr>
      </w:pPr>
    </w:p>
    <w:p w14:paraId="2F64E02B" w14:textId="77777777" w:rsidR="00DE3EE8" w:rsidRPr="002B7E6B" w:rsidRDefault="00DE3EE8" w:rsidP="00A24238">
      <w:pPr>
        <w:ind w:left="720" w:hanging="720"/>
        <w:rPr>
          <w:sz w:val="22"/>
          <w:szCs w:val="22"/>
        </w:rPr>
      </w:pPr>
      <w:r w:rsidRPr="002B7E6B">
        <w:rPr>
          <w:sz w:val="22"/>
          <w:szCs w:val="22"/>
        </w:rPr>
        <w:t>2020 Groundfish ESPs:</w:t>
      </w:r>
    </w:p>
    <w:p w14:paraId="4BF8B114" w14:textId="77777777" w:rsidR="00DE3EE8" w:rsidRPr="002B7E6B" w:rsidRDefault="00DE3EE8" w:rsidP="00A24238">
      <w:pPr>
        <w:ind w:left="720" w:hanging="720"/>
        <w:rPr>
          <w:sz w:val="22"/>
          <w:szCs w:val="22"/>
        </w:rPr>
      </w:pPr>
      <w:r w:rsidRPr="002B7E6B">
        <w:rPr>
          <w:sz w:val="22"/>
          <w:szCs w:val="22"/>
        </w:rPr>
        <w:t>Shotwell, S.K., S. Barbeaux, B. Ferriss, B. Fissel, B. Laurel, and L. Rogers. 2020. Ecosystem and socioeconomic profile of the Pacific cod stock in the Gulf of Alaska. Appendix 2.1 In Barbeaux, S., B. Ferriss, W. Palsson, S.K. Shotwell, I. Spies, M. Wang, and S. Zador. 2020. Assessment of the Pacific cod stock in the Gulf of Alaska. In Stock assessment and fishery evaluation report for the groundfish resources of the Gulf of Alaska. North Pacific Fishery Mngt. Council, 605 W 4th Ave, Suite 306 Anchorage, AK 99501. Pp. 144-183. Available online: https://archive.fisheries.noaa.gov/afsc/refm/stocks/plan_team/2020/GOApcod.pdf</w:t>
      </w:r>
    </w:p>
    <w:p w14:paraId="1EAE35D8" w14:textId="77777777" w:rsidR="00DE3EE8" w:rsidRPr="002B7E6B" w:rsidRDefault="00DE3EE8" w:rsidP="00A24238">
      <w:pPr>
        <w:ind w:left="720" w:hanging="720"/>
        <w:rPr>
          <w:sz w:val="22"/>
          <w:szCs w:val="22"/>
        </w:rPr>
      </w:pPr>
    </w:p>
    <w:p w14:paraId="1C545053" w14:textId="77777777" w:rsidR="00DE3EE8" w:rsidRPr="002B7E6B" w:rsidRDefault="00DE3EE8" w:rsidP="00A24238">
      <w:pPr>
        <w:ind w:left="720" w:hanging="720"/>
        <w:rPr>
          <w:sz w:val="22"/>
          <w:szCs w:val="22"/>
        </w:rPr>
      </w:pPr>
      <w:r w:rsidRPr="002B7E6B">
        <w:rPr>
          <w:sz w:val="22"/>
          <w:szCs w:val="22"/>
        </w:rPr>
        <w:t xml:space="preserve">Shotwell, S.K., M. Dorn, A. Deary, B. Fissel, L. Rogers, and S. Zador. 2020. Ecosystem and socioeconomic profile of the walleye pollock stock in the Gulf of Alaska. Appendix 1A In Dorn, M.W., A.L. Deary, B.E. Fissel, D.T. Jones, M. Levine, A.L. McCarthy, W.A. Palsson, L.A. Rogers, S.K. Shotwell, K.A. Spalinger, K. Williams, and S.G. Zador. 2020. Assessment of the walleye pollock stock in the Gulf of Alaska. In Stock assessment and fishery evaluation report for the groundfish resources of the Gulf of Alaska. North Pacific Fishery Mngt. Council, 605 W 4th Ave, Suite 306 Anchorage, AK 99501. Pp. 104-135. Available online: https://archive.fisheries.noaa.gov/afsc/refm/stocks/plan_team/2020/GOApollock.pdf  </w:t>
      </w:r>
    </w:p>
    <w:p w14:paraId="699A441C" w14:textId="77777777" w:rsidR="00DE3EE8" w:rsidRPr="002B7E6B" w:rsidRDefault="00DE3EE8" w:rsidP="00A24238">
      <w:pPr>
        <w:ind w:left="720" w:hanging="720"/>
        <w:rPr>
          <w:sz w:val="22"/>
          <w:szCs w:val="22"/>
        </w:rPr>
      </w:pPr>
    </w:p>
    <w:p w14:paraId="5E33DCB5" w14:textId="77777777" w:rsidR="00DE3EE8" w:rsidRPr="002B7E6B" w:rsidRDefault="00DE3EE8" w:rsidP="00A24238">
      <w:pPr>
        <w:ind w:left="720" w:hanging="720"/>
        <w:rPr>
          <w:sz w:val="22"/>
          <w:szCs w:val="22"/>
        </w:rPr>
      </w:pPr>
      <w:r w:rsidRPr="002B7E6B">
        <w:rPr>
          <w:sz w:val="22"/>
          <w:szCs w:val="22"/>
        </w:rPr>
        <w:t xml:space="preserve">Shotwell, S.K., D. Goethel, A. Deary, K. Echave, K. Fenske, B. Fissel, D. Hanselman, C. Lunsford, K. Siwicke, and J. Sullivan. 2020. Ecosystem and socioeconomic profile of the Sablefish stock in Alaska. Appendix 3C In D.R. Goethel, D.H., Hanselman, C.J. Rodgveller, K.H. Fenske, S.K. Shotwell, K.B. Echave, P.W. Malecha, K.A. Siwicke, and C.R. Lunsford. 2020. Assessment of the Sablefish stock in Alaska. Stock assessment and fishery evaluation report for the groundfish resources of the Bering Sea Aleutian Islands and Gulf of Alaska. North Pacific Fishery Management Council, 1007 W 3rd Ave, Suite 400 Anchorage, AK 99501. Pp. 190-218. Available online: https://archive.fisheries.noaa.gov/afsc/refm/stocks/plan_team/2020/sablefish.pdf  </w:t>
      </w:r>
    </w:p>
    <w:p w14:paraId="06A6F33C" w14:textId="77777777" w:rsidR="00DE3EE8" w:rsidRPr="002B7E6B" w:rsidRDefault="00DE3EE8" w:rsidP="00A24238">
      <w:pPr>
        <w:ind w:left="720" w:hanging="720"/>
        <w:rPr>
          <w:sz w:val="22"/>
          <w:szCs w:val="22"/>
        </w:rPr>
      </w:pPr>
    </w:p>
    <w:p w14:paraId="4DCDF25A" w14:textId="77777777" w:rsidR="00DE3EE8" w:rsidRPr="002B7E6B" w:rsidRDefault="00DE3EE8" w:rsidP="00A24238">
      <w:pPr>
        <w:ind w:left="720" w:hanging="720"/>
        <w:rPr>
          <w:sz w:val="22"/>
          <w:szCs w:val="22"/>
        </w:rPr>
      </w:pPr>
      <w:r w:rsidRPr="002B7E6B">
        <w:rPr>
          <w:sz w:val="22"/>
          <w:szCs w:val="22"/>
        </w:rPr>
        <w:t xml:space="preserve">Shotwell, S.K., G.G. Thompson, B. Fissel, T. Hurst, B. Laurel, L. Rogers, E. Siddon. 2020. Ecosystem </w:t>
      </w:r>
      <w:r w:rsidRPr="002B7E6B">
        <w:rPr>
          <w:sz w:val="22"/>
          <w:szCs w:val="22"/>
        </w:rPr>
        <w:lastRenderedPageBreak/>
        <w:t>and socioeconomic profile of the Pacific cod stock in the Eastern Bering Sea. Appendix 2.2. In Thompson, G.G., J. Conner, S.K. Shotwell, B. Fissel, T. Hurst, B. Laurel, L. Rogers, and E. Siddon. 2020. Assessment of the Pacific cod stock in the Eastern Bering Sea. In Stock assessment and fishery evaluation report for the groundfish resources of the Bering Sea and Aleutian Islands. North Pacific Fishery Mngt. Council, 605 W 4th Ave, Suite 306 Anchorage, AK 99501. 266-310. Available online: https://archive.fisheries.noaa.gov/afsc/refm/stocks/plan_team/2020/EBSpcod.pdf</w:t>
      </w:r>
    </w:p>
    <w:p w14:paraId="70D75151" w14:textId="77777777" w:rsidR="00DE3EE8" w:rsidRPr="002B7E6B" w:rsidRDefault="00DE3EE8" w:rsidP="00A24238">
      <w:pPr>
        <w:ind w:left="720" w:hanging="720"/>
        <w:rPr>
          <w:sz w:val="22"/>
          <w:szCs w:val="22"/>
        </w:rPr>
      </w:pPr>
    </w:p>
    <w:p w14:paraId="0F577C7A" w14:textId="77777777" w:rsidR="00DE3EE8" w:rsidRPr="002B7E6B" w:rsidRDefault="00DE3EE8" w:rsidP="00A24238">
      <w:pPr>
        <w:ind w:left="720" w:hanging="720"/>
        <w:rPr>
          <w:sz w:val="22"/>
          <w:szCs w:val="22"/>
        </w:rPr>
      </w:pPr>
      <w:r w:rsidRPr="002B7E6B">
        <w:rPr>
          <w:sz w:val="22"/>
          <w:szCs w:val="22"/>
        </w:rPr>
        <w:t xml:space="preserve">2020 Crab ESPs: </w:t>
      </w:r>
    </w:p>
    <w:p w14:paraId="2A4F051A" w14:textId="77777777" w:rsidR="00DE3EE8" w:rsidRPr="002B7E6B" w:rsidRDefault="00DE3EE8" w:rsidP="00A24238">
      <w:pPr>
        <w:ind w:left="720" w:hanging="720"/>
        <w:rPr>
          <w:sz w:val="22"/>
          <w:szCs w:val="22"/>
        </w:rPr>
      </w:pPr>
      <w:r w:rsidRPr="002B7E6B">
        <w:rPr>
          <w:sz w:val="22"/>
          <w:szCs w:val="22"/>
        </w:rPr>
        <w:t xml:space="preserve">Fedewa, E., B. Garber-Yonts, K. Shotwell. 2020. Ecosystem and Socioeconomic Profile of the Bristol Bay Red King Crab stock. Appendix E. In J. Zheng and M.S.M. Siddeek. 2020. Bristol Bay Red King Crab Stock Assessment in </w:t>
      </w:r>
      <w:proofErr w:type="gramStart"/>
      <w:r w:rsidRPr="002B7E6B">
        <w:rPr>
          <w:sz w:val="22"/>
          <w:szCs w:val="22"/>
        </w:rPr>
        <w:t>Fall</w:t>
      </w:r>
      <w:proofErr w:type="gramEnd"/>
      <w:r w:rsidRPr="002B7E6B">
        <w:rPr>
          <w:sz w:val="22"/>
          <w:szCs w:val="22"/>
        </w:rPr>
        <w:t xml:space="preserve"> 2020. Stock assessment and fishery evaluation report for the Bering Sea/Aleutian Islands king and Tanner crabs. North Pacific Fishery Management Council, 1007 W 3rd Ave, Suite 400 Anchorage, AK 99501. </w:t>
      </w:r>
      <w:proofErr w:type="gramStart"/>
      <w:r w:rsidRPr="002B7E6B">
        <w:rPr>
          <w:sz w:val="22"/>
          <w:szCs w:val="22"/>
        </w:rPr>
        <w:t>31</w:t>
      </w:r>
      <w:proofErr w:type="gramEnd"/>
      <w:r w:rsidRPr="002B7E6B">
        <w:rPr>
          <w:sz w:val="22"/>
          <w:szCs w:val="22"/>
        </w:rPr>
        <w:t xml:space="preserve"> p. Available online: https://meetings.npfmc.org/CommentReview/DownloadFile?p=ea0403bc-6544-4241-bf8c-b9c7a8ebf17d.pdf&amp;fileName=SAFE_2020_App_E_BBRKC_ESP_2020.pdf   </w:t>
      </w:r>
    </w:p>
    <w:p w14:paraId="34837370" w14:textId="77777777" w:rsidR="00DE3EE8" w:rsidRPr="002B7E6B" w:rsidRDefault="00DE3EE8" w:rsidP="00A24238">
      <w:pPr>
        <w:ind w:left="720" w:hanging="720"/>
        <w:rPr>
          <w:sz w:val="22"/>
          <w:szCs w:val="22"/>
        </w:rPr>
      </w:pPr>
    </w:p>
    <w:p w14:paraId="31F063FC" w14:textId="77777777" w:rsidR="00DE3EE8" w:rsidRPr="002B7E6B" w:rsidRDefault="00DE3EE8" w:rsidP="00A24238">
      <w:pPr>
        <w:ind w:left="720" w:hanging="720"/>
        <w:rPr>
          <w:sz w:val="22"/>
          <w:szCs w:val="22"/>
        </w:rPr>
      </w:pPr>
      <w:r w:rsidRPr="002B7E6B">
        <w:rPr>
          <w:sz w:val="22"/>
          <w:szCs w:val="22"/>
        </w:rPr>
        <w:t xml:space="preserve">Fedewa, E., B. Garber-Yonts, K. Shotwell. 2020. Ecosystem and Socioeconomic Profile of the Saint Matthew Blue King Crab stock. Appendix F. In K. Palof, J. Zheng, and J. Ianelli. 2020. Saint Matthew Island Blue King Crab Stock Assessment 2020. Stock assessment and fishery evaluation report for the Bering Sea/Aleutian Islands king and Tanner crabs. North Pacific Fishery Management Council, 1007 W 3rd Ave, Suite 400 Anchorage, AK 99501. </w:t>
      </w:r>
      <w:proofErr w:type="gramStart"/>
      <w:r w:rsidRPr="002B7E6B">
        <w:rPr>
          <w:sz w:val="22"/>
          <w:szCs w:val="22"/>
        </w:rPr>
        <w:t>14</w:t>
      </w:r>
      <w:proofErr w:type="gramEnd"/>
      <w:r w:rsidRPr="002B7E6B">
        <w:rPr>
          <w:sz w:val="22"/>
          <w:szCs w:val="22"/>
        </w:rPr>
        <w:t xml:space="preserve"> p. Available online: https://meetings.npfmc.org/CommentReview/DownloadFile?p=f82852c5-2b1f-44a3-90c8-159b269077d6.pdf&amp;fileName=SAFE_2020_App_F_SMBKC_ESP_2020_Exec_Summ.pdf</w:t>
      </w:r>
    </w:p>
    <w:p w14:paraId="6E387B48" w14:textId="77777777" w:rsidR="00DE3EE8" w:rsidRPr="002B7E6B" w:rsidRDefault="00DE3EE8" w:rsidP="00A24238">
      <w:pPr>
        <w:ind w:left="720" w:hanging="720"/>
        <w:rPr>
          <w:sz w:val="22"/>
          <w:szCs w:val="22"/>
        </w:rPr>
      </w:pPr>
    </w:p>
    <w:p w14:paraId="07DE76F7" w14:textId="03501431" w:rsidR="00DE3EE8" w:rsidRDefault="00DE3EE8" w:rsidP="00A24238">
      <w:pPr>
        <w:pStyle w:val="Heading5"/>
      </w:pPr>
      <w:bookmarkStart w:id="173" w:name="_Toc131503913"/>
      <w:r w:rsidRPr="002B7E6B">
        <w:t>Gulf of Alaska Climate Integrated Modeling Project</w:t>
      </w:r>
      <w:r w:rsidR="0024271A">
        <w:t xml:space="preserve"> – </w:t>
      </w:r>
      <w:r w:rsidRPr="002B7E6B">
        <w:t>REFM and other divisions</w:t>
      </w:r>
      <w:bookmarkEnd w:id="173"/>
    </w:p>
    <w:p w14:paraId="74722FE0" w14:textId="77777777" w:rsidR="00A24238" w:rsidRPr="00A24238" w:rsidRDefault="00A24238" w:rsidP="00A24238"/>
    <w:p w14:paraId="7C86944E" w14:textId="77777777" w:rsidR="00DE3EE8" w:rsidRPr="002B7E6B" w:rsidRDefault="00DE3EE8" w:rsidP="00DE3EE8">
      <w:pPr>
        <w:rPr>
          <w:sz w:val="22"/>
          <w:szCs w:val="22"/>
        </w:rPr>
      </w:pPr>
      <w:r w:rsidRPr="002B7E6B">
        <w:rPr>
          <w:sz w:val="22"/>
          <w:szCs w:val="22"/>
        </w:rPr>
        <w:t xml:space="preserve">The Gulf of Alaska ecosystem supports valuable and diverse marine fisheries and most of the human population of Alaska resides in the Gulf of Alaska region. Large changes in climate </w:t>
      </w:r>
      <w:proofErr w:type="gramStart"/>
      <w:r w:rsidRPr="002B7E6B">
        <w:rPr>
          <w:sz w:val="22"/>
          <w:szCs w:val="22"/>
        </w:rPr>
        <w:t>are expected</w:t>
      </w:r>
      <w:proofErr w:type="gramEnd"/>
      <w:r w:rsidRPr="002B7E6B">
        <w:rPr>
          <w:sz w:val="22"/>
          <w:szCs w:val="22"/>
        </w:rPr>
        <w:t xml:space="preserve"> in the Gulf of Alaska in the coming decades. Scientists are using an integrated modeling approach to identify factors affecting present and future ecosystem-level productivity and to assess the economic and social impacts on Gulf of Alaska fishing and subsistence communities of Climate Change. This is an interdisciplinary collaboration and a complement to a successful project developed for the eastern Bering Sea.</w:t>
      </w:r>
    </w:p>
    <w:p w14:paraId="51F4657A" w14:textId="77777777" w:rsidR="00DE3EE8" w:rsidRPr="002B7E6B" w:rsidRDefault="00DE3EE8" w:rsidP="00DE3EE8">
      <w:pPr>
        <w:rPr>
          <w:sz w:val="22"/>
          <w:szCs w:val="22"/>
        </w:rPr>
      </w:pPr>
    </w:p>
    <w:p w14:paraId="27E5DDF3" w14:textId="77777777" w:rsidR="00DE3EE8" w:rsidRPr="002B7E6B" w:rsidRDefault="00DE3EE8" w:rsidP="00DE3EE8">
      <w:pPr>
        <w:rPr>
          <w:sz w:val="22"/>
          <w:szCs w:val="22"/>
        </w:rPr>
      </w:pPr>
      <w:r w:rsidRPr="002B7E6B">
        <w:rPr>
          <w:sz w:val="22"/>
          <w:szCs w:val="22"/>
        </w:rPr>
        <w:t>This multidisciplinary modeling effort applies a regional lens to global climate models. Scientists are combining regional socio-economic, oceanographic data and biological models including single-species, multispecies and ecosystem models to develop a regional multi-model (an ensemble model) to provide quantitative advice to support resource management given climate variability and long-term change.  One important management application of this research is to evaluate the Optimum Yield (OY) range (160,000–800,000 t) in the Groundfish Fishery Management Plan for the Gulf of Alaska in a changing climate.</w:t>
      </w:r>
    </w:p>
    <w:p w14:paraId="38808AF2" w14:textId="77777777" w:rsidR="00DE3EE8" w:rsidRPr="002B7E6B" w:rsidRDefault="00DE3EE8" w:rsidP="00DE3EE8">
      <w:pPr>
        <w:rPr>
          <w:sz w:val="22"/>
          <w:szCs w:val="22"/>
        </w:rPr>
      </w:pPr>
    </w:p>
    <w:p w14:paraId="365F2D52" w14:textId="77777777" w:rsidR="00DE3EE8" w:rsidRPr="002B7E6B" w:rsidRDefault="00DE3EE8" w:rsidP="00DE3EE8">
      <w:pPr>
        <w:rPr>
          <w:sz w:val="22"/>
          <w:szCs w:val="22"/>
        </w:rPr>
      </w:pPr>
      <w:r w:rsidRPr="002B7E6B">
        <w:rPr>
          <w:sz w:val="22"/>
          <w:szCs w:val="22"/>
        </w:rPr>
        <w:t>Scientists will begin to address the critical need to anticipate those changes and evaluate their impact on the ecosystem and its inhabitants. By providing near-term and long-term projections, scientists hope to help resource managers and local communities anticipate and better plan for environmental and ecological changes due to Climate Change in the Gulf of Alaska. This effort represents a substantial step towards meeting the objectives of Gulf of Alaska Climate Science Regional Action Plan and the NOAA Fisheries Climate Science Strategy. This project will examine how individuals, families, and communities adapt to climate variability and associated changes in fisheries and marine ecosystems. We will also identify the factors underlying adaptation choices, and tradeoffs associated with those adaptations.</w:t>
      </w:r>
    </w:p>
    <w:p w14:paraId="7C5A8099" w14:textId="77777777" w:rsidR="00DE3EE8" w:rsidRPr="002B7E6B" w:rsidRDefault="00DE3EE8" w:rsidP="00DE3EE8">
      <w:pPr>
        <w:rPr>
          <w:sz w:val="22"/>
          <w:szCs w:val="22"/>
        </w:rPr>
      </w:pPr>
    </w:p>
    <w:p w14:paraId="3704574F" w14:textId="77777777" w:rsidR="00DE3EE8" w:rsidRPr="002B7E6B" w:rsidRDefault="00DE3EE8" w:rsidP="00DE3EE8">
      <w:pPr>
        <w:rPr>
          <w:sz w:val="22"/>
          <w:szCs w:val="22"/>
        </w:rPr>
      </w:pPr>
      <w:r w:rsidRPr="002B7E6B">
        <w:rPr>
          <w:sz w:val="22"/>
          <w:szCs w:val="22"/>
        </w:rPr>
        <w:t xml:space="preserve">Project activities </w:t>
      </w:r>
    </w:p>
    <w:p w14:paraId="3C963091" w14:textId="77777777" w:rsidR="00DE3EE8" w:rsidRPr="002B7E6B" w:rsidRDefault="00DE3EE8" w:rsidP="00DE3EE8">
      <w:pPr>
        <w:numPr>
          <w:ilvl w:val="0"/>
          <w:numId w:val="2"/>
        </w:numPr>
        <w:rPr>
          <w:sz w:val="22"/>
          <w:szCs w:val="22"/>
        </w:rPr>
      </w:pPr>
      <w:r w:rsidRPr="002B7E6B">
        <w:rPr>
          <w:sz w:val="22"/>
          <w:szCs w:val="22"/>
        </w:rPr>
        <w:t>Develop and apply the Atlantis model as an element of a multi-model ensemble to evaluate fisheries management strategies in a changing climate.</w:t>
      </w:r>
    </w:p>
    <w:p w14:paraId="68D1ED5C" w14:textId="77777777" w:rsidR="00DE3EE8" w:rsidRPr="002B7E6B" w:rsidRDefault="00DE3EE8" w:rsidP="00DE3EE8">
      <w:pPr>
        <w:numPr>
          <w:ilvl w:val="0"/>
          <w:numId w:val="2"/>
        </w:numPr>
        <w:rPr>
          <w:sz w:val="22"/>
          <w:szCs w:val="22"/>
        </w:rPr>
      </w:pPr>
      <w:r w:rsidRPr="002B7E6B">
        <w:rPr>
          <w:sz w:val="22"/>
          <w:szCs w:val="22"/>
        </w:rPr>
        <w:t>Combine oceanographic modeling driven by climate projections of earth system models (ESM) with biological models including single species, multi-species, and ecosystem models. This includes the Atlantis end-to-end ecosystem model, food web models for the Gulf of Alaska (Ecopath and Ecosim) and a Gulf of Alaska multi-species (CEATTLE).</w:t>
      </w:r>
    </w:p>
    <w:p w14:paraId="588BD596" w14:textId="77777777" w:rsidR="00DE3EE8" w:rsidRPr="002B7E6B" w:rsidRDefault="00DE3EE8" w:rsidP="00DE3EE8">
      <w:pPr>
        <w:numPr>
          <w:ilvl w:val="0"/>
          <w:numId w:val="2"/>
        </w:numPr>
        <w:rPr>
          <w:sz w:val="22"/>
          <w:szCs w:val="22"/>
        </w:rPr>
      </w:pPr>
      <w:r w:rsidRPr="002B7E6B">
        <w:rPr>
          <w:sz w:val="22"/>
          <w:szCs w:val="22"/>
        </w:rPr>
        <w:t>Explore recent climate change impacts on the Gulf of Alaska social-ecological system (e.g., use the 2013-2016 marine heat wave, PDO variation, and climate projections as natural experiments to explore ecosystem-level and species-specific responses to physical forcing).</w:t>
      </w:r>
    </w:p>
    <w:p w14:paraId="078DBC4E" w14:textId="77777777" w:rsidR="00DE3EE8" w:rsidRPr="002B7E6B" w:rsidRDefault="00DE3EE8" w:rsidP="00DE3EE8">
      <w:pPr>
        <w:numPr>
          <w:ilvl w:val="0"/>
          <w:numId w:val="2"/>
        </w:numPr>
        <w:rPr>
          <w:sz w:val="22"/>
          <w:szCs w:val="22"/>
        </w:rPr>
      </w:pPr>
      <w:r w:rsidRPr="002B7E6B">
        <w:rPr>
          <w:sz w:val="22"/>
          <w:szCs w:val="22"/>
        </w:rPr>
        <w:t>Apply the coupled climate-biological-social multi-model ensemble to explore the implications of long-term changes in physical forcing on various management questions (e.g., current OY range in the Gulf of Alaska; implementation of catch share programs, etc.), taking into account model uncertainty.</w:t>
      </w:r>
    </w:p>
    <w:p w14:paraId="637DA386" w14:textId="77777777" w:rsidR="00DE3EE8" w:rsidRPr="002B7E6B" w:rsidRDefault="00DE3EE8" w:rsidP="00DE3EE8">
      <w:pPr>
        <w:numPr>
          <w:ilvl w:val="0"/>
          <w:numId w:val="2"/>
        </w:numPr>
        <w:rPr>
          <w:sz w:val="22"/>
          <w:szCs w:val="22"/>
        </w:rPr>
      </w:pPr>
      <w:r w:rsidRPr="002B7E6B">
        <w:rPr>
          <w:sz w:val="22"/>
          <w:szCs w:val="22"/>
        </w:rPr>
        <w:t>Evaluate performance of management strategies under climate change (e.g., estimate system-level OY for Gulf of Alaska using the multi-model ensemble)</w:t>
      </w:r>
    </w:p>
    <w:p w14:paraId="65F72571" w14:textId="77777777" w:rsidR="00DE3EE8" w:rsidRPr="002B7E6B" w:rsidRDefault="00DE3EE8" w:rsidP="00DE3EE8">
      <w:pPr>
        <w:numPr>
          <w:ilvl w:val="0"/>
          <w:numId w:val="2"/>
        </w:numPr>
        <w:rPr>
          <w:sz w:val="22"/>
          <w:szCs w:val="22"/>
        </w:rPr>
      </w:pPr>
      <w:r w:rsidRPr="002B7E6B">
        <w:rPr>
          <w:sz w:val="22"/>
          <w:szCs w:val="22"/>
        </w:rPr>
        <w:t>Evaluate and predict the impacts of major environmental anomalies to an endangered population of Steller sea lions using the 2013-2016 marine heatwave as a natural experiment.</w:t>
      </w:r>
    </w:p>
    <w:p w14:paraId="5564511E" w14:textId="77777777" w:rsidR="00DE3EE8" w:rsidRPr="002B7E6B" w:rsidRDefault="00DE3EE8" w:rsidP="00DE3EE8">
      <w:pPr>
        <w:numPr>
          <w:ilvl w:val="0"/>
          <w:numId w:val="2"/>
        </w:numPr>
        <w:rPr>
          <w:sz w:val="22"/>
          <w:szCs w:val="22"/>
        </w:rPr>
      </w:pPr>
      <w:r w:rsidRPr="002B7E6B">
        <w:rPr>
          <w:sz w:val="22"/>
          <w:szCs w:val="22"/>
        </w:rPr>
        <w:t>Model fleet dynamics and fishery landings responses to ecosystem and management change</w:t>
      </w:r>
    </w:p>
    <w:p w14:paraId="0488C96A" w14:textId="77777777" w:rsidR="00DE3EE8" w:rsidRPr="002B7E6B" w:rsidRDefault="00DE3EE8" w:rsidP="00DE3EE8">
      <w:pPr>
        <w:rPr>
          <w:sz w:val="22"/>
          <w:szCs w:val="22"/>
        </w:rPr>
      </w:pPr>
    </w:p>
    <w:p w14:paraId="0EA38F00" w14:textId="77777777" w:rsidR="00DE3EE8" w:rsidRPr="002B7E6B" w:rsidRDefault="00DE3EE8" w:rsidP="00DE3EE8">
      <w:pPr>
        <w:rPr>
          <w:sz w:val="22"/>
          <w:szCs w:val="22"/>
        </w:rPr>
      </w:pPr>
      <w:r w:rsidRPr="002B7E6B">
        <w:rPr>
          <w:sz w:val="22"/>
          <w:szCs w:val="22"/>
        </w:rPr>
        <w:t xml:space="preserve">Greater detail </w:t>
      </w:r>
      <w:proofErr w:type="gramStart"/>
      <w:r w:rsidRPr="002B7E6B">
        <w:rPr>
          <w:sz w:val="22"/>
          <w:szCs w:val="22"/>
        </w:rPr>
        <w:t>can be found</w:t>
      </w:r>
      <w:proofErr w:type="gramEnd"/>
      <w:r w:rsidRPr="002B7E6B">
        <w:rPr>
          <w:sz w:val="22"/>
          <w:szCs w:val="22"/>
        </w:rPr>
        <w:t xml:space="preserve"> at https://www.fisheries.noaa.gov/alaska/socioeconomics/gulf-alaska-climate-integrated-modeling-socioeconomics-climate-communities. </w:t>
      </w:r>
      <w:proofErr w:type="gramStart"/>
      <w:r w:rsidRPr="002B7E6B">
        <w:rPr>
          <w:sz w:val="22"/>
          <w:szCs w:val="22"/>
        </w:rPr>
        <w:t>Also ,</w:t>
      </w:r>
      <w:proofErr w:type="gramEnd"/>
      <w:r w:rsidRPr="002B7E6B">
        <w:rPr>
          <w:sz w:val="22"/>
          <w:szCs w:val="22"/>
        </w:rPr>
        <w:t xml:space="preserve"> for more information please contact Martin Dorn at Martin.Dorn@noaa.gov.</w:t>
      </w:r>
    </w:p>
    <w:p w14:paraId="33B19BE9" w14:textId="77777777" w:rsidR="00DE3EE8" w:rsidRPr="002B7E6B" w:rsidRDefault="00DE3EE8" w:rsidP="00DE3EE8">
      <w:pPr>
        <w:rPr>
          <w:sz w:val="22"/>
          <w:szCs w:val="22"/>
        </w:rPr>
      </w:pPr>
    </w:p>
    <w:p w14:paraId="3FB71A3A" w14:textId="00DE7CD6" w:rsidR="00DE3EE8" w:rsidRPr="00E26C52" w:rsidRDefault="00DE3EE8" w:rsidP="00E26C52">
      <w:pPr>
        <w:pStyle w:val="Heading4"/>
      </w:pPr>
      <w:bookmarkStart w:id="174" w:name="_Toc131503914"/>
      <w:r w:rsidRPr="00E26C52">
        <w:t>Resource Ecology and Ecosystem Modeling Program</w:t>
      </w:r>
      <w:r w:rsidR="00B05625" w:rsidRPr="002B7E6B">
        <w:rPr>
          <w:i/>
          <w:szCs w:val="22"/>
        </w:rPr>
        <w:t xml:space="preserve"> – </w:t>
      </w:r>
      <w:r w:rsidRPr="00E26C52">
        <w:t>REFM/REEM</w:t>
      </w:r>
      <w:bookmarkEnd w:id="174"/>
    </w:p>
    <w:p w14:paraId="7566168D" w14:textId="77777777" w:rsidR="00A24238" w:rsidRPr="00A24238" w:rsidRDefault="00A24238" w:rsidP="00A24238"/>
    <w:p w14:paraId="6E760214" w14:textId="77777777" w:rsidR="00DE3EE8" w:rsidRPr="002B7E6B" w:rsidRDefault="00DE3EE8" w:rsidP="00DE3EE8">
      <w:pPr>
        <w:widowControl/>
        <w:rPr>
          <w:sz w:val="22"/>
          <w:szCs w:val="22"/>
          <w:highlight w:val="white"/>
        </w:rPr>
      </w:pPr>
      <w:r w:rsidRPr="002B7E6B">
        <w:rPr>
          <w:sz w:val="22"/>
          <w:szCs w:val="22"/>
          <w:highlight w:val="white"/>
        </w:rPr>
        <w:t xml:space="preserve">The REEM Program creates various types of statistical models that incorporate ecosystem information such as predator-prey relationships, food web relationships, diet analysis and socio-economic data that </w:t>
      </w:r>
      <w:proofErr w:type="gramStart"/>
      <w:r w:rsidRPr="002B7E6B">
        <w:rPr>
          <w:sz w:val="22"/>
          <w:szCs w:val="22"/>
          <w:highlight w:val="white"/>
        </w:rPr>
        <w:t>is used</w:t>
      </w:r>
      <w:proofErr w:type="gramEnd"/>
      <w:r w:rsidRPr="002B7E6B">
        <w:rPr>
          <w:sz w:val="22"/>
          <w:szCs w:val="22"/>
          <w:highlight w:val="white"/>
        </w:rPr>
        <w:t xml:space="preserve"> to inform fishery management decisions for Alaska groundfish species.</w:t>
      </w:r>
    </w:p>
    <w:p w14:paraId="403A9F65" w14:textId="77777777" w:rsidR="00DE3EE8" w:rsidRPr="002B7E6B" w:rsidRDefault="00DE3EE8" w:rsidP="00DE3EE8">
      <w:pPr>
        <w:widowControl/>
        <w:rPr>
          <w:rFonts w:eastAsia="Arial"/>
          <w:i/>
          <w:sz w:val="22"/>
          <w:szCs w:val="22"/>
          <w:highlight w:val="white"/>
        </w:rPr>
      </w:pPr>
    </w:p>
    <w:p w14:paraId="2401AF59" w14:textId="77777777" w:rsidR="00DE3EE8" w:rsidRPr="002B7E6B" w:rsidRDefault="00DE3EE8" w:rsidP="00A24238">
      <w:pPr>
        <w:pStyle w:val="Heading5"/>
      </w:pPr>
      <w:bookmarkStart w:id="175" w:name="_Toc131503915"/>
      <w:r w:rsidRPr="002B7E6B">
        <w:t>Ecosystem Status Reports 2022: the Status of Alaska’s Marine Ecosystems completed and posted online</w:t>
      </w:r>
      <w:bookmarkEnd w:id="175"/>
    </w:p>
    <w:p w14:paraId="6FB0B203" w14:textId="77777777" w:rsidR="00DE3EE8" w:rsidRPr="002B7E6B" w:rsidRDefault="00DE3EE8" w:rsidP="00DE3EE8">
      <w:pPr>
        <w:widowControl/>
        <w:rPr>
          <w:sz w:val="22"/>
          <w:szCs w:val="22"/>
        </w:rPr>
      </w:pPr>
    </w:p>
    <w:p w14:paraId="68A9FE45" w14:textId="77777777" w:rsidR="00DE3EE8" w:rsidRPr="002B7E6B" w:rsidRDefault="00DE3EE8" w:rsidP="00DE3EE8">
      <w:pPr>
        <w:widowControl/>
        <w:rPr>
          <w:sz w:val="22"/>
          <w:szCs w:val="22"/>
        </w:rPr>
      </w:pPr>
      <w:r w:rsidRPr="002B7E6B">
        <w:rPr>
          <w:sz w:val="22"/>
          <w:szCs w:val="22"/>
        </w:rPr>
        <w:t xml:space="preserve">The status of Alaska’s marine ecosystems </w:t>
      </w:r>
      <w:proofErr w:type="gramStart"/>
      <w:r w:rsidRPr="002B7E6B">
        <w:rPr>
          <w:sz w:val="22"/>
          <w:szCs w:val="22"/>
        </w:rPr>
        <w:t>is presented</w:t>
      </w:r>
      <w:proofErr w:type="gramEnd"/>
      <w:r w:rsidRPr="002B7E6B">
        <w:rPr>
          <w:sz w:val="22"/>
          <w:szCs w:val="22"/>
        </w:rPr>
        <w:t xml:space="preserve"> annually to the North Pacific Fishery Management Council as part of the Stock Assessment and Fishery Evaluation (SAFE) report. There are separate reports for each of four ecosystems: the eastern Bering Sea, Aleutian Islands, Gulf of Alaska, and the Arctic. In 2022, new information became available to update the reports for the eastern Bering Sea, the Aleutian Islands, and the Gulf of Alaska. The goal of these Ecosystem Status Reports (ESRs) is to provide the Council and other readers with an overview of marine ecosystems in Alaska through ecosystem assessments and by tracking time series of ecosystem indicators. This information provides ecosystem context to the fisheries managers’ deliberations. The reports are now available online at the Ecosystem Considerations website at: </w:t>
      </w:r>
      <w:hyperlink r:id="rId108">
        <w:r w:rsidRPr="002B7E6B">
          <w:rPr>
            <w:color w:val="1155CC"/>
            <w:sz w:val="22"/>
            <w:szCs w:val="22"/>
            <w:u w:val="single"/>
          </w:rPr>
          <w:t>https://apps-afsc.fisheries.noaa.gov/refm/reem/ecoweb/index.php</w:t>
        </w:r>
      </w:hyperlink>
      <w:r w:rsidRPr="002B7E6B">
        <w:rPr>
          <w:sz w:val="22"/>
          <w:szCs w:val="22"/>
        </w:rPr>
        <w:t>.</w:t>
      </w:r>
    </w:p>
    <w:p w14:paraId="5C8C8D88" w14:textId="77777777" w:rsidR="00DE3EE8" w:rsidRPr="002B7E6B" w:rsidRDefault="00DE3EE8" w:rsidP="00DE3EE8">
      <w:pPr>
        <w:widowControl/>
        <w:rPr>
          <w:sz w:val="22"/>
          <w:szCs w:val="22"/>
        </w:rPr>
      </w:pPr>
    </w:p>
    <w:p w14:paraId="171E8CE6" w14:textId="33D5051D" w:rsidR="00DE3EE8" w:rsidRPr="00A24238" w:rsidRDefault="00DE3EE8" w:rsidP="00A24238">
      <w:pPr>
        <w:pStyle w:val="Heading5"/>
      </w:pPr>
      <w:bookmarkStart w:id="176" w:name="_Toc131503916"/>
      <w:r w:rsidRPr="00A24238">
        <w:t>Groundfish Stomach Sample Collection and Analysis</w:t>
      </w:r>
      <w:r w:rsidR="0024271A">
        <w:t xml:space="preserve"> – </w:t>
      </w:r>
      <w:r w:rsidRPr="00A24238">
        <w:t>REFM</w:t>
      </w:r>
      <w:r w:rsidR="00B05625">
        <w:t>/</w:t>
      </w:r>
      <w:r w:rsidRPr="00A24238">
        <w:t>REEM</w:t>
      </w:r>
      <w:bookmarkEnd w:id="176"/>
    </w:p>
    <w:p w14:paraId="0A101C04" w14:textId="77777777" w:rsidR="00DE3EE8" w:rsidRPr="002B7E6B" w:rsidRDefault="00DE3EE8" w:rsidP="00DE3EE8">
      <w:pPr>
        <w:rPr>
          <w:sz w:val="22"/>
          <w:szCs w:val="22"/>
        </w:rPr>
      </w:pPr>
    </w:p>
    <w:p w14:paraId="270F6B5E" w14:textId="77777777" w:rsidR="00DE3EE8" w:rsidRPr="002B7E6B" w:rsidRDefault="00DE3EE8" w:rsidP="00DE3EE8">
      <w:pPr>
        <w:rPr>
          <w:sz w:val="22"/>
          <w:szCs w:val="22"/>
        </w:rPr>
      </w:pPr>
      <w:r w:rsidRPr="002B7E6B">
        <w:rPr>
          <w:sz w:val="22"/>
          <w:szCs w:val="22"/>
        </w:rPr>
        <w:t xml:space="preserve">The Resource Ecology and Ecosystem Modeling (REEM) Program continued regular collection of food habits information on key fish predators in Alaska’s marine environment.  During 2022, AFSC personnel analyzed the stomach contents of </w:t>
      </w:r>
      <w:proofErr w:type="gramStart"/>
      <w:r w:rsidRPr="002B7E6B">
        <w:rPr>
          <w:sz w:val="22"/>
          <w:szCs w:val="22"/>
        </w:rPr>
        <w:t>8</w:t>
      </w:r>
      <w:proofErr w:type="gramEnd"/>
      <w:r w:rsidRPr="002B7E6B">
        <w:rPr>
          <w:sz w:val="22"/>
          <w:szCs w:val="22"/>
        </w:rPr>
        <w:t xml:space="preserve"> species sampled from the eastern Bering Sea, Gulf of Alaska and Aleutian Islands regions. The contents of 9,480 stomach samples </w:t>
      </w:r>
      <w:proofErr w:type="gramStart"/>
      <w:r w:rsidRPr="002B7E6B">
        <w:rPr>
          <w:sz w:val="22"/>
          <w:szCs w:val="22"/>
        </w:rPr>
        <w:t>were analyzed</w:t>
      </w:r>
      <w:proofErr w:type="gramEnd"/>
      <w:r w:rsidRPr="002B7E6B">
        <w:rPr>
          <w:sz w:val="22"/>
          <w:szCs w:val="22"/>
        </w:rPr>
        <w:t xml:space="preserve"> in the laboratory in </w:t>
      </w:r>
      <w:r w:rsidRPr="002B7E6B">
        <w:rPr>
          <w:sz w:val="22"/>
          <w:szCs w:val="22"/>
        </w:rPr>
        <w:lastRenderedPageBreak/>
        <w:t xml:space="preserve">addition to 1,726 stomach samples analyzed at sea during the Aleutian Islands groundfish survey. </w:t>
      </w:r>
    </w:p>
    <w:p w14:paraId="1596CB8B" w14:textId="77777777" w:rsidR="00DE3EE8" w:rsidRPr="002B7E6B" w:rsidRDefault="00DE3EE8" w:rsidP="00DE3EE8">
      <w:pPr>
        <w:rPr>
          <w:sz w:val="22"/>
          <w:szCs w:val="22"/>
        </w:rPr>
      </w:pPr>
    </w:p>
    <w:p w14:paraId="550B5788" w14:textId="6DB7116E" w:rsidR="00DE3EE8" w:rsidRPr="002B7E6B" w:rsidRDefault="00DE3EE8" w:rsidP="00DE3EE8">
      <w:pPr>
        <w:rPr>
          <w:b/>
          <w:sz w:val="22"/>
          <w:szCs w:val="22"/>
        </w:rPr>
      </w:pPr>
      <w:r w:rsidRPr="002B7E6B">
        <w:rPr>
          <w:i/>
          <w:sz w:val="22"/>
          <w:szCs w:val="22"/>
        </w:rPr>
        <w:t>Predator-Pre</w:t>
      </w:r>
      <w:r w:rsidR="00B05625">
        <w:rPr>
          <w:i/>
          <w:sz w:val="22"/>
          <w:szCs w:val="22"/>
        </w:rPr>
        <w:t>y Interactions and Fish Ecology</w:t>
      </w:r>
    </w:p>
    <w:p w14:paraId="2F29D38D" w14:textId="77777777" w:rsidR="00DE3EE8" w:rsidRPr="002B7E6B" w:rsidRDefault="00DE3EE8" w:rsidP="00DE3EE8">
      <w:pPr>
        <w:rPr>
          <w:sz w:val="22"/>
          <w:szCs w:val="22"/>
        </w:rPr>
      </w:pPr>
    </w:p>
    <w:p w14:paraId="72A58536" w14:textId="77777777" w:rsidR="00DE3EE8" w:rsidRPr="002B7E6B" w:rsidRDefault="00DE3EE8" w:rsidP="00DE3EE8">
      <w:pPr>
        <w:rPr>
          <w:sz w:val="22"/>
          <w:szCs w:val="22"/>
        </w:rPr>
      </w:pPr>
      <w:r w:rsidRPr="002B7E6B">
        <w:rPr>
          <w:sz w:val="22"/>
          <w:szCs w:val="22"/>
        </w:rPr>
        <w:t xml:space="preserve">The predator fish species for which we have available stomach contents data </w:t>
      </w:r>
      <w:proofErr w:type="gramStart"/>
      <w:r w:rsidRPr="002B7E6B">
        <w:rPr>
          <w:sz w:val="22"/>
          <w:szCs w:val="22"/>
        </w:rPr>
        <w:t>can be found</w:t>
      </w:r>
      <w:proofErr w:type="gramEnd"/>
      <w:r w:rsidRPr="002B7E6B">
        <w:rPr>
          <w:sz w:val="22"/>
          <w:szCs w:val="22"/>
        </w:rPr>
        <w:t xml:space="preserve"> at </w:t>
      </w:r>
      <w:r w:rsidRPr="002B7E6B">
        <w:rPr>
          <w:sz w:val="22"/>
          <w:szCs w:val="22"/>
        </w:rPr>
        <w:br/>
      </w:r>
      <w:hyperlink r:id="rId109">
        <w:r w:rsidRPr="002B7E6B">
          <w:rPr>
            <w:color w:val="1155CC"/>
            <w:sz w:val="22"/>
            <w:szCs w:val="22"/>
            <w:u w:val="single"/>
          </w:rPr>
          <w:t>https://apps-afsc.fisheries.noaa.gov/refm/reem/webdietdata/dietdataintro.php</w:t>
        </w:r>
      </w:hyperlink>
      <w:r w:rsidRPr="002B7E6B">
        <w:rPr>
          <w:sz w:val="22"/>
          <w:szCs w:val="22"/>
        </w:rPr>
        <w:t xml:space="preserve"> </w:t>
      </w:r>
    </w:p>
    <w:p w14:paraId="52F46346" w14:textId="77777777" w:rsidR="00DE3EE8" w:rsidRPr="002B7E6B" w:rsidRDefault="00DE3EE8" w:rsidP="00DE3EE8">
      <w:pPr>
        <w:rPr>
          <w:sz w:val="22"/>
          <w:szCs w:val="22"/>
        </w:rPr>
      </w:pPr>
    </w:p>
    <w:p w14:paraId="04915B9C" w14:textId="77777777" w:rsidR="00DE3EE8" w:rsidRPr="002B7E6B" w:rsidRDefault="00DE3EE8" w:rsidP="00DE3EE8">
      <w:pPr>
        <w:rPr>
          <w:sz w:val="22"/>
          <w:szCs w:val="22"/>
        </w:rPr>
      </w:pPr>
      <w:r w:rsidRPr="002B7E6B">
        <w:rPr>
          <w:sz w:val="22"/>
          <w:szCs w:val="22"/>
        </w:rPr>
        <w:t xml:space="preserve">Diet composition tables </w:t>
      </w:r>
      <w:proofErr w:type="gramStart"/>
      <w:r w:rsidRPr="002B7E6B">
        <w:rPr>
          <w:sz w:val="22"/>
          <w:szCs w:val="22"/>
        </w:rPr>
        <w:t>have been compiled</w:t>
      </w:r>
      <w:proofErr w:type="gramEnd"/>
      <w:r w:rsidRPr="002B7E6B">
        <w:rPr>
          <w:sz w:val="22"/>
          <w:szCs w:val="22"/>
        </w:rPr>
        <w:t xml:space="preserve"> for many predators and can be accessed, along with sampling location maps at </w:t>
      </w:r>
      <w:hyperlink r:id="rId110">
        <w:r w:rsidRPr="002B7E6B">
          <w:rPr>
            <w:color w:val="1155CC"/>
            <w:sz w:val="22"/>
            <w:szCs w:val="22"/>
            <w:u w:val="single"/>
          </w:rPr>
          <w:t>https://apps-afsc.fisheries.noaa.gov/refm/reem/webdietdata/diettableintro.php</w:t>
        </w:r>
      </w:hyperlink>
      <w:r w:rsidRPr="002B7E6B">
        <w:rPr>
          <w:sz w:val="22"/>
          <w:szCs w:val="22"/>
        </w:rPr>
        <w:t xml:space="preserve">. </w:t>
      </w:r>
    </w:p>
    <w:p w14:paraId="577427B8" w14:textId="77777777" w:rsidR="00DE3EE8" w:rsidRPr="002B7E6B" w:rsidRDefault="00DE3EE8" w:rsidP="00DE3EE8">
      <w:pPr>
        <w:rPr>
          <w:sz w:val="22"/>
          <w:szCs w:val="22"/>
        </w:rPr>
      </w:pPr>
    </w:p>
    <w:p w14:paraId="1E249297" w14:textId="77777777" w:rsidR="00DE3EE8" w:rsidRPr="002B7E6B" w:rsidRDefault="00DE3EE8" w:rsidP="00DE3EE8">
      <w:pPr>
        <w:rPr>
          <w:sz w:val="22"/>
          <w:szCs w:val="22"/>
        </w:rPr>
      </w:pPr>
      <w:r w:rsidRPr="002B7E6B">
        <w:rPr>
          <w:sz w:val="22"/>
          <w:szCs w:val="22"/>
        </w:rPr>
        <w:t xml:space="preserve">REEM also compiles life history information for many species of fish in Alaskan waters, and this information can be located at </w:t>
      </w:r>
      <w:hyperlink r:id="rId111">
        <w:r w:rsidRPr="002B7E6B">
          <w:rPr>
            <w:color w:val="1155CC"/>
            <w:sz w:val="22"/>
            <w:szCs w:val="22"/>
            <w:u w:val="single"/>
          </w:rPr>
          <w:t>https://apps-afsc.fisheries.noaa.gov/refm/reem/lhweb/index.php</w:t>
        </w:r>
      </w:hyperlink>
      <w:r w:rsidRPr="002B7E6B">
        <w:rPr>
          <w:sz w:val="22"/>
          <w:szCs w:val="22"/>
        </w:rPr>
        <w:t>.</w:t>
      </w:r>
    </w:p>
    <w:p w14:paraId="7C186F09" w14:textId="77777777" w:rsidR="00DE3EE8" w:rsidRPr="002B7E6B" w:rsidRDefault="00DE3EE8" w:rsidP="00DE3EE8">
      <w:pPr>
        <w:rPr>
          <w:sz w:val="22"/>
          <w:szCs w:val="22"/>
        </w:rPr>
      </w:pPr>
      <w:r w:rsidRPr="002B7E6B">
        <w:rPr>
          <w:sz w:val="22"/>
          <w:szCs w:val="22"/>
        </w:rPr>
        <w:t xml:space="preserve"> </w:t>
      </w:r>
    </w:p>
    <w:p w14:paraId="5068B7B6" w14:textId="77777777" w:rsidR="00DE3EE8" w:rsidRPr="002B7E6B" w:rsidRDefault="00DE3EE8" w:rsidP="00DE3EE8">
      <w:pPr>
        <w:rPr>
          <w:sz w:val="22"/>
          <w:szCs w:val="22"/>
        </w:rPr>
      </w:pPr>
      <w:r w:rsidRPr="002B7E6B">
        <w:rPr>
          <w:sz w:val="22"/>
          <w:szCs w:val="22"/>
        </w:rPr>
        <w:t xml:space="preserve">These data are annually updated and time series of diets are produced for use in groundfish stock assessments presented to the North Pacific Fishery Management Council, as part of either the Ecological and Socioeconomic Profile for that stock, or as a contribution to the annual Ecosystem Status Reports. </w:t>
      </w:r>
    </w:p>
    <w:p w14:paraId="5C5C9C4E" w14:textId="77777777" w:rsidR="00DE3EE8" w:rsidRPr="002B7E6B" w:rsidRDefault="00DE3EE8" w:rsidP="00DE3EE8">
      <w:pPr>
        <w:widowControl/>
        <w:rPr>
          <w:sz w:val="22"/>
          <w:szCs w:val="22"/>
        </w:rPr>
      </w:pPr>
      <w:r w:rsidRPr="002B7E6B">
        <w:rPr>
          <w:sz w:val="22"/>
          <w:szCs w:val="22"/>
        </w:rPr>
        <w:t xml:space="preserve"> </w:t>
      </w:r>
    </w:p>
    <w:p w14:paraId="67E53859" w14:textId="0C7ED0C5" w:rsidR="00DE3EE8" w:rsidRPr="00E26C52" w:rsidRDefault="00DE3EE8" w:rsidP="00E26C52">
      <w:pPr>
        <w:pStyle w:val="Heading4"/>
      </w:pPr>
      <w:bookmarkStart w:id="177" w:name="_Toc131503917"/>
      <w:r w:rsidRPr="00E26C52">
        <w:t>Economics and Social Sciences Research</w:t>
      </w:r>
      <w:r w:rsidR="00B05625" w:rsidRPr="002B7E6B">
        <w:rPr>
          <w:i/>
          <w:szCs w:val="22"/>
        </w:rPr>
        <w:t xml:space="preserve"> – </w:t>
      </w:r>
      <w:r w:rsidRPr="00E26C52">
        <w:t>REFM/ESSR</w:t>
      </w:r>
      <w:bookmarkEnd w:id="177"/>
    </w:p>
    <w:p w14:paraId="0C93ACE9" w14:textId="77777777" w:rsidR="00A24238" w:rsidRPr="00A24238" w:rsidRDefault="00A24238" w:rsidP="00A24238"/>
    <w:p w14:paraId="5FAF8A44" w14:textId="77777777" w:rsidR="00DE3EE8" w:rsidRPr="002B7E6B" w:rsidRDefault="00DE3EE8" w:rsidP="00DE3EE8">
      <w:pPr>
        <w:rPr>
          <w:sz w:val="22"/>
          <w:szCs w:val="22"/>
          <w:highlight w:val="white"/>
        </w:rPr>
      </w:pPr>
      <w:r w:rsidRPr="002B7E6B">
        <w:rPr>
          <w:sz w:val="22"/>
          <w:szCs w:val="22"/>
          <w:highlight w:val="white"/>
        </w:rPr>
        <w:t xml:space="preserve">The </w:t>
      </w:r>
      <w:hyperlink r:id="rId112">
        <w:r w:rsidRPr="002B7E6B">
          <w:rPr>
            <w:color w:val="23527C"/>
            <w:sz w:val="22"/>
            <w:szCs w:val="22"/>
            <w:highlight w:val="white"/>
            <w:u w:val="single"/>
          </w:rPr>
          <w:t>Economic and Social Science Program</w:t>
        </w:r>
      </w:hyperlink>
      <w:r w:rsidRPr="002B7E6B">
        <w:rPr>
          <w:sz w:val="22"/>
          <w:szCs w:val="22"/>
          <w:highlight w:val="white"/>
        </w:rPr>
        <w:t xml:space="preserve"> staff provide economic and community information to resource managers, industry leaders, and other agencies.  Each year, socio-economic indicators </w:t>
      </w:r>
      <w:proofErr w:type="gramStart"/>
      <w:r w:rsidRPr="002B7E6B">
        <w:rPr>
          <w:sz w:val="22"/>
          <w:szCs w:val="22"/>
          <w:highlight w:val="white"/>
        </w:rPr>
        <w:t>are produced</w:t>
      </w:r>
      <w:proofErr w:type="gramEnd"/>
      <w:r w:rsidRPr="002B7E6B">
        <w:rPr>
          <w:sz w:val="22"/>
          <w:szCs w:val="22"/>
          <w:highlight w:val="white"/>
        </w:rPr>
        <w:t xml:space="preserve"> as part of ecosystem status reports for the Gulf of Alaska, Aleutian Islands, Bering Sea and Arctic. These data </w:t>
      </w:r>
      <w:proofErr w:type="gramStart"/>
      <w:r w:rsidRPr="002B7E6B">
        <w:rPr>
          <w:sz w:val="22"/>
          <w:szCs w:val="22"/>
          <w:highlight w:val="white"/>
        </w:rPr>
        <w:t>are used</w:t>
      </w:r>
      <w:proofErr w:type="gramEnd"/>
      <w:r w:rsidRPr="002B7E6B">
        <w:rPr>
          <w:sz w:val="22"/>
          <w:szCs w:val="22"/>
          <w:highlight w:val="white"/>
        </w:rPr>
        <w:t xml:space="preserve"> to inform resource management decisions.</w:t>
      </w:r>
    </w:p>
    <w:p w14:paraId="6C584E08" w14:textId="77777777" w:rsidR="00DE3EE8" w:rsidRPr="002B7E6B" w:rsidRDefault="00DE3EE8" w:rsidP="00DE3EE8">
      <w:pPr>
        <w:rPr>
          <w:sz w:val="22"/>
          <w:szCs w:val="22"/>
          <w:highlight w:val="white"/>
        </w:rPr>
      </w:pPr>
    </w:p>
    <w:p w14:paraId="12B6885D" w14:textId="77777777" w:rsidR="00DE3EE8" w:rsidRPr="002B7E6B" w:rsidRDefault="00DE3EE8" w:rsidP="00A24238">
      <w:pPr>
        <w:pStyle w:val="Heading5"/>
        <w:rPr>
          <w:highlight w:val="white"/>
        </w:rPr>
      </w:pPr>
      <w:bookmarkStart w:id="178" w:name="_Toc131503918"/>
      <w:r w:rsidRPr="002B7E6B">
        <w:rPr>
          <w:highlight w:val="white"/>
        </w:rPr>
        <w:t>Summary of the 2022 Groundfish Economic SAFE Report</w:t>
      </w:r>
      <w:bookmarkEnd w:id="178"/>
      <w:r w:rsidRPr="002B7E6B">
        <w:rPr>
          <w:highlight w:val="white"/>
        </w:rPr>
        <w:t xml:space="preserve">   </w:t>
      </w:r>
    </w:p>
    <w:p w14:paraId="7F9A0A35" w14:textId="77777777" w:rsidR="00DE3EE8" w:rsidRPr="002B7E6B" w:rsidRDefault="00DE3EE8" w:rsidP="00DE3EE8">
      <w:pPr>
        <w:spacing w:before="240" w:after="240"/>
        <w:rPr>
          <w:sz w:val="22"/>
          <w:szCs w:val="22"/>
          <w:highlight w:val="white"/>
        </w:rPr>
      </w:pPr>
      <w:proofErr w:type="gramStart"/>
      <w:r w:rsidRPr="002B7E6B">
        <w:rPr>
          <w:sz w:val="22"/>
          <w:szCs w:val="22"/>
          <w:highlight w:val="white"/>
        </w:rPr>
        <w:t>The Economic SAFE report contains detailed information about economic aspects of the groundfish fisheries through 2021, including figures and tables, economic performance indices, year-to-date information on volume and value, an Amendment 80 fishery economic data report (EDR) summary, an Amendment 91 fishery EDR summary, a Gulf Trawl fishery EDR summary, market profiles for the most commercially valuable species, and product price and ex-vessel price nowcast projections for 2022.</w:t>
      </w:r>
      <w:proofErr w:type="gramEnd"/>
      <w:r w:rsidRPr="002B7E6B">
        <w:rPr>
          <w:sz w:val="22"/>
          <w:szCs w:val="22"/>
          <w:highlight w:val="white"/>
        </w:rPr>
        <w:t xml:space="preserve"> Data tables </w:t>
      </w:r>
      <w:proofErr w:type="gramStart"/>
      <w:r w:rsidRPr="002B7E6B">
        <w:rPr>
          <w:sz w:val="22"/>
          <w:szCs w:val="22"/>
          <w:highlight w:val="white"/>
        </w:rPr>
        <w:t>are organized</w:t>
      </w:r>
      <w:proofErr w:type="gramEnd"/>
      <w:r w:rsidRPr="002B7E6B">
        <w:rPr>
          <w:sz w:val="22"/>
          <w:szCs w:val="22"/>
          <w:highlight w:val="white"/>
        </w:rPr>
        <w:t xml:space="preserve"> into four sections: (1) All Alaska, (2) BSAI, (3) GOA, and (4) Pacific halibut. </w:t>
      </w:r>
      <w:proofErr w:type="gramStart"/>
      <w:r w:rsidRPr="002B7E6B">
        <w:rPr>
          <w:sz w:val="22"/>
          <w:szCs w:val="22"/>
          <w:highlight w:val="white"/>
        </w:rPr>
        <w:t>The figures and tables in the report provide estimates of total groundfish catch, groundfish discards and discard rates, prohibited species catch (PSC) and PSC rates, the ex-vessel value of the groundfish catch, the ex-vessel value of the catch in other Alaska fisheries, the gross product value of the resulting groundfish seafood products, the number and sizes of vessels that participated in the groundfish fisheries off Alaska, vessel activity, and employment on at-sea processors.</w:t>
      </w:r>
      <w:proofErr w:type="gramEnd"/>
      <w:r w:rsidRPr="002B7E6B">
        <w:rPr>
          <w:sz w:val="22"/>
          <w:szCs w:val="22"/>
          <w:highlight w:val="white"/>
        </w:rPr>
        <w:t xml:space="preserve"> Generally, the data presented in this report cover 2017-2021, but limited catch and ex-vessel value data </w:t>
      </w:r>
      <w:proofErr w:type="gramStart"/>
      <w:r w:rsidRPr="002B7E6B">
        <w:rPr>
          <w:sz w:val="22"/>
          <w:szCs w:val="22"/>
          <w:highlight w:val="white"/>
        </w:rPr>
        <w:t>are reported</w:t>
      </w:r>
      <w:proofErr w:type="gramEnd"/>
      <w:r w:rsidRPr="002B7E6B">
        <w:rPr>
          <w:sz w:val="22"/>
          <w:szCs w:val="22"/>
          <w:highlight w:val="white"/>
        </w:rPr>
        <w:t xml:space="preserve"> for earlier years to illustrate the rapid development of the domestic groundfish fishery since the 1980s and to provide a more complete historical perspective on catch. The data behind the tables from this and past Economic SAFE reports will be available online </w:t>
      </w:r>
      <w:proofErr w:type="gramStart"/>
      <w:r w:rsidRPr="002B7E6B">
        <w:rPr>
          <w:sz w:val="22"/>
          <w:szCs w:val="22"/>
          <w:highlight w:val="white"/>
        </w:rPr>
        <w:t>at:</w:t>
      </w:r>
      <w:proofErr w:type="gramEnd"/>
      <w:r w:rsidR="00A44DE9">
        <w:fldChar w:fldCharType="begin"/>
      </w:r>
      <w:r w:rsidR="00A44DE9">
        <w:instrText xml:space="preserve"> HYPERLINK "https://reports.psmfc.org/akfin" \h </w:instrText>
      </w:r>
      <w:r w:rsidR="00A44DE9">
        <w:fldChar w:fldCharType="separate"/>
      </w:r>
      <w:r w:rsidRPr="002B7E6B">
        <w:rPr>
          <w:sz w:val="22"/>
          <w:szCs w:val="22"/>
          <w:highlight w:val="white"/>
        </w:rPr>
        <w:t xml:space="preserve"> </w:t>
      </w:r>
      <w:r w:rsidR="00A44DE9">
        <w:rPr>
          <w:sz w:val="22"/>
          <w:szCs w:val="22"/>
          <w:highlight w:val="white"/>
        </w:rPr>
        <w:fldChar w:fldCharType="end"/>
      </w:r>
      <w:hyperlink r:id="rId113">
        <w:r w:rsidRPr="002B7E6B">
          <w:rPr>
            <w:color w:val="1155CC"/>
            <w:sz w:val="22"/>
            <w:szCs w:val="22"/>
            <w:highlight w:val="white"/>
            <w:u w:val="single"/>
          </w:rPr>
          <w:t>https://reports.</w:t>
        </w:r>
      </w:hyperlink>
      <w:hyperlink r:id="rId114">
        <w:r w:rsidRPr="002B7E6B">
          <w:rPr>
            <w:sz w:val="22"/>
            <w:szCs w:val="22"/>
            <w:highlight w:val="white"/>
          </w:rPr>
          <w:t xml:space="preserve"> </w:t>
        </w:r>
      </w:hyperlink>
      <w:hyperlink r:id="rId115">
        <w:proofErr w:type="gramStart"/>
        <w:r w:rsidRPr="002B7E6B">
          <w:rPr>
            <w:color w:val="1155CC"/>
            <w:sz w:val="22"/>
            <w:szCs w:val="22"/>
            <w:highlight w:val="white"/>
            <w:u w:val="single"/>
          </w:rPr>
          <w:t>psmfc.org/akfin</w:t>
        </w:r>
        <w:proofErr w:type="gramEnd"/>
      </w:hyperlink>
      <w:r w:rsidRPr="002B7E6B">
        <w:rPr>
          <w:sz w:val="22"/>
          <w:szCs w:val="22"/>
          <w:highlight w:val="white"/>
        </w:rPr>
        <w:t>.</w:t>
      </w:r>
    </w:p>
    <w:p w14:paraId="53869CD2" w14:textId="77777777" w:rsidR="00DE3EE8" w:rsidRPr="002B7E6B" w:rsidRDefault="00DE3EE8" w:rsidP="00DE3EE8">
      <w:pPr>
        <w:spacing w:before="240" w:after="240"/>
        <w:rPr>
          <w:sz w:val="22"/>
          <w:szCs w:val="22"/>
          <w:highlight w:val="white"/>
        </w:rPr>
      </w:pPr>
      <w:r w:rsidRPr="002B7E6B">
        <w:rPr>
          <w:sz w:val="22"/>
          <w:szCs w:val="22"/>
          <w:highlight w:val="white"/>
        </w:rPr>
        <w:t>The commercial FMP groundfish fisheries off Alaska had a total catch of 2.01 million metric tons (mt) in 2021 (including catch in federal and state waters), a decrease of 4% from 2020. Groundfish accounted for 81.84 % of Alaska’s 2021 total catch. Total catches of Alaska’s FMP groundfish fisheries increased in 2021 for pollock, sablefish, and Atka mackerel, and decreased for Pacific cod, and the flatfish and rockfish species complexes.</w:t>
      </w:r>
    </w:p>
    <w:p w14:paraId="6E3B1102" w14:textId="77777777" w:rsidR="00DE3EE8" w:rsidRPr="002B7E6B" w:rsidRDefault="00DE3EE8" w:rsidP="00DE3EE8">
      <w:pPr>
        <w:spacing w:before="240" w:after="240"/>
        <w:rPr>
          <w:sz w:val="22"/>
          <w:szCs w:val="22"/>
          <w:highlight w:val="white"/>
        </w:rPr>
      </w:pPr>
      <w:r w:rsidRPr="002B7E6B">
        <w:rPr>
          <w:sz w:val="22"/>
          <w:szCs w:val="22"/>
          <w:highlight w:val="white"/>
        </w:rPr>
        <w:t xml:space="preserve">The aggregate ex-vessel value of the FMP groundfish fisheries off Alaska was $759.57 million, which was 37.7% of the ex-vessel value of all commercial fisheries off Alaska in 2021.[1] After adjustment for inflation, the real ex-vessel value of FMP groundfish decreased $40.09 million in 2021 and the aggregate </w:t>
      </w:r>
      <w:r w:rsidRPr="002B7E6B">
        <w:rPr>
          <w:sz w:val="22"/>
          <w:szCs w:val="22"/>
          <w:highlight w:val="white"/>
        </w:rPr>
        <w:lastRenderedPageBreak/>
        <w:t>real ex-vessel price decreased 1.2% to $0.18 per pound. Nominal pollock ex-vessel prices increased 6.9% to $0.14 per pound in the Bering Sea and Aleutian Islands (BSAI), and 5.1% to $0.12 per pound in the Gulf of Alaska (GOA). Pacific cod nominal ex-vessel prices decreased 13.4% to $0.34 per pound in the BSAI, and decreased 0.5% to $0.39 per pound in the GOA. Among the other species that are the focus of the shoreside ex-vessel fisheries: The GOA flatfish ex-vessel price fell 19.8%, GOA rockfish prices were stable, and GOA sablefish prices increased 20.3% (in nominal terms). For BSAI FMP groundfish in aggregate, the change in price was larger than the change in catch, while in the GOA, prices and catch were both increasing with the change in catch the more dominant of the two. For other fisheries in Alaska, halibut, salmon, herring, and shellfish ex-vessel revenues increased.</w:t>
      </w:r>
    </w:p>
    <w:p w14:paraId="6B086911" w14:textId="77777777" w:rsidR="00DE3EE8" w:rsidRPr="002B7E6B" w:rsidRDefault="00DE3EE8" w:rsidP="00DE3EE8">
      <w:pPr>
        <w:rPr>
          <w:sz w:val="22"/>
          <w:szCs w:val="22"/>
          <w:highlight w:val="white"/>
        </w:rPr>
      </w:pPr>
      <w:r w:rsidRPr="002B7E6B">
        <w:rPr>
          <w:sz w:val="22"/>
          <w:szCs w:val="22"/>
          <w:highlight w:val="white"/>
        </w:rPr>
        <w:t>The gross value of the 2021 groundfish catch after primary processing (</w:t>
      </w:r>
      <w:proofErr w:type="gramStart"/>
      <w:r w:rsidRPr="002B7E6B">
        <w:rPr>
          <w:sz w:val="22"/>
          <w:szCs w:val="22"/>
          <w:highlight w:val="white"/>
        </w:rPr>
        <w:t>first-wholesale</w:t>
      </w:r>
      <w:proofErr w:type="gramEnd"/>
      <w:r w:rsidRPr="002B7E6B">
        <w:rPr>
          <w:sz w:val="22"/>
          <w:szCs w:val="22"/>
          <w:highlight w:val="white"/>
        </w:rPr>
        <w:t xml:space="preserve">) was $2.14 billion, a decrease of 2.5% in real terms from 2021. This change was the combined effect of a 6.5% increase in the real aggregate 2021 first-wholesale price to $1.27 per </w:t>
      </w:r>
      <w:proofErr w:type="gramStart"/>
      <w:r w:rsidRPr="002B7E6B">
        <w:rPr>
          <w:sz w:val="22"/>
          <w:szCs w:val="22"/>
          <w:highlight w:val="white"/>
        </w:rPr>
        <w:t>pound which</w:t>
      </w:r>
      <w:proofErr w:type="gramEnd"/>
      <w:r w:rsidRPr="002B7E6B">
        <w:rPr>
          <w:sz w:val="22"/>
          <w:szCs w:val="22"/>
          <w:highlight w:val="white"/>
        </w:rPr>
        <w:t xml:space="preserve"> was offset by aggregate production volumes decreasing 8.4% to 765.3 to thousand mt. In the BSAI, aggregate first-wholesale value decreased 3.4% and value was increasing for </w:t>
      </w:r>
      <w:proofErr w:type="gramStart"/>
      <w:r w:rsidRPr="002B7E6B">
        <w:rPr>
          <w:sz w:val="22"/>
          <w:szCs w:val="22"/>
          <w:highlight w:val="white"/>
        </w:rPr>
        <w:t>pollock,</w:t>
      </w:r>
      <w:proofErr w:type="gramEnd"/>
      <w:r w:rsidRPr="002B7E6B">
        <w:rPr>
          <w:sz w:val="22"/>
          <w:szCs w:val="22"/>
          <w:highlight w:val="white"/>
        </w:rPr>
        <w:t xml:space="preserve"> and sablefish but was decreasing or stable for nearly all other species including Pacific cod, rockfish, and flatfish. The average first-wholesale price for all products was increasing for most species with the exception of Atka mackerel and some flatfish species. In the GOA, aggregate first-wholesale value increased (26.1%) with increases in value for all species except for flatfish. Prices were increasing for most species with the exception of some flatfish species.</w:t>
      </w:r>
    </w:p>
    <w:p w14:paraId="3CB3AE62" w14:textId="77777777" w:rsidR="00DE3EE8" w:rsidRPr="002B7E6B" w:rsidRDefault="00DE3EE8" w:rsidP="00DE3EE8">
      <w:pPr>
        <w:spacing w:before="240" w:after="240"/>
        <w:rPr>
          <w:sz w:val="22"/>
          <w:szCs w:val="22"/>
          <w:highlight w:val="white"/>
        </w:rPr>
      </w:pPr>
      <w:r w:rsidRPr="002B7E6B">
        <w:rPr>
          <w:sz w:val="22"/>
          <w:szCs w:val="22"/>
          <w:highlight w:val="white"/>
        </w:rPr>
        <w:t>Starting in 2020, COVID-19 has had an unprecedented impact on fisheries in Alaska. Undoubtedly, one of the significant economic impacts experienced by the industry were the mitigation costs experienced by the fishing and processing industries to continue to supply national and global markets for seafood. This report does not provide a comprehensive accounting of these costs, as they are not part of our existing EDR data collections. The core economic data tables in this report focus on catch, revenues, and effort and changes occurring during the most recent year.</w:t>
      </w:r>
    </w:p>
    <w:p w14:paraId="5435AD28" w14:textId="77777777" w:rsidR="00DE3EE8" w:rsidRPr="002B7E6B" w:rsidRDefault="00DE3EE8" w:rsidP="00DE3EE8">
      <w:pPr>
        <w:spacing w:before="240" w:after="240"/>
        <w:rPr>
          <w:sz w:val="22"/>
          <w:szCs w:val="22"/>
          <w:highlight w:val="white"/>
        </w:rPr>
      </w:pPr>
      <w:r w:rsidRPr="002B7E6B">
        <w:rPr>
          <w:sz w:val="22"/>
          <w:szCs w:val="22"/>
          <w:highlight w:val="white"/>
        </w:rPr>
        <w:t xml:space="preserve">The first-wholesale value of Alaska’s FMP groundfish fisheries accounted for </w:t>
      </w:r>
      <w:proofErr w:type="gramStart"/>
      <w:r w:rsidRPr="002B7E6B">
        <w:rPr>
          <w:sz w:val="22"/>
          <w:szCs w:val="22"/>
          <w:highlight w:val="white"/>
        </w:rPr>
        <w:t>Inf</w:t>
      </w:r>
      <w:proofErr w:type="gramEnd"/>
      <w:r w:rsidRPr="002B7E6B">
        <w:rPr>
          <w:sz w:val="22"/>
          <w:szCs w:val="22"/>
          <w:highlight w:val="white"/>
        </w:rPr>
        <w:t xml:space="preserve">% of Alaska’s total first-wholesale value from commercial fisheries. First-wholesale value of Alaska’s fisheries products other than FMP groundfish fisheries totaled $2.6 billion, most of which ($1.92 billion) came from Pacific salmon. Pacific salmon value increased 34.43%, in part, because of the typical cycle in salmon returns and production, though year-over-year prices were down. Pacific halibut fisheries, which are concentrated in the Gulf of Alaska, saw an increase of 75.2% in value in 2021 to $152.8 million </w:t>
      </w:r>
      <w:proofErr w:type="gramStart"/>
      <w:r w:rsidRPr="002B7E6B">
        <w:rPr>
          <w:sz w:val="22"/>
          <w:szCs w:val="22"/>
          <w:highlight w:val="white"/>
        </w:rPr>
        <w:t>as a result</w:t>
      </w:r>
      <w:proofErr w:type="gramEnd"/>
      <w:r w:rsidRPr="002B7E6B">
        <w:rPr>
          <w:sz w:val="22"/>
          <w:szCs w:val="22"/>
          <w:highlight w:val="white"/>
        </w:rPr>
        <w:t xml:space="preserve"> of substantial increases in prices and volume.</w:t>
      </w:r>
    </w:p>
    <w:p w14:paraId="2A40C348" w14:textId="77777777" w:rsidR="00DE3EE8" w:rsidRPr="002B7E6B" w:rsidRDefault="00DE3EE8" w:rsidP="00DE3EE8">
      <w:pPr>
        <w:spacing w:before="240" w:after="240"/>
        <w:rPr>
          <w:sz w:val="22"/>
          <w:szCs w:val="22"/>
          <w:highlight w:val="white"/>
        </w:rPr>
      </w:pPr>
      <w:r w:rsidRPr="002B7E6B">
        <w:rPr>
          <w:sz w:val="22"/>
          <w:szCs w:val="22"/>
          <w:highlight w:val="white"/>
        </w:rPr>
        <w:t>The groundfish fisheries off Alaska are an important segment of the U.S. fishing industry. In 2020, it accounted for 53.99% of the weight of total U.S. domestic landings and 17.21% of the ex-vessel value of total U.S. domestic landings (Fisheries of the United States, 2020). Alaska fisheries as a whole (including salmon, halibut, herring, and shellfish) accounted for 60.96% of the weight of total U.S. domestic landings and 33.02% of the ex-vessel value of total U.S. domestic landings.</w:t>
      </w:r>
    </w:p>
    <w:p w14:paraId="11905C47" w14:textId="77777777" w:rsidR="00DE3EE8" w:rsidRPr="002B7E6B" w:rsidRDefault="00DE3EE8" w:rsidP="00DE3EE8">
      <w:pPr>
        <w:spacing w:before="240" w:after="240"/>
        <w:rPr>
          <w:sz w:val="22"/>
          <w:szCs w:val="22"/>
          <w:highlight w:val="white"/>
        </w:rPr>
      </w:pPr>
      <w:r w:rsidRPr="002B7E6B">
        <w:rPr>
          <w:sz w:val="22"/>
          <w:szCs w:val="22"/>
          <w:highlight w:val="white"/>
        </w:rPr>
        <w:t>NOAA Fisheries collects only limited data on employment in the fisheries off Alaska. The most direct measure available is the number of ‘crew weeks’ on at-sea processing vessels and catcher vessels of FMP groundfish. These data indicate that in 2021 crew weeks for both sectors totaled 107,559 with the majority of them (92,697.5) occurring in the BSAI groundfish fishery. In the BSAI, the months with the highest employment correspond with the peak of the pollock seasons in February-March and July-September. In the Gulf of Alaska, crew weeks peak February-May with the catcher vessel hook and line fisheries targeting sablefish and Pacific cod. Relative to 2020, annual crew weeks in Alaska decreased in 2021 by 10.4 %.</w:t>
      </w:r>
    </w:p>
    <w:p w14:paraId="6A30CF54" w14:textId="77777777" w:rsidR="00DE3EE8" w:rsidRPr="002B7E6B" w:rsidRDefault="00A44DE9" w:rsidP="00DE3EE8">
      <w:pPr>
        <w:rPr>
          <w:sz w:val="22"/>
          <w:szCs w:val="22"/>
          <w:highlight w:val="white"/>
        </w:rPr>
      </w:pPr>
      <w:r>
        <w:rPr>
          <w:sz w:val="22"/>
          <w:szCs w:val="22"/>
        </w:rPr>
        <w:lastRenderedPageBreak/>
        <w:pict w14:anchorId="2C8D7F7C">
          <v:rect id="_x0000_i1025" style="width:0;height:1.5pt" o:hralign="center" o:hrstd="t" o:hr="t" fillcolor="#a0a0a0" stroked="f"/>
        </w:pict>
      </w:r>
    </w:p>
    <w:p w14:paraId="6D8ECAEA" w14:textId="1D7B7141" w:rsidR="007D7588" w:rsidRDefault="00DE3EE8" w:rsidP="00DE3EE8">
      <w:pPr>
        <w:spacing w:before="240" w:after="240"/>
        <w:rPr>
          <w:sz w:val="22"/>
          <w:szCs w:val="22"/>
          <w:highlight w:val="white"/>
        </w:rPr>
      </w:pPr>
      <w:r w:rsidRPr="002B7E6B">
        <w:rPr>
          <w:rFonts w:eastAsia="Calibri"/>
          <w:sz w:val="22"/>
          <w:szCs w:val="22"/>
          <w:highlight w:val="white"/>
        </w:rPr>
        <w:t>[1]</w:t>
      </w:r>
      <w:r w:rsidRPr="002B7E6B">
        <w:rPr>
          <w:sz w:val="22"/>
          <w:szCs w:val="22"/>
          <w:highlight w:val="white"/>
        </w:rPr>
        <w:t xml:space="preserve"> The data required to estimate net benefits to either the participants in fisheries or the Nation, such as cost or quota value (where applicable) data, are not available. Unless otherwise noted ‘value’ should be interpreted as gross revenue.</w:t>
      </w:r>
    </w:p>
    <w:p w14:paraId="23B48F79" w14:textId="77777777" w:rsidR="007D7588" w:rsidRDefault="007D7588">
      <w:pPr>
        <w:widowControl/>
        <w:spacing w:after="160" w:line="259" w:lineRule="auto"/>
        <w:rPr>
          <w:sz w:val="22"/>
          <w:szCs w:val="22"/>
          <w:highlight w:val="white"/>
        </w:rPr>
      </w:pPr>
      <w:r>
        <w:rPr>
          <w:sz w:val="22"/>
          <w:szCs w:val="22"/>
          <w:highlight w:val="white"/>
        </w:rPr>
        <w:br w:type="page"/>
      </w:r>
    </w:p>
    <w:p w14:paraId="1A0B6773" w14:textId="1CAC80C3" w:rsidR="00DE3EE8" w:rsidRPr="002B7E6B" w:rsidRDefault="00DE3EE8" w:rsidP="002B7E6B">
      <w:pPr>
        <w:pStyle w:val="Heading2"/>
        <w:rPr>
          <w:rFonts w:cs="Times New Roman"/>
          <w:sz w:val="22"/>
          <w:szCs w:val="22"/>
        </w:rPr>
      </w:pPr>
      <w:bookmarkStart w:id="179" w:name="_Toc131503919"/>
      <w:r w:rsidRPr="002B7E6B">
        <w:rPr>
          <w:rFonts w:cs="Times New Roman"/>
          <w:sz w:val="22"/>
          <w:szCs w:val="22"/>
        </w:rPr>
        <w:lastRenderedPageBreak/>
        <w:t xml:space="preserve">VI </w:t>
      </w:r>
      <w:r w:rsidR="00D81716">
        <w:rPr>
          <w:rFonts w:cs="Times New Roman"/>
          <w:sz w:val="22"/>
          <w:szCs w:val="22"/>
        </w:rPr>
        <w:t>–</w:t>
      </w:r>
      <w:r w:rsidRPr="002B7E6B">
        <w:rPr>
          <w:rFonts w:cs="Times New Roman"/>
          <w:sz w:val="22"/>
          <w:szCs w:val="22"/>
        </w:rPr>
        <w:t xml:space="preserve"> </w:t>
      </w:r>
      <w:r w:rsidR="00D81716">
        <w:rPr>
          <w:rFonts w:cs="Times New Roman"/>
          <w:sz w:val="22"/>
          <w:szCs w:val="22"/>
        </w:rPr>
        <w:t xml:space="preserve">AFSC </w:t>
      </w:r>
      <w:r w:rsidRPr="002B7E6B">
        <w:rPr>
          <w:rFonts w:cs="Times New Roman"/>
          <w:sz w:val="22"/>
          <w:szCs w:val="22"/>
        </w:rPr>
        <w:t>GROUNDFISH-RELATED PUBLICATIONS</w:t>
      </w:r>
      <w:r w:rsidR="00D81716">
        <w:rPr>
          <w:rFonts w:cs="Times New Roman"/>
          <w:sz w:val="22"/>
          <w:szCs w:val="22"/>
        </w:rPr>
        <w:t xml:space="preserve">: </w:t>
      </w:r>
      <w:r w:rsidR="007F2C0E">
        <w:rPr>
          <w:rFonts w:cs="Times New Roman"/>
          <w:sz w:val="22"/>
          <w:szCs w:val="22"/>
        </w:rPr>
        <w:t>PUBLICATIONS DATABASE</w:t>
      </w:r>
      <w:bookmarkEnd w:id="179"/>
    </w:p>
    <w:p w14:paraId="428C64BE" w14:textId="3CD5F37A" w:rsidR="00DE3EE8" w:rsidRPr="002B7E6B" w:rsidRDefault="00DE3EE8" w:rsidP="00DE3EE8">
      <w:pPr>
        <w:jc w:val="center"/>
        <w:rPr>
          <w:sz w:val="22"/>
          <w:szCs w:val="22"/>
        </w:rPr>
      </w:pPr>
      <w:r w:rsidRPr="002B7E6B">
        <w:rPr>
          <w:sz w:val="22"/>
          <w:szCs w:val="22"/>
        </w:rPr>
        <w:t xml:space="preserve">Published </w:t>
      </w:r>
      <w:r w:rsidR="007F2C0E">
        <w:rPr>
          <w:sz w:val="22"/>
          <w:szCs w:val="22"/>
        </w:rPr>
        <w:t>in Fiscal Year 2022</w:t>
      </w:r>
    </w:p>
    <w:p w14:paraId="1F01AF2F" w14:textId="77777777" w:rsidR="00DE3EE8" w:rsidRPr="002B7E6B" w:rsidRDefault="00DE3EE8" w:rsidP="003C4A60">
      <w:pPr>
        <w:ind w:left="720" w:hanging="720"/>
        <w:rPr>
          <w:sz w:val="22"/>
          <w:szCs w:val="22"/>
        </w:rPr>
      </w:pPr>
    </w:p>
    <w:p w14:paraId="54EE0C8C" w14:textId="77777777" w:rsidR="007F2C0E" w:rsidRDefault="007F2C0E" w:rsidP="003C4A60">
      <w:pPr>
        <w:shd w:val="clear" w:color="auto" w:fill="FFFFFF"/>
        <w:spacing w:after="150"/>
        <w:ind w:left="720" w:hanging="720"/>
        <w:rPr>
          <w:bCs/>
          <w:color w:val="000000"/>
        </w:rPr>
      </w:pPr>
      <w:r w:rsidRPr="006D50F0">
        <w:rPr>
          <w:bCs/>
          <w:color w:val="000000"/>
          <w:sz w:val="22"/>
          <w:szCs w:val="22"/>
        </w:rPr>
        <w:t>BARRY, P. D., C. M. KONDZELA, J. A. WHITTLE, J. T. WATSON, K. KARPAN, K. D’AMELIO, and W. A. LARSON.</w:t>
      </w:r>
      <w:r>
        <w:rPr>
          <w:color w:val="000000"/>
        </w:rPr>
        <w:t xml:space="preserve"> </w:t>
      </w:r>
      <w:r w:rsidRPr="006D50F0">
        <w:rPr>
          <w:color w:val="000000"/>
          <w:sz w:val="22"/>
          <w:szCs w:val="22"/>
        </w:rPr>
        <w:t>2022. Genetic stock composition analysis of chum salmon from the prohibited species catch of the 2020 Bering Sea walleye pollock trawl fishery. U.S. Dep. Commer., NOAA Tech. Memo. NMFS-AFSC-453, 50 p. </w:t>
      </w:r>
      <w:hyperlink r:id="rId116" w:history="1">
        <w:r w:rsidRPr="006D50F0">
          <w:rPr>
            <w:color w:val="337AB7"/>
            <w:sz w:val="22"/>
            <w:szCs w:val="22"/>
            <w:u w:val="single"/>
          </w:rPr>
          <w:t>View Online</w:t>
        </w:r>
      </w:hyperlink>
      <w:r w:rsidRPr="006D50F0">
        <w:rPr>
          <w:color w:val="000000"/>
          <w:sz w:val="22"/>
          <w:szCs w:val="22"/>
        </w:rPr>
        <w:t>.</w:t>
      </w:r>
    </w:p>
    <w:p w14:paraId="4B642802" w14:textId="77777777" w:rsidR="007F2C0E" w:rsidRDefault="007F2C0E" w:rsidP="003C4A60">
      <w:pPr>
        <w:shd w:val="clear" w:color="auto" w:fill="FFFFFF"/>
        <w:spacing w:after="150"/>
        <w:ind w:left="720" w:hanging="720"/>
        <w:rPr>
          <w:color w:val="000000"/>
        </w:rPr>
      </w:pPr>
      <w:r w:rsidRPr="006D50F0">
        <w:rPr>
          <w:bCs/>
          <w:color w:val="000000"/>
          <w:sz w:val="22"/>
          <w:szCs w:val="22"/>
        </w:rPr>
        <w:t>BARRY, P. D., C. M. KONDZELA, J. A. WHITTLE, J. T. WATSON, K. KARPAN, K. D’AMELIO, and W. A. LARSON.</w:t>
      </w:r>
      <w:r>
        <w:rPr>
          <w:color w:val="000000"/>
        </w:rPr>
        <w:t xml:space="preserve"> </w:t>
      </w:r>
      <w:r w:rsidRPr="006D50F0">
        <w:rPr>
          <w:color w:val="000000"/>
          <w:sz w:val="22"/>
          <w:szCs w:val="22"/>
        </w:rPr>
        <w:t>2022. Genetic stock composition analysis of chum salmon from the prohibited species catch of the 2021 Bering Sea walleye pollock trawl fishery. U.S. Dep. Commer., NOAA Tech. Memo. NMFS-AFSC-454, 50 p. </w:t>
      </w:r>
      <w:hyperlink r:id="rId117" w:history="1">
        <w:r w:rsidRPr="006D50F0">
          <w:rPr>
            <w:color w:val="337AB7"/>
            <w:sz w:val="22"/>
            <w:szCs w:val="22"/>
            <w:u w:val="single"/>
          </w:rPr>
          <w:t>View Online</w:t>
        </w:r>
      </w:hyperlink>
      <w:r w:rsidRPr="006D50F0">
        <w:rPr>
          <w:color w:val="000000"/>
          <w:sz w:val="22"/>
          <w:szCs w:val="22"/>
        </w:rPr>
        <w:t>.</w:t>
      </w:r>
    </w:p>
    <w:p w14:paraId="5C5FA3B3" w14:textId="77777777" w:rsidR="007F2C0E" w:rsidRDefault="007F2C0E" w:rsidP="003C4A60">
      <w:pPr>
        <w:shd w:val="clear" w:color="auto" w:fill="FFFFFF"/>
        <w:spacing w:after="150"/>
        <w:ind w:left="720" w:hanging="720"/>
        <w:rPr>
          <w:color w:val="000000"/>
        </w:rPr>
      </w:pPr>
      <w:r w:rsidRPr="006D50F0">
        <w:rPr>
          <w:bCs/>
          <w:color w:val="000000"/>
          <w:sz w:val="22"/>
          <w:szCs w:val="22"/>
        </w:rPr>
        <w:t>CAHALAN, J., and J. GASPER.</w:t>
      </w:r>
      <w:r>
        <w:rPr>
          <w:bCs/>
          <w:color w:val="000000"/>
        </w:rPr>
        <w:t xml:space="preserve"> </w:t>
      </w:r>
      <w:r w:rsidRPr="006D50F0">
        <w:rPr>
          <w:color w:val="000000"/>
          <w:sz w:val="22"/>
          <w:szCs w:val="22"/>
        </w:rPr>
        <w:t>2022. The commercial size limit for the Pacific halibut fishery off Alaska and its relationship to observer-derived estimates of at-sea discard. U.S. Dep. Commer., NOAA Tech. Memo. NMFS-AFSC-432, 42 p. </w:t>
      </w:r>
      <w:hyperlink r:id="rId118" w:history="1">
        <w:r w:rsidRPr="006D50F0">
          <w:rPr>
            <w:color w:val="337AB7"/>
            <w:sz w:val="22"/>
            <w:szCs w:val="22"/>
            <w:u w:val="single"/>
          </w:rPr>
          <w:t>View Online</w:t>
        </w:r>
      </w:hyperlink>
      <w:r w:rsidRPr="006D50F0">
        <w:rPr>
          <w:color w:val="000000"/>
          <w:sz w:val="22"/>
          <w:szCs w:val="22"/>
        </w:rPr>
        <w:t>.</w:t>
      </w:r>
    </w:p>
    <w:p w14:paraId="5C17F519" w14:textId="77777777" w:rsidR="007F2C0E" w:rsidRDefault="007F2C0E" w:rsidP="003C4A60">
      <w:pPr>
        <w:shd w:val="clear" w:color="auto" w:fill="FFFFFF"/>
        <w:spacing w:after="150"/>
        <w:ind w:left="720" w:hanging="720"/>
        <w:rPr>
          <w:color w:val="000000"/>
        </w:rPr>
      </w:pPr>
      <w:r w:rsidRPr="006D50F0">
        <w:rPr>
          <w:bCs/>
          <w:color w:val="000000"/>
          <w:sz w:val="22"/>
          <w:szCs w:val="22"/>
        </w:rPr>
        <w:t>DAWSON, L., A. DE ROBERTIS, K. WILLIAMS, S. KOTWICKI, L. BRITT, T. COSGROVE, S. RUSSELL, S. FURNISH, R. TOWLER, and N. YOCHUM.</w:t>
      </w:r>
      <w:r>
        <w:rPr>
          <w:color w:val="000000"/>
        </w:rPr>
        <w:t xml:space="preserve"> </w:t>
      </w:r>
      <w:r w:rsidRPr="006D50F0">
        <w:rPr>
          <w:color w:val="000000"/>
          <w:sz w:val="22"/>
          <w:szCs w:val="22"/>
        </w:rPr>
        <w:t>2022. Construction of a remotely operated catamaran with acoustic system for observations of fish response to bottom trawls. U.S. Dep. Commer., NOAA Tech. Memo. NMFS-AFSC-435, 21 p. </w:t>
      </w:r>
      <w:hyperlink r:id="rId119" w:history="1">
        <w:r w:rsidRPr="006D50F0">
          <w:rPr>
            <w:color w:val="337AB7"/>
            <w:sz w:val="22"/>
            <w:szCs w:val="22"/>
            <w:u w:val="single"/>
          </w:rPr>
          <w:t>View Online</w:t>
        </w:r>
      </w:hyperlink>
      <w:r w:rsidRPr="006D50F0">
        <w:rPr>
          <w:color w:val="000000"/>
          <w:sz w:val="22"/>
          <w:szCs w:val="22"/>
        </w:rPr>
        <w:t>.</w:t>
      </w:r>
    </w:p>
    <w:p w14:paraId="1E22AF94" w14:textId="77777777" w:rsidR="007F2C0E" w:rsidRDefault="007F2C0E" w:rsidP="003C4A60">
      <w:pPr>
        <w:shd w:val="clear" w:color="auto" w:fill="FFFFFF"/>
        <w:spacing w:after="150"/>
        <w:ind w:left="720" w:hanging="720"/>
        <w:rPr>
          <w:color w:val="000000"/>
        </w:rPr>
      </w:pPr>
      <w:r w:rsidRPr="006D50F0">
        <w:rPr>
          <w:bCs/>
          <w:color w:val="000000"/>
          <w:sz w:val="22"/>
          <w:szCs w:val="22"/>
        </w:rPr>
        <w:t>FAUNCE, C., M. MOON, P. PACKER, G. CAMPBELL, M. PARK, G. LOCKHART, and N. BUTTERWORTH.</w:t>
      </w:r>
      <w:r>
        <w:rPr>
          <w:color w:val="000000"/>
        </w:rPr>
        <w:t xml:space="preserve"> </w:t>
      </w:r>
      <w:r w:rsidRPr="006D50F0">
        <w:rPr>
          <w:color w:val="000000"/>
          <w:sz w:val="22"/>
          <w:szCs w:val="22"/>
        </w:rPr>
        <w:t>2021. The Observer Declare and Deploy System of the Alaska Fisheries Science Center. U.S. Dep. Commer., NOAA Tech. Memo. NMFS-AFSC-426, 86 p. </w:t>
      </w:r>
      <w:hyperlink r:id="rId120" w:history="1">
        <w:r w:rsidRPr="006D50F0">
          <w:rPr>
            <w:color w:val="337AB7"/>
            <w:sz w:val="22"/>
            <w:szCs w:val="22"/>
            <w:u w:val="single"/>
          </w:rPr>
          <w:t>View Online</w:t>
        </w:r>
      </w:hyperlink>
      <w:r w:rsidRPr="006D50F0">
        <w:rPr>
          <w:color w:val="000000"/>
          <w:sz w:val="22"/>
          <w:szCs w:val="22"/>
        </w:rPr>
        <w:t>.</w:t>
      </w:r>
    </w:p>
    <w:p w14:paraId="33B67F08" w14:textId="77777777" w:rsidR="007F2C0E" w:rsidRPr="006D50F0" w:rsidRDefault="007F2C0E" w:rsidP="003C4A60">
      <w:pPr>
        <w:shd w:val="clear" w:color="auto" w:fill="FFFFFF"/>
        <w:spacing w:after="150"/>
        <w:ind w:left="720" w:hanging="720"/>
        <w:rPr>
          <w:color w:val="000000"/>
          <w:sz w:val="22"/>
          <w:szCs w:val="22"/>
        </w:rPr>
      </w:pPr>
      <w:r w:rsidRPr="006D50F0">
        <w:rPr>
          <w:bCs/>
          <w:color w:val="000000"/>
          <w:sz w:val="22"/>
          <w:szCs w:val="22"/>
        </w:rPr>
        <w:t>GANZ, P., C. FAUNCE, G. MAYHEW, S. BARBEAUX, J. GASPER, S. LOWE, and R. WEBSTER.</w:t>
      </w:r>
      <w:r>
        <w:rPr>
          <w:color w:val="000000"/>
        </w:rPr>
        <w:t xml:space="preserve"> </w:t>
      </w:r>
      <w:r w:rsidRPr="006D50F0">
        <w:rPr>
          <w:color w:val="000000"/>
          <w:sz w:val="22"/>
          <w:szCs w:val="22"/>
        </w:rPr>
        <w:t>2022. Deployment Performance Review of the 2020 North Pacific Observer Program. U.S. Dep. Commer., NOAA Tech. Memo. NMFS-AFSC-431, 47 p. </w:t>
      </w:r>
      <w:hyperlink r:id="rId121" w:history="1">
        <w:r w:rsidRPr="006D50F0">
          <w:rPr>
            <w:color w:val="337AB7"/>
            <w:sz w:val="22"/>
            <w:szCs w:val="22"/>
            <w:u w:val="single"/>
          </w:rPr>
          <w:t>View Online</w:t>
        </w:r>
      </w:hyperlink>
      <w:r w:rsidRPr="006D50F0">
        <w:rPr>
          <w:color w:val="000000"/>
          <w:sz w:val="22"/>
          <w:szCs w:val="22"/>
        </w:rPr>
        <w:t>.</w:t>
      </w:r>
    </w:p>
    <w:p w14:paraId="7B342D92" w14:textId="77777777" w:rsidR="007F2C0E" w:rsidRDefault="007F2C0E" w:rsidP="003C4A60">
      <w:pPr>
        <w:shd w:val="clear" w:color="auto" w:fill="FFFFFF"/>
        <w:spacing w:after="150"/>
        <w:ind w:left="720" w:hanging="720"/>
        <w:rPr>
          <w:color w:val="000000"/>
        </w:rPr>
      </w:pPr>
      <w:r w:rsidRPr="006D50F0">
        <w:rPr>
          <w:bCs/>
          <w:color w:val="000000"/>
          <w:sz w:val="22"/>
          <w:szCs w:val="22"/>
        </w:rPr>
        <w:t>GUTHRIE III, C. M., Hv. T. NGUYEN, K. KARPAN, and W. A. LARSON.</w:t>
      </w:r>
      <w:r>
        <w:rPr>
          <w:color w:val="000000"/>
        </w:rPr>
        <w:t xml:space="preserve"> </w:t>
      </w:r>
      <w:r w:rsidRPr="006D50F0">
        <w:rPr>
          <w:color w:val="000000"/>
          <w:sz w:val="22"/>
          <w:szCs w:val="22"/>
        </w:rPr>
        <w:t>2021. Genetic stock composition analysis of Chinook salmon (</w:t>
      </w:r>
      <w:r w:rsidRPr="006D50F0">
        <w:rPr>
          <w:i/>
          <w:iCs/>
          <w:color w:val="000000"/>
          <w:sz w:val="22"/>
          <w:szCs w:val="22"/>
        </w:rPr>
        <w:t>Oncorhynchus tshawytscha</w:t>
      </w:r>
      <w:r w:rsidRPr="006D50F0">
        <w:rPr>
          <w:color w:val="000000"/>
          <w:sz w:val="22"/>
          <w:szCs w:val="22"/>
        </w:rPr>
        <w:t>) bycatch samples from the 2019 Bering Sea trawl pollock trawl fishery. U.S. Dep. Commer., NOAA Tech. Memo. NMFS-AFSC-418, 33 p. </w:t>
      </w:r>
      <w:hyperlink r:id="rId122" w:history="1">
        <w:r w:rsidRPr="006D50F0">
          <w:rPr>
            <w:color w:val="337AB7"/>
            <w:sz w:val="22"/>
            <w:szCs w:val="22"/>
            <w:u w:val="single"/>
          </w:rPr>
          <w:t>View Online</w:t>
        </w:r>
      </w:hyperlink>
      <w:r w:rsidRPr="006D50F0">
        <w:rPr>
          <w:color w:val="000000"/>
          <w:sz w:val="22"/>
          <w:szCs w:val="22"/>
        </w:rPr>
        <w:t>.</w:t>
      </w:r>
    </w:p>
    <w:p w14:paraId="1BC527D0" w14:textId="77777777" w:rsidR="007F2C0E" w:rsidRDefault="007F2C0E" w:rsidP="003C4A60">
      <w:pPr>
        <w:shd w:val="clear" w:color="auto" w:fill="FFFFFF"/>
        <w:spacing w:after="150"/>
        <w:ind w:left="720" w:hanging="720"/>
        <w:rPr>
          <w:color w:val="000000"/>
        </w:rPr>
      </w:pPr>
      <w:r w:rsidRPr="006D50F0">
        <w:rPr>
          <w:bCs/>
          <w:color w:val="000000"/>
          <w:sz w:val="22"/>
          <w:szCs w:val="22"/>
        </w:rPr>
        <w:t>GUTHRIE III, C. M., Hv. T. NGUYEN, K. KARPAN, and W. A. LARSON.</w:t>
      </w:r>
      <w:r>
        <w:rPr>
          <w:color w:val="000000"/>
        </w:rPr>
        <w:t xml:space="preserve"> </w:t>
      </w:r>
      <w:r w:rsidRPr="006D50F0">
        <w:rPr>
          <w:color w:val="000000"/>
          <w:sz w:val="22"/>
          <w:szCs w:val="22"/>
        </w:rPr>
        <w:t>2021. Genetic stock composition analysis of Chinook salmon (</w:t>
      </w:r>
      <w:r w:rsidRPr="006D50F0">
        <w:rPr>
          <w:i/>
          <w:iCs/>
          <w:color w:val="000000"/>
          <w:sz w:val="22"/>
          <w:szCs w:val="22"/>
        </w:rPr>
        <w:t>Oncorhynchus tshawytscha</w:t>
      </w:r>
      <w:r w:rsidRPr="006D50F0">
        <w:rPr>
          <w:color w:val="000000"/>
          <w:sz w:val="22"/>
          <w:szCs w:val="22"/>
        </w:rPr>
        <w:t>) bycatch samples from the 2019 Gulf of Alaska trawl fisheries. U.S. Dep. Commer., NOAA Tech. Memo. NMFS-AFSC-417, 35 p. </w:t>
      </w:r>
      <w:hyperlink r:id="rId123" w:history="1">
        <w:r w:rsidRPr="006D50F0">
          <w:rPr>
            <w:color w:val="337AB7"/>
            <w:sz w:val="22"/>
            <w:szCs w:val="22"/>
            <w:u w:val="single"/>
          </w:rPr>
          <w:t>View Online</w:t>
        </w:r>
      </w:hyperlink>
      <w:r w:rsidRPr="006D50F0">
        <w:rPr>
          <w:color w:val="000000"/>
          <w:sz w:val="22"/>
          <w:szCs w:val="22"/>
        </w:rPr>
        <w:t>.</w:t>
      </w:r>
    </w:p>
    <w:p w14:paraId="75950E15" w14:textId="77777777" w:rsidR="007F2C0E" w:rsidRDefault="007F2C0E" w:rsidP="003C4A60">
      <w:pPr>
        <w:shd w:val="clear" w:color="auto" w:fill="FFFFFF"/>
        <w:spacing w:after="150"/>
        <w:ind w:left="720" w:hanging="720"/>
        <w:rPr>
          <w:color w:val="000000"/>
        </w:rPr>
      </w:pPr>
      <w:r w:rsidRPr="006D50F0">
        <w:rPr>
          <w:bCs/>
          <w:color w:val="000000"/>
          <w:sz w:val="22"/>
          <w:szCs w:val="22"/>
        </w:rPr>
        <w:t>GUTHRIE, C. M. III, Hv. T. NGUYEN, C. L. D’AMELIO, K. KARPAN, P. D. BARRY, and W. A. LARSON.</w:t>
      </w:r>
      <w:r>
        <w:rPr>
          <w:bCs/>
          <w:color w:val="000000"/>
        </w:rPr>
        <w:t xml:space="preserve"> </w:t>
      </w:r>
      <w:r w:rsidRPr="006D50F0">
        <w:rPr>
          <w:color w:val="000000"/>
          <w:sz w:val="22"/>
          <w:szCs w:val="22"/>
        </w:rPr>
        <w:t>2022. Genetic stock composition analysis of Chinook salmon (</w:t>
      </w:r>
      <w:r w:rsidRPr="006D50F0">
        <w:rPr>
          <w:i/>
          <w:iCs/>
          <w:color w:val="000000"/>
          <w:sz w:val="22"/>
          <w:szCs w:val="22"/>
        </w:rPr>
        <w:t>Oncorhynchus tshawytscha</w:t>
      </w:r>
      <w:r w:rsidRPr="006D50F0">
        <w:rPr>
          <w:color w:val="000000"/>
          <w:sz w:val="22"/>
          <w:szCs w:val="22"/>
        </w:rPr>
        <w:t>) bycatch samples from the 2020 Bering Sea pollock trawl fisheries. U.S. Dep. Commer., NOAA Tech. Memo. NMFS-AFSC-446, 35 p. </w:t>
      </w:r>
      <w:hyperlink r:id="rId124" w:history="1">
        <w:r w:rsidRPr="006D50F0">
          <w:rPr>
            <w:color w:val="337AB7"/>
            <w:sz w:val="22"/>
            <w:szCs w:val="22"/>
            <w:u w:val="single"/>
          </w:rPr>
          <w:t>View Online</w:t>
        </w:r>
      </w:hyperlink>
      <w:r w:rsidRPr="006D50F0">
        <w:rPr>
          <w:color w:val="000000"/>
          <w:sz w:val="22"/>
          <w:szCs w:val="22"/>
        </w:rPr>
        <w:t>.</w:t>
      </w:r>
    </w:p>
    <w:p w14:paraId="724A2C51" w14:textId="77777777" w:rsidR="007F2C0E" w:rsidRDefault="007F2C0E" w:rsidP="003C4A60">
      <w:pPr>
        <w:shd w:val="clear" w:color="auto" w:fill="FFFFFF"/>
        <w:spacing w:after="150"/>
        <w:ind w:left="720" w:hanging="720"/>
        <w:rPr>
          <w:color w:val="000000"/>
        </w:rPr>
      </w:pPr>
      <w:r w:rsidRPr="006D50F0">
        <w:rPr>
          <w:bCs/>
          <w:color w:val="000000"/>
          <w:sz w:val="22"/>
          <w:szCs w:val="22"/>
        </w:rPr>
        <w:t>GUTHRIE, C. M. III, Hv. T. NGUYEN, C. L. D’AMELIO, K. KARPAN, P. D. BARRY, and W. A. LARSON.</w:t>
      </w:r>
      <w:r>
        <w:rPr>
          <w:color w:val="000000"/>
        </w:rPr>
        <w:t xml:space="preserve"> </w:t>
      </w:r>
      <w:r w:rsidRPr="006D50F0">
        <w:rPr>
          <w:color w:val="000000"/>
          <w:sz w:val="22"/>
          <w:szCs w:val="22"/>
        </w:rPr>
        <w:t>2022. Genetic stock composition analysis of Chinook salmon (</w:t>
      </w:r>
      <w:r w:rsidRPr="006D50F0">
        <w:rPr>
          <w:i/>
          <w:iCs/>
          <w:color w:val="000000"/>
          <w:sz w:val="22"/>
          <w:szCs w:val="22"/>
        </w:rPr>
        <w:t>Oncorhynchus tshawytscha</w:t>
      </w:r>
      <w:r w:rsidRPr="006D50F0">
        <w:rPr>
          <w:color w:val="000000"/>
          <w:sz w:val="22"/>
          <w:szCs w:val="22"/>
        </w:rPr>
        <w:t>) bycatch samples from the 2020 Gulf of Alaska trawl fisheries. U.S. Dep. Commer., NOAA Tech. Memo. NMFS-AFSC-445, 36 p. </w:t>
      </w:r>
      <w:hyperlink r:id="rId125" w:history="1">
        <w:r w:rsidRPr="006D50F0">
          <w:rPr>
            <w:color w:val="337AB7"/>
            <w:sz w:val="22"/>
            <w:szCs w:val="22"/>
            <w:u w:val="single"/>
          </w:rPr>
          <w:t>View Online</w:t>
        </w:r>
      </w:hyperlink>
      <w:r w:rsidRPr="006D50F0">
        <w:rPr>
          <w:color w:val="000000"/>
          <w:sz w:val="22"/>
          <w:szCs w:val="22"/>
        </w:rPr>
        <w:t>.</w:t>
      </w:r>
    </w:p>
    <w:p w14:paraId="229326D3" w14:textId="77777777" w:rsidR="007F2C0E" w:rsidRDefault="007F2C0E" w:rsidP="003C4A60">
      <w:pPr>
        <w:shd w:val="clear" w:color="auto" w:fill="FFFFFF"/>
        <w:spacing w:after="150"/>
        <w:ind w:left="720" w:hanging="720"/>
        <w:rPr>
          <w:color w:val="000000"/>
        </w:rPr>
      </w:pPr>
      <w:r w:rsidRPr="006D50F0">
        <w:rPr>
          <w:bCs/>
          <w:color w:val="000000"/>
          <w:sz w:val="22"/>
          <w:szCs w:val="22"/>
        </w:rPr>
        <w:t>HARRIS, J., E. A. LAMAN, J. L. PIRTLE, M. C. SIPLE, C. N. ROOPER, T. P. HURST, and C. L. CONRATH.</w:t>
      </w:r>
      <w:r>
        <w:rPr>
          <w:color w:val="000000"/>
        </w:rPr>
        <w:t xml:space="preserve"> </w:t>
      </w:r>
      <w:r w:rsidRPr="006D50F0">
        <w:rPr>
          <w:color w:val="000000"/>
          <w:sz w:val="22"/>
          <w:szCs w:val="22"/>
        </w:rPr>
        <w:t>2022. Advancing model-based essential fish habitat descriptions for North Pacific species in the Aleutian Islands. U.S. Dep. Commer., NOAA Tech. Memo. NMFS-AFSC-458, 406 p. </w:t>
      </w:r>
      <w:hyperlink r:id="rId126" w:history="1">
        <w:r w:rsidRPr="006D50F0">
          <w:rPr>
            <w:color w:val="337AB7"/>
            <w:sz w:val="22"/>
            <w:szCs w:val="22"/>
            <w:u w:val="single"/>
          </w:rPr>
          <w:t>View Online</w:t>
        </w:r>
      </w:hyperlink>
      <w:r w:rsidRPr="006D50F0">
        <w:rPr>
          <w:color w:val="000000"/>
          <w:sz w:val="22"/>
          <w:szCs w:val="22"/>
        </w:rPr>
        <w:t>.</w:t>
      </w:r>
    </w:p>
    <w:p w14:paraId="024528D3" w14:textId="77777777" w:rsidR="007F2C0E" w:rsidRPr="006D50F0" w:rsidRDefault="007F2C0E" w:rsidP="003C4A60">
      <w:pPr>
        <w:shd w:val="clear" w:color="auto" w:fill="FFFFFF"/>
        <w:spacing w:after="150"/>
        <w:ind w:left="720" w:hanging="720"/>
        <w:rPr>
          <w:color w:val="000000"/>
          <w:sz w:val="22"/>
          <w:szCs w:val="22"/>
        </w:rPr>
      </w:pPr>
      <w:r w:rsidRPr="006D50F0">
        <w:rPr>
          <w:bCs/>
          <w:color w:val="000000"/>
          <w:sz w:val="22"/>
          <w:szCs w:val="22"/>
        </w:rPr>
        <w:lastRenderedPageBreak/>
        <w:t>HULSON, P.-J. F., K. B. ECHAVE, P. D. SPENCER, and J. N. IANELLI.</w:t>
      </w:r>
      <w:r>
        <w:rPr>
          <w:bCs/>
          <w:color w:val="000000"/>
        </w:rPr>
        <w:t xml:space="preserve"> </w:t>
      </w:r>
      <w:r w:rsidRPr="006D50F0">
        <w:rPr>
          <w:color w:val="000000"/>
          <w:sz w:val="22"/>
          <w:szCs w:val="22"/>
        </w:rPr>
        <w:t>2021. Using multiple Indices for biomass and apportionment estimation of Alaska groundfish stocks. U.S. Dep. Commer., NOAA Tech. Memo. NMFS-AFSC-414, 28 p. </w:t>
      </w:r>
      <w:hyperlink r:id="rId127" w:history="1">
        <w:r w:rsidRPr="006D50F0">
          <w:rPr>
            <w:color w:val="337AB7"/>
            <w:sz w:val="22"/>
            <w:szCs w:val="22"/>
            <w:u w:val="single"/>
          </w:rPr>
          <w:t>View Online</w:t>
        </w:r>
      </w:hyperlink>
      <w:r w:rsidRPr="006D50F0">
        <w:rPr>
          <w:color w:val="000000"/>
          <w:sz w:val="22"/>
          <w:szCs w:val="22"/>
        </w:rPr>
        <w:t>.</w:t>
      </w:r>
    </w:p>
    <w:p w14:paraId="323BD4A9" w14:textId="77777777" w:rsidR="007F2C0E" w:rsidRDefault="007F2C0E" w:rsidP="003C4A60">
      <w:pPr>
        <w:shd w:val="clear" w:color="auto" w:fill="FFFFFF"/>
        <w:spacing w:after="150"/>
        <w:ind w:left="720" w:hanging="720"/>
        <w:rPr>
          <w:color w:val="000000"/>
        </w:rPr>
      </w:pPr>
      <w:r w:rsidRPr="006D50F0">
        <w:rPr>
          <w:bCs/>
          <w:color w:val="000000"/>
          <w:sz w:val="22"/>
          <w:szCs w:val="22"/>
        </w:rPr>
        <w:t>KEARNEY, K.</w:t>
      </w:r>
      <w:r>
        <w:rPr>
          <w:bCs/>
          <w:color w:val="000000"/>
        </w:rPr>
        <w:t xml:space="preserve"> </w:t>
      </w:r>
      <w:r w:rsidRPr="006D50F0">
        <w:rPr>
          <w:color w:val="000000"/>
          <w:sz w:val="22"/>
          <w:szCs w:val="22"/>
        </w:rPr>
        <w:t>2021. Temperature data from the eastern Bering Sea continental shelf bottom trawl survey as used for hydrodynamic model validation and comparison. U.S. Dep. Commer., NOAA Tech. Memo. NMFS-AFSC-415, 40 p. </w:t>
      </w:r>
      <w:hyperlink r:id="rId128" w:history="1">
        <w:r w:rsidRPr="006D50F0">
          <w:rPr>
            <w:color w:val="337AB7"/>
            <w:sz w:val="22"/>
            <w:szCs w:val="22"/>
            <w:u w:val="single"/>
          </w:rPr>
          <w:t>View Online</w:t>
        </w:r>
      </w:hyperlink>
      <w:r w:rsidRPr="006D50F0">
        <w:rPr>
          <w:color w:val="000000"/>
          <w:sz w:val="22"/>
          <w:szCs w:val="22"/>
        </w:rPr>
        <w:t>.</w:t>
      </w:r>
    </w:p>
    <w:p w14:paraId="3C5A1F1B" w14:textId="77777777" w:rsidR="007F2C0E" w:rsidRDefault="007F2C0E" w:rsidP="003C4A60">
      <w:pPr>
        <w:shd w:val="clear" w:color="auto" w:fill="FFFFFF"/>
        <w:spacing w:after="150"/>
        <w:ind w:left="720" w:hanging="720"/>
        <w:rPr>
          <w:color w:val="000000"/>
        </w:rPr>
      </w:pPr>
      <w:r w:rsidRPr="006D50F0">
        <w:rPr>
          <w:bCs/>
          <w:color w:val="000000"/>
          <w:sz w:val="22"/>
          <w:szCs w:val="22"/>
        </w:rPr>
        <w:t>KONDZELA, C. M., J. A. WHITTLE, P. D. BARRY, Hv. T. NGUYEN, E. M. YASUMIISHI, D. W. NICOLLS, J. T. WATSON, and W. A. LARSON.</w:t>
      </w:r>
      <w:r>
        <w:rPr>
          <w:bCs/>
          <w:color w:val="000000"/>
        </w:rPr>
        <w:t xml:space="preserve"> </w:t>
      </w:r>
      <w:r w:rsidRPr="006D50F0">
        <w:rPr>
          <w:color w:val="000000"/>
          <w:sz w:val="22"/>
          <w:szCs w:val="22"/>
        </w:rPr>
        <w:t>2021. Genetic stock composition analysis of chum salmon from the prohibited species catch of the 2019 Bering Sea walleye pollock trawl fishery. U.S. Dep. Commer.</w:t>
      </w:r>
      <w:proofErr w:type="gramStart"/>
      <w:r w:rsidRPr="006D50F0">
        <w:rPr>
          <w:color w:val="000000"/>
          <w:sz w:val="22"/>
          <w:szCs w:val="22"/>
        </w:rPr>
        <w:t>,NOAA</w:t>
      </w:r>
      <w:proofErr w:type="gramEnd"/>
      <w:r w:rsidRPr="006D50F0">
        <w:rPr>
          <w:color w:val="000000"/>
          <w:sz w:val="22"/>
          <w:szCs w:val="22"/>
        </w:rPr>
        <w:t xml:space="preserve"> Tech. Memo. NMFS-AFSC-422, 69 p. </w:t>
      </w:r>
      <w:hyperlink r:id="rId129" w:history="1">
        <w:r w:rsidRPr="006D50F0">
          <w:rPr>
            <w:color w:val="337AB7"/>
            <w:sz w:val="22"/>
            <w:szCs w:val="22"/>
            <w:u w:val="single"/>
          </w:rPr>
          <w:t>View Online</w:t>
        </w:r>
      </w:hyperlink>
      <w:r w:rsidRPr="006D50F0">
        <w:rPr>
          <w:color w:val="000000"/>
          <w:sz w:val="22"/>
          <w:szCs w:val="22"/>
        </w:rPr>
        <w:t>.</w:t>
      </w:r>
    </w:p>
    <w:p w14:paraId="686812C4" w14:textId="77777777" w:rsidR="007F2C0E" w:rsidRDefault="007F2C0E" w:rsidP="003C4A60">
      <w:pPr>
        <w:shd w:val="clear" w:color="auto" w:fill="FFFFFF"/>
        <w:spacing w:after="150"/>
        <w:ind w:left="720" w:hanging="720"/>
        <w:rPr>
          <w:color w:val="000000"/>
        </w:rPr>
      </w:pPr>
      <w:r w:rsidRPr="006D50F0">
        <w:rPr>
          <w:bCs/>
          <w:color w:val="000000"/>
          <w:sz w:val="22"/>
          <w:szCs w:val="22"/>
        </w:rPr>
        <w:t>LAMAN, E. A., J. L. PIRTLE, J. HARRIS, M. C. SIPLE, C. N. ROOPER, T. P. HURST, and C. L. CONRATH.</w:t>
      </w:r>
      <w:r>
        <w:rPr>
          <w:color w:val="000000"/>
        </w:rPr>
        <w:t xml:space="preserve"> </w:t>
      </w:r>
      <w:r w:rsidRPr="006D50F0">
        <w:rPr>
          <w:color w:val="000000"/>
          <w:sz w:val="22"/>
          <w:szCs w:val="22"/>
        </w:rPr>
        <w:t>2022. Advancing model-based essential fish habitat descriptions for North Pacific species in the Bering Sea. U.S. Dep. Commer., NOAA Tech. Memo. NMFS-AFSC-459, 538 p. </w:t>
      </w:r>
      <w:hyperlink r:id="rId130" w:history="1">
        <w:r w:rsidRPr="006D50F0">
          <w:rPr>
            <w:color w:val="337AB7"/>
            <w:sz w:val="22"/>
            <w:szCs w:val="22"/>
            <w:u w:val="single"/>
          </w:rPr>
          <w:t>View Online</w:t>
        </w:r>
      </w:hyperlink>
      <w:r w:rsidRPr="006D50F0">
        <w:rPr>
          <w:color w:val="000000"/>
          <w:sz w:val="22"/>
          <w:szCs w:val="22"/>
        </w:rPr>
        <w:t>.</w:t>
      </w:r>
    </w:p>
    <w:p w14:paraId="7BA4DFBD" w14:textId="77777777" w:rsidR="007F2C0E" w:rsidRDefault="007F2C0E" w:rsidP="003C4A60">
      <w:pPr>
        <w:shd w:val="clear" w:color="auto" w:fill="FFFFFF"/>
        <w:spacing w:after="150"/>
        <w:ind w:left="720" w:hanging="720"/>
        <w:rPr>
          <w:color w:val="000000"/>
        </w:rPr>
      </w:pPr>
      <w:r w:rsidRPr="006D50F0">
        <w:rPr>
          <w:bCs/>
          <w:color w:val="000000"/>
          <w:sz w:val="22"/>
          <w:szCs w:val="22"/>
        </w:rPr>
        <w:t>MARKOWITZ, E. H., E. J. DAWSON, N. E. CHARRIERE, and B. K. PROHASKA, S. K. ROHAN, D. E. STEVENSON, and L. L. BRITT.</w:t>
      </w:r>
      <w:r>
        <w:rPr>
          <w:bCs/>
          <w:color w:val="000000"/>
        </w:rPr>
        <w:t xml:space="preserve"> </w:t>
      </w:r>
      <w:r w:rsidRPr="006D50F0">
        <w:rPr>
          <w:color w:val="000000"/>
          <w:sz w:val="22"/>
          <w:szCs w:val="22"/>
        </w:rPr>
        <w:t>2022. Results of the 2021 eastern Bering Sea continental shelf bottom trawl survey of groundfish and invertebrate fauna. U.S. Dep. Commer., NOAA Tech. Memo.NMFS-AFSC-452, 227 p. </w:t>
      </w:r>
      <w:hyperlink r:id="rId131" w:history="1">
        <w:r w:rsidRPr="006D50F0">
          <w:rPr>
            <w:color w:val="337AB7"/>
            <w:sz w:val="22"/>
            <w:szCs w:val="22"/>
            <w:u w:val="single"/>
          </w:rPr>
          <w:t>View Online</w:t>
        </w:r>
      </w:hyperlink>
      <w:r w:rsidRPr="006D50F0">
        <w:rPr>
          <w:color w:val="000000"/>
          <w:sz w:val="22"/>
          <w:szCs w:val="22"/>
        </w:rPr>
        <w:t>.</w:t>
      </w:r>
    </w:p>
    <w:p w14:paraId="7F283D22" w14:textId="77777777" w:rsidR="007F2C0E" w:rsidRDefault="007F2C0E" w:rsidP="003C4A60">
      <w:pPr>
        <w:shd w:val="clear" w:color="auto" w:fill="FFFFFF"/>
        <w:spacing w:after="150"/>
        <w:ind w:left="720" w:hanging="720"/>
        <w:rPr>
          <w:color w:val="000000"/>
        </w:rPr>
      </w:pPr>
      <w:r w:rsidRPr="006D50F0">
        <w:rPr>
          <w:bCs/>
          <w:color w:val="000000"/>
          <w:sz w:val="22"/>
          <w:szCs w:val="22"/>
        </w:rPr>
        <w:t>MARKOWITZ, E. H., E. J. DAWSON, N. E. CHARRIERE, and B. K. PROHASKA, S. K. ROHAN, D. E. STEVENSON, and L. L. BRITT.</w:t>
      </w:r>
      <w:r>
        <w:rPr>
          <w:color w:val="000000"/>
        </w:rPr>
        <w:t xml:space="preserve"> </w:t>
      </w:r>
      <w:r w:rsidRPr="006D50F0">
        <w:rPr>
          <w:color w:val="000000"/>
          <w:sz w:val="22"/>
          <w:szCs w:val="22"/>
        </w:rPr>
        <w:t>2022. Results of the 2019 eastern Bering Sea continental shelf bottom trawl survey of groundfish and invertebrate fauna. U.S. Dep. Commer., NOAA Tech. Memo.NMFS-AFSC-451, 225 p. </w:t>
      </w:r>
      <w:hyperlink r:id="rId132" w:history="1">
        <w:r w:rsidRPr="006D50F0">
          <w:rPr>
            <w:color w:val="337AB7"/>
            <w:sz w:val="22"/>
            <w:szCs w:val="22"/>
            <w:u w:val="single"/>
          </w:rPr>
          <w:t>View Online</w:t>
        </w:r>
      </w:hyperlink>
      <w:r w:rsidRPr="006D50F0">
        <w:rPr>
          <w:color w:val="000000"/>
          <w:sz w:val="22"/>
          <w:szCs w:val="22"/>
        </w:rPr>
        <w:t>.</w:t>
      </w:r>
    </w:p>
    <w:p w14:paraId="45BE3BB6" w14:textId="77777777" w:rsidR="007F2C0E" w:rsidRDefault="007F2C0E" w:rsidP="003C4A60">
      <w:pPr>
        <w:shd w:val="clear" w:color="auto" w:fill="FFFFFF"/>
        <w:spacing w:after="150"/>
        <w:ind w:left="720" w:hanging="720"/>
        <w:rPr>
          <w:color w:val="000000"/>
        </w:rPr>
      </w:pPr>
      <w:r w:rsidRPr="006D50F0">
        <w:rPr>
          <w:bCs/>
          <w:color w:val="000000"/>
          <w:sz w:val="22"/>
          <w:szCs w:val="22"/>
        </w:rPr>
        <w:t>MARKOWITZ, E. H., E. J. DAWSON, N. E. CHARRIERE, and B. K. PROHASKA, S. K. ROHAN, R. A. HAEHN, D. E. STEVENSON, and L. L. BRITT.</w:t>
      </w:r>
      <w:r>
        <w:rPr>
          <w:bCs/>
          <w:color w:val="000000"/>
        </w:rPr>
        <w:t xml:space="preserve"> </w:t>
      </w:r>
      <w:r w:rsidRPr="006D50F0">
        <w:rPr>
          <w:color w:val="000000"/>
          <w:sz w:val="22"/>
          <w:szCs w:val="22"/>
        </w:rPr>
        <w:t>2022. Results of the 2018 eastern Bering Sea continental shelf bottom trawl survey of groundfish and invertebrate fauna. U.S. Dep. Commer., NOAA Tech. Memo.NMFS-AFSC-450, 183 p. </w:t>
      </w:r>
      <w:hyperlink r:id="rId133" w:history="1">
        <w:r w:rsidRPr="006D50F0">
          <w:rPr>
            <w:color w:val="337AB7"/>
            <w:sz w:val="22"/>
            <w:szCs w:val="22"/>
            <w:u w:val="single"/>
          </w:rPr>
          <w:t>View Online</w:t>
        </w:r>
      </w:hyperlink>
      <w:r w:rsidRPr="006D50F0">
        <w:rPr>
          <w:color w:val="000000"/>
          <w:sz w:val="22"/>
          <w:szCs w:val="22"/>
        </w:rPr>
        <w:t>.</w:t>
      </w:r>
    </w:p>
    <w:p w14:paraId="2E05806C" w14:textId="77777777" w:rsidR="007F2C0E" w:rsidRDefault="007F2C0E" w:rsidP="003C4A60">
      <w:pPr>
        <w:shd w:val="clear" w:color="auto" w:fill="FFFFFF"/>
        <w:spacing w:after="150"/>
        <w:ind w:left="720" w:hanging="720"/>
        <w:rPr>
          <w:color w:val="000000"/>
        </w:rPr>
      </w:pPr>
      <w:r w:rsidRPr="006D50F0">
        <w:rPr>
          <w:bCs/>
          <w:color w:val="000000"/>
          <w:sz w:val="22"/>
          <w:szCs w:val="22"/>
        </w:rPr>
        <w:t>MURPHY, J., S. GARCIA, J. DIMOND, J. MOSS, F. SEWALL, W. STRASBURGER, E. LEE, T. DANN, E. LABUNSKI, T. ZELLER, A. GRAY, C. WATERS, D. JALLEN, D. NICOLLS, R. CONLON, K. CIECIEL, K. HOWARD, B. HARRIS, N. WOLF, and E. FARLEY JR.</w:t>
      </w:r>
      <w:r>
        <w:rPr>
          <w:color w:val="000000"/>
        </w:rPr>
        <w:t xml:space="preserve"> </w:t>
      </w:r>
      <w:r w:rsidRPr="006D50F0">
        <w:rPr>
          <w:color w:val="000000"/>
          <w:sz w:val="22"/>
          <w:szCs w:val="22"/>
        </w:rPr>
        <w:t>2021. Northern Bering Sea surface trawl and ecosystem survey cruise report, 2019. U.S. Dep. Commer., NOAA Tech. Memo. NMFS-AFSC-423, 124 p. </w:t>
      </w:r>
      <w:hyperlink r:id="rId134" w:history="1">
        <w:r w:rsidRPr="006D50F0">
          <w:rPr>
            <w:color w:val="337AB7"/>
            <w:sz w:val="22"/>
            <w:szCs w:val="22"/>
            <w:u w:val="single"/>
          </w:rPr>
          <w:t>View Online</w:t>
        </w:r>
      </w:hyperlink>
      <w:r w:rsidRPr="006D50F0">
        <w:rPr>
          <w:color w:val="000000"/>
          <w:sz w:val="22"/>
          <w:szCs w:val="22"/>
        </w:rPr>
        <w:t>.</w:t>
      </w:r>
    </w:p>
    <w:p w14:paraId="241C77C4" w14:textId="77777777" w:rsidR="007F2C0E" w:rsidRDefault="007F2C0E" w:rsidP="003C4A60">
      <w:pPr>
        <w:shd w:val="clear" w:color="auto" w:fill="FFFFFF"/>
        <w:spacing w:after="150"/>
        <w:ind w:left="720" w:hanging="720"/>
        <w:rPr>
          <w:color w:val="000000"/>
        </w:rPr>
      </w:pPr>
      <w:r w:rsidRPr="006D50F0">
        <w:rPr>
          <w:bCs/>
          <w:color w:val="000000"/>
          <w:sz w:val="22"/>
          <w:szCs w:val="22"/>
        </w:rPr>
        <w:t>OYAFUSO, Z.S., L.A.K. BARNETT, M.C. SIPLE, and S. KOTWICKI.</w:t>
      </w:r>
      <w:r>
        <w:rPr>
          <w:bCs/>
          <w:color w:val="000000"/>
        </w:rPr>
        <w:t xml:space="preserve"> </w:t>
      </w:r>
      <w:r w:rsidRPr="006D50F0">
        <w:rPr>
          <w:color w:val="000000"/>
          <w:sz w:val="22"/>
          <w:szCs w:val="22"/>
        </w:rPr>
        <w:t>2022. A flexible approach to optimizing the Gulf of Alaska groundfish bottom trawl survey design for abundance estimation. U.S. Dep. Commer., NOAA Tech. Memo. NMFS-AFSC-434, 142 p.</w:t>
      </w:r>
      <w:hyperlink r:id="rId135" w:history="1">
        <w:r w:rsidRPr="006D50F0">
          <w:rPr>
            <w:color w:val="337AB7"/>
            <w:sz w:val="22"/>
            <w:szCs w:val="22"/>
            <w:u w:val="single"/>
          </w:rPr>
          <w:t> View Online</w:t>
        </w:r>
      </w:hyperlink>
      <w:r w:rsidRPr="006D50F0">
        <w:rPr>
          <w:color w:val="000000"/>
          <w:sz w:val="22"/>
          <w:szCs w:val="22"/>
        </w:rPr>
        <w:t>.</w:t>
      </w:r>
    </w:p>
    <w:p w14:paraId="1AE439ED" w14:textId="552766E9" w:rsidR="003C4A60" w:rsidRPr="003C4A60" w:rsidRDefault="003C4A60" w:rsidP="003C4A60">
      <w:pPr>
        <w:shd w:val="clear" w:color="auto" w:fill="FFFFFF"/>
        <w:spacing w:after="150"/>
        <w:ind w:left="720" w:hanging="720"/>
        <w:rPr>
          <w:sz w:val="22"/>
          <w:szCs w:val="22"/>
        </w:rPr>
      </w:pPr>
      <w:r w:rsidRPr="003C4A60">
        <w:rPr>
          <w:color w:val="444746"/>
          <w:spacing w:val="3"/>
          <w:sz w:val="22"/>
          <w:szCs w:val="22"/>
          <w:shd w:val="clear" w:color="auto" w:fill="FFFFFF"/>
        </w:rPr>
        <w:t>R</w:t>
      </w:r>
      <w:r>
        <w:rPr>
          <w:color w:val="444746"/>
          <w:spacing w:val="3"/>
          <w:sz w:val="22"/>
          <w:szCs w:val="22"/>
          <w:shd w:val="clear" w:color="auto" w:fill="FFFFFF"/>
        </w:rPr>
        <w:t>AND</w:t>
      </w:r>
      <w:r w:rsidRPr="003C4A60">
        <w:rPr>
          <w:color w:val="444746"/>
          <w:spacing w:val="3"/>
          <w:sz w:val="22"/>
          <w:szCs w:val="22"/>
          <w:shd w:val="clear" w:color="auto" w:fill="FFFFFF"/>
        </w:rPr>
        <w:t>, K.M., M</w:t>
      </w:r>
      <w:r>
        <w:rPr>
          <w:color w:val="444746"/>
          <w:spacing w:val="3"/>
          <w:sz w:val="22"/>
          <w:szCs w:val="22"/>
          <w:shd w:val="clear" w:color="auto" w:fill="FFFFFF"/>
        </w:rPr>
        <w:t>CDERMOTT</w:t>
      </w:r>
      <w:r w:rsidRPr="003C4A60">
        <w:rPr>
          <w:color w:val="444746"/>
          <w:spacing w:val="3"/>
          <w:sz w:val="22"/>
          <w:szCs w:val="22"/>
          <w:shd w:val="clear" w:color="auto" w:fill="FFFFFF"/>
        </w:rPr>
        <w:t>, S.F., B</w:t>
      </w:r>
      <w:r>
        <w:rPr>
          <w:color w:val="444746"/>
          <w:spacing w:val="3"/>
          <w:sz w:val="22"/>
          <w:szCs w:val="22"/>
          <w:shd w:val="clear" w:color="auto" w:fill="FFFFFF"/>
        </w:rPr>
        <w:t>RYAN</w:t>
      </w:r>
      <w:r w:rsidRPr="003C4A60">
        <w:rPr>
          <w:color w:val="444746"/>
          <w:spacing w:val="3"/>
          <w:sz w:val="22"/>
          <w:szCs w:val="22"/>
          <w:shd w:val="clear" w:color="auto" w:fill="FFFFFF"/>
        </w:rPr>
        <w:t>, D.R., N</w:t>
      </w:r>
      <w:r>
        <w:rPr>
          <w:color w:val="444746"/>
          <w:spacing w:val="3"/>
          <w:sz w:val="22"/>
          <w:szCs w:val="22"/>
          <w:shd w:val="clear" w:color="auto" w:fill="FFFFFF"/>
        </w:rPr>
        <w:t>IELSEN</w:t>
      </w:r>
      <w:r w:rsidRPr="003C4A60">
        <w:rPr>
          <w:color w:val="444746"/>
          <w:spacing w:val="3"/>
          <w:sz w:val="22"/>
          <w:szCs w:val="22"/>
          <w:shd w:val="clear" w:color="auto" w:fill="FFFFFF"/>
        </w:rPr>
        <w:t>, J.K., S</w:t>
      </w:r>
      <w:r>
        <w:rPr>
          <w:color w:val="444746"/>
          <w:spacing w:val="3"/>
          <w:sz w:val="22"/>
          <w:szCs w:val="22"/>
          <w:shd w:val="clear" w:color="auto" w:fill="FFFFFF"/>
        </w:rPr>
        <w:t>PIES</w:t>
      </w:r>
      <w:r w:rsidRPr="003C4A60">
        <w:rPr>
          <w:color w:val="444746"/>
          <w:spacing w:val="3"/>
          <w:sz w:val="22"/>
          <w:szCs w:val="22"/>
          <w:shd w:val="clear" w:color="auto" w:fill="FFFFFF"/>
        </w:rPr>
        <w:t>, I.B., B</w:t>
      </w:r>
      <w:r>
        <w:rPr>
          <w:color w:val="444746"/>
          <w:spacing w:val="3"/>
          <w:sz w:val="22"/>
          <w:szCs w:val="22"/>
          <w:shd w:val="clear" w:color="auto" w:fill="FFFFFF"/>
        </w:rPr>
        <w:t>ARBEAUX</w:t>
      </w:r>
      <w:r w:rsidRPr="003C4A60">
        <w:rPr>
          <w:color w:val="444746"/>
          <w:spacing w:val="3"/>
          <w:sz w:val="22"/>
          <w:szCs w:val="22"/>
          <w:shd w:val="clear" w:color="auto" w:fill="FFFFFF"/>
        </w:rPr>
        <w:t>, S.J., L</w:t>
      </w:r>
      <w:r>
        <w:rPr>
          <w:color w:val="444746"/>
          <w:spacing w:val="3"/>
          <w:sz w:val="22"/>
          <w:szCs w:val="22"/>
          <w:shd w:val="clear" w:color="auto" w:fill="FFFFFF"/>
        </w:rPr>
        <w:t>OOMIS</w:t>
      </w:r>
      <w:r w:rsidRPr="003C4A60">
        <w:rPr>
          <w:color w:val="444746"/>
          <w:spacing w:val="3"/>
          <w:sz w:val="22"/>
          <w:szCs w:val="22"/>
          <w:shd w:val="clear" w:color="auto" w:fill="FFFFFF"/>
        </w:rPr>
        <w:t xml:space="preserve">, T., </w:t>
      </w:r>
      <w:r>
        <w:rPr>
          <w:color w:val="444746"/>
          <w:spacing w:val="3"/>
          <w:sz w:val="22"/>
          <w:szCs w:val="22"/>
          <w:shd w:val="clear" w:color="auto" w:fill="FFFFFF"/>
        </w:rPr>
        <w:t xml:space="preserve">and </w:t>
      </w:r>
      <w:r w:rsidRPr="003C4A60">
        <w:rPr>
          <w:color w:val="444746"/>
          <w:spacing w:val="3"/>
          <w:sz w:val="22"/>
          <w:szCs w:val="22"/>
          <w:shd w:val="clear" w:color="auto" w:fill="FFFFFF"/>
        </w:rPr>
        <w:t>G</w:t>
      </w:r>
      <w:r>
        <w:rPr>
          <w:color w:val="444746"/>
          <w:spacing w:val="3"/>
          <w:sz w:val="22"/>
          <w:szCs w:val="22"/>
          <w:shd w:val="clear" w:color="auto" w:fill="FFFFFF"/>
        </w:rPr>
        <w:t>AUVIN</w:t>
      </w:r>
      <w:r w:rsidRPr="003C4A60">
        <w:rPr>
          <w:color w:val="444746"/>
          <w:spacing w:val="3"/>
          <w:sz w:val="22"/>
          <w:szCs w:val="22"/>
          <w:shd w:val="clear" w:color="auto" w:fill="FFFFFF"/>
        </w:rPr>
        <w:t>, J. 2022. Non-random fishery data can validate research survey observations of Pacif</w:t>
      </w:r>
      <w:r>
        <w:rPr>
          <w:color w:val="444746"/>
          <w:spacing w:val="3"/>
          <w:sz w:val="22"/>
          <w:szCs w:val="22"/>
          <w:shd w:val="clear" w:color="auto" w:fill="FFFFFF"/>
        </w:rPr>
        <w:t>i</w:t>
      </w:r>
      <w:r w:rsidRPr="003C4A60">
        <w:rPr>
          <w:color w:val="444746"/>
          <w:spacing w:val="3"/>
          <w:sz w:val="22"/>
          <w:szCs w:val="22"/>
          <w:shd w:val="clear" w:color="auto" w:fill="FFFFFF"/>
        </w:rPr>
        <w:t>c cod (</w:t>
      </w:r>
      <w:r w:rsidRPr="003C4A60">
        <w:rPr>
          <w:i/>
          <w:color w:val="444746"/>
          <w:spacing w:val="3"/>
          <w:sz w:val="22"/>
          <w:szCs w:val="22"/>
          <w:shd w:val="clear" w:color="auto" w:fill="FFFFFF"/>
        </w:rPr>
        <w:t>Gadus macrocephelus</w:t>
      </w:r>
      <w:r w:rsidRPr="003C4A60">
        <w:rPr>
          <w:color w:val="444746"/>
          <w:spacing w:val="3"/>
          <w:sz w:val="22"/>
          <w:szCs w:val="22"/>
          <w:shd w:val="clear" w:color="auto" w:fill="FFFFFF"/>
        </w:rPr>
        <w:t>) size in the Bering Sea. Polar Biology </w:t>
      </w:r>
      <w:hyperlink r:id="rId136" w:tgtFrame="_blank" w:history="1">
        <w:r w:rsidRPr="003C4A60">
          <w:rPr>
            <w:rStyle w:val="Hyperlink"/>
            <w:color w:val="0B57D0"/>
            <w:spacing w:val="3"/>
            <w:sz w:val="22"/>
            <w:szCs w:val="22"/>
            <w:shd w:val="clear" w:color="auto" w:fill="FFFFFF"/>
          </w:rPr>
          <w:t>https://doi.org/10.1007/s00300-022-03088-3</w:t>
        </w:r>
      </w:hyperlink>
    </w:p>
    <w:p w14:paraId="732B6D72" w14:textId="6AC82299" w:rsidR="007F2C0E" w:rsidRDefault="007F2C0E" w:rsidP="003C4A60">
      <w:pPr>
        <w:shd w:val="clear" w:color="auto" w:fill="FFFFFF"/>
        <w:spacing w:after="150"/>
        <w:ind w:left="720" w:hanging="720"/>
        <w:rPr>
          <w:color w:val="000000"/>
        </w:rPr>
      </w:pPr>
      <w:r w:rsidRPr="006D50F0">
        <w:rPr>
          <w:bCs/>
          <w:color w:val="000000"/>
          <w:sz w:val="22"/>
          <w:szCs w:val="22"/>
        </w:rPr>
        <w:t>ROHAN, S. K., L. A. K. BARNETT, and N. CHARRIERE.</w:t>
      </w:r>
      <w:r>
        <w:rPr>
          <w:bCs/>
          <w:color w:val="000000"/>
        </w:rPr>
        <w:t xml:space="preserve"> </w:t>
      </w:r>
      <w:r w:rsidRPr="006D50F0">
        <w:rPr>
          <w:color w:val="000000"/>
          <w:sz w:val="22"/>
          <w:szCs w:val="22"/>
        </w:rPr>
        <w:t>2022. Evaluating approaches to estimating mean temperatures and cold pool area from Alaska Fisheries Science Center bottom trawl surveys of the eastern Bering Sea. U.S. Dep. Commer., NOAA Tech. Memo. NMFS-AFSC-456, 42 p. </w:t>
      </w:r>
      <w:hyperlink r:id="rId137" w:history="1">
        <w:r w:rsidRPr="006D50F0">
          <w:rPr>
            <w:color w:val="337AB7"/>
            <w:sz w:val="22"/>
            <w:szCs w:val="22"/>
            <w:u w:val="single"/>
          </w:rPr>
          <w:t>View Online</w:t>
        </w:r>
      </w:hyperlink>
      <w:r w:rsidRPr="006D50F0">
        <w:rPr>
          <w:color w:val="000000"/>
          <w:sz w:val="22"/>
          <w:szCs w:val="22"/>
        </w:rPr>
        <w:t>.</w:t>
      </w:r>
    </w:p>
    <w:p w14:paraId="6412A70C" w14:textId="77777777" w:rsidR="007F2C0E" w:rsidRDefault="007F2C0E" w:rsidP="003C4A60">
      <w:pPr>
        <w:shd w:val="clear" w:color="auto" w:fill="FFFFFF"/>
        <w:spacing w:after="150"/>
        <w:ind w:left="720" w:hanging="720"/>
        <w:rPr>
          <w:color w:val="000000"/>
        </w:rPr>
      </w:pPr>
      <w:r w:rsidRPr="006D50F0">
        <w:rPr>
          <w:bCs/>
          <w:color w:val="000000"/>
          <w:sz w:val="22"/>
          <w:szCs w:val="22"/>
        </w:rPr>
        <w:t>SEUNG, C. K., and S. MILLER.</w:t>
      </w:r>
      <w:r>
        <w:rPr>
          <w:bCs/>
          <w:color w:val="000000"/>
        </w:rPr>
        <w:t xml:space="preserve"> </w:t>
      </w:r>
      <w:r w:rsidRPr="006D50F0">
        <w:rPr>
          <w:color w:val="000000"/>
          <w:sz w:val="22"/>
          <w:szCs w:val="22"/>
        </w:rPr>
        <w:t>2022. Regional economic analysis for fishery-dependent communities in Southwest Alaska. U.S. Dep. Commer., NOAA Tech. Memo. NMFS-AFSC-444, 51 p. </w:t>
      </w:r>
      <w:hyperlink r:id="rId138" w:history="1">
        <w:r w:rsidRPr="006D50F0">
          <w:rPr>
            <w:color w:val="337AB7"/>
            <w:sz w:val="22"/>
            <w:szCs w:val="22"/>
            <w:u w:val="single"/>
          </w:rPr>
          <w:t xml:space="preserve">View </w:t>
        </w:r>
        <w:r w:rsidRPr="006D50F0">
          <w:rPr>
            <w:color w:val="337AB7"/>
            <w:sz w:val="22"/>
            <w:szCs w:val="22"/>
            <w:u w:val="single"/>
          </w:rPr>
          <w:lastRenderedPageBreak/>
          <w:t>Online</w:t>
        </w:r>
      </w:hyperlink>
      <w:r w:rsidRPr="006D50F0">
        <w:rPr>
          <w:color w:val="000000"/>
          <w:sz w:val="22"/>
          <w:szCs w:val="22"/>
        </w:rPr>
        <w:t>.</w:t>
      </w:r>
    </w:p>
    <w:p w14:paraId="3A9F6248" w14:textId="77777777" w:rsidR="007F2C0E" w:rsidRDefault="007F2C0E" w:rsidP="003C4A60">
      <w:pPr>
        <w:shd w:val="clear" w:color="auto" w:fill="FFFFFF"/>
        <w:spacing w:after="150"/>
        <w:ind w:left="720" w:hanging="720"/>
        <w:rPr>
          <w:color w:val="000000"/>
        </w:rPr>
      </w:pPr>
      <w:r w:rsidRPr="006D50F0">
        <w:rPr>
          <w:bCs/>
          <w:color w:val="000000"/>
          <w:sz w:val="22"/>
          <w:szCs w:val="22"/>
        </w:rPr>
        <w:t>SIWICKE, K.</w:t>
      </w:r>
      <w:r>
        <w:rPr>
          <w:bCs/>
          <w:color w:val="000000"/>
        </w:rPr>
        <w:t xml:space="preserve"> </w:t>
      </w:r>
      <w:r w:rsidRPr="006D50F0">
        <w:rPr>
          <w:color w:val="000000"/>
          <w:sz w:val="22"/>
          <w:szCs w:val="22"/>
        </w:rPr>
        <w:t>2022. Summary of temperature and depth recorder data from the Alaska Fisheries Science Center’s longline survey (2005–2021). U.S. Dep. Commer., NOAA Tech. Memo. NMFS-AFSC-437, 74 p. </w:t>
      </w:r>
      <w:hyperlink r:id="rId139" w:history="1">
        <w:r w:rsidRPr="006D50F0">
          <w:rPr>
            <w:color w:val="337AB7"/>
            <w:sz w:val="22"/>
            <w:szCs w:val="22"/>
            <w:u w:val="single"/>
          </w:rPr>
          <w:t>View Online</w:t>
        </w:r>
      </w:hyperlink>
      <w:r w:rsidRPr="006D50F0">
        <w:rPr>
          <w:color w:val="000000"/>
          <w:sz w:val="22"/>
          <w:szCs w:val="22"/>
        </w:rPr>
        <w:t>.</w:t>
      </w:r>
    </w:p>
    <w:p w14:paraId="0F8A45B7" w14:textId="77777777" w:rsidR="007F2C0E" w:rsidRDefault="007F2C0E" w:rsidP="003C4A60">
      <w:pPr>
        <w:shd w:val="clear" w:color="auto" w:fill="FFFFFF"/>
        <w:spacing w:after="150"/>
        <w:ind w:left="720" w:hanging="720"/>
        <w:rPr>
          <w:color w:val="000000"/>
        </w:rPr>
      </w:pPr>
      <w:r w:rsidRPr="006D50F0">
        <w:rPr>
          <w:bCs/>
          <w:color w:val="000000"/>
          <w:sz w:val="22"/>
          <w:szCs w:val="22"/>
        </w:rPr>
        <w:t>STEPHENS, J. D., and R. A. MCCONNAUGHEY.</w:t>
      </w:r>
      <w:r w:rsidRPr="006D50F0">
        <w:rPr>
          <w:color w:val="000000"/>
          <w:sz w:val="22"/>
          <w:szCs w:val="22"/>
        </w:rPr>
        <w:t> (</w:t>
      </w:r>
      <w:proofErr w:type="gramStart"/>
      <w:r w:rsidRPr="006D50F0">
        <w:rPr>
          <w:color w:val="000000"/>
          <w:sz w:val="22"/>
          <w:szCs w:val="22"/>
        </w:rPr>
        <w:t>editors</w:t>
      </w:r>
      <w:proofErr w:type="gramEnd"/>
      <w:r w:rsidRPr="006D50F0">
        <w:rPr>
          <w:color w:val="000000"/>
          <w:sz w:val="22"/>
          <w:szCs w:val="22"/>
        </w:rPr>
        <w:t>).</w:t>
      </w:r>
      <w:r>
        <w:rPr>
          <w:color w:val="000000"/>
        </w:rPr>
        <w:t xml:space="preserve"> </w:t>
      </w:r>
      <w:r w:rsidRPr="006D50F0">
        <w:rPr>
          <w:color w:val="000000"/>
          <w:sz w:val="22"/>
          <w:szCs w:val="22"/>
        </w:rPr>
        <w:t>2022. Bibliography: Northern Bering Sea. U.S. Dep. Commer., NOAA Tech. Memo. NMFS-AFSC-433, 156 p. </w:t>
      </w:r>
      <w:hyperlink r:id="rId140" w:history="1">
        <w:r w:rsidRPr="006D50F0">
          <w:rPr>
            <w:color w:val="337AB7"/>
            <w:sz w:val="22"/>
            <w:szCs w:val="22"/>
            <w:u w:val="single"/>
          </w:rPr>
          <w:t>View Online</w:t>
        </w:r>
      </w:hyperlink>
      <w:r w:rsidRPr="006D50F0">
        <w:rPr>
          <w:color w:val="000000"/>
          <w:sz w:val="22"/>
          <w:szCs w:val="22"/>
        </w:rPr>
        <w:t>.</w:t>
      </w:r>
    </w:p>
    <w:p w14:paraId="46A143FD" w14:textId="77777777" w:rsidR="007F2C0E" w:rsidRDefault="007F2C0E" w:rsidP="003C4A60">
      <w:pPr>
        <w:shd w:val="clear" w:color="auto" w:fill="FFFFFF"/>
        <w:spacing w:after="150"/>
        <w:ind w:left="720" w:hanging="720"/>
        <w:rPr>
          <w:color w:val="000000"/>
        </w:rPr>
      </w:pPr>
      <w:r w:rsidRPr="006D50F0">
        <w:rPr>
          <w:bCs/>
          <w:color w:val="000000"/>
          <w:sz w:val="22"/>
          <w:szCs w:val="22"/>
        </w:rPr>
        <w:t>SULLIVAN, J. Y., C. A. TRIBUZIO, and K. B. ECHAVE.</w:t>
      </w:r>
      <w:r>
        <w:rPr>
          <w:color w:val="000000"/>
        </w:rPr>
        <w:t xml:space="preserve"> </w:t>
      </w:r>
      <w:r w:rsidRPr="006D50F0">
        <w:rPr>
          <w:color w:val="000000"/>
          <w:sz w:val="22"/>
          <w:szCs w:val="22"/>
        </w:rPr>
        <w:t xml:space="preserve">2022. A review of available life history data and updated estimates of natural mortality for several rockfish species </w:t>
      </w:r>
      <w:r>
        <w:rPr>
          <w:color w:val="000000"/>
        </w:rPr>
        <w:t>i</w:t>
      </w:r>
      <w:r w:rsidRPr="006D50F0">
        <w:rPr>
          <w:color w:val="000000"/>
          <w:sz w:val="22"/>
          <w:szCs w:val="22"/>
        </w:rPr>
        <w:t>n Alaska. U.S. Dep. Commer., NOAA Tech. Memo. NMFS-AFSC-443, 45 p. </w:t>
      </w:r>
      <w:hyperlink r:id="rId141" w:history="1">
        <w:r w:rsidRPr="006D50F0">
          <w:rPr>
            <w:color w:val="337AB7"/>
            <w:sz w:val="22"/>
            <w:szCs w:val="22"/>
            <w:u w:val="single"/>
          </w:rPr>
          <w:t>View Online</w:t>
        </w:r>
      </w:hyperlink>
      <w:r w:rsidRPr="006D50F0">
        <w:rPr>
          <w:color w:val="000000"/>
          <w:sz w:val="22"/>
          <w:szCs w:val="22"/>
        </w:rPr>
        <w:t>.</w:t>
      </w:r>
    </w:p>
    <w:p w14:paraId="33BA17D4" w14:textId="77777777" w:rsidR="007F2C0E" w:rsidRDefault="007F2C0E" w:rsidP="003C4A60">
      <w:pPr>
        <w:shd w:val="clear" w:color="auto" w:fill="FFFFFF"/>
        <w:spacing w:after="150"/>
        <w:ind w:left="720" w:hanging="720"/>
        <w:rPr>
          <w:color w:val="000000"/>
        </w:rPr>
      </w:pPr>
      <w:r w:rsidRPr="006D50F0">
        <w:rPr>
          <w:bCs/>
          <w:color w:val="000000"/>
          <w:sz w:val="22"/>
          <w:szCs w:val="22"/>
        </w:rPr>
        <w:t>WHITTLE, J. A., C. M. KONDZELA, J. T. WATSON, P. D. BARRY, Hv. T. NGUYEN, E. M. YASUMIISHI, D. NICOLLS, and W. A. LARSON.</w:t>
      </w:r>
      <w:r>
        <w:rPr>
          <w:bCs/>
          <w:color w:val="000000"/>
        </w:rPr>
        <w:t xml:space="preserve"> </w:t>
      </w:r>
      <w:r w:rsidRPr="006D50F0">
        <w:rPr>
          <w:color w:val="000000"/>
          <w:sz w:val="22"/>
          <w:szCs w:val="22"/>
        </w:rPr>
        <w:t>2021. Genetic stock composition analysis of chum salmon from the prohibited species catch of the 2018 Bering Sea walleye pollock trawl fishery and Gulf of Alaska groundfish fisheries. U.S. Dep. Commer., NOAA Tech. Memo. NMFS-AFSC-420, 81 p. </w:t>
      </w:r>
      <w:hyperlink r:id="rId142" w:history="1">
        <w:r w:rsidRPr="006D50F0">
          <w:rPr>
            <w:color w:val="337AB7"/>
            <w:sz w:val="22"/>
            <w:szCs w:val="22"/>
            <w:u w:val="single"/>
          </w:rPr>
          <w:t>View Online</w:t>
        </w:r>
      </w:hyperlink>
      <w:r w:rsidRPr="006D50F0">
        <w:rPr>
          <w:color w:val="000000"/>
          <w:sz w:val="22"/>
          <w:szCs w:val="22"/>
        </w:rPr>
        <w:t>.</w:t>
      </w:r>
    </w:p>
    <w:p w14:paraId="0530EE78" w14:textId="77777777" w:rsidR="007F2C0E" w:rsidRDefault="007F2C0E" w:rsidP="003C4A60">
      <w:pPr>
        <w:shd w:val="clear" w:color="auto" w:fill="FFFFFF"/>
        <w:spacing w:after="150"/>
        <w:ind w:left="720" w:hanging="720"/>
        <w:rPr>
          <w:color w:val="000000"/>
        </w:rPr>
      </w:pPr>
      <w:r w:rsidRPr="006D50F0">
        <w:rPr>
          <w:bCs/>
          <w:color w:val="000000"/>
          <w:sz w:val="22"/>
          <w:szCs w:val="22"/>
        </w:rPr>
        <w:t>WHITTLE, J. A., C. M. KONDZELA, J. T. WATSON, P. D. BARRY, Hv. T. NGUYEN, E. M. YASUMIISHI, D. NICOLLS, and W. A. LARSON.</w:t>
      </w:r>
      <w:r>
        <w:rPr>
          <w:bCs/>
          <w:color w:val="000000"/>
        </w:rPr>
        <w:t xml:space="preserve"> </w:t>
      </w:r>
      <w:r w:rsidRPr="006D50F0">
        <w:rPr>
          <w:color w:val="000000"/>
          <w:sz w:val="22"/>
          <w:szCs w:val="22"/>
        </w:rPr>
        <w:t>2021. Genetic stock composition analysis of chum salmon from the prohibited species catch of the 2017 Bering Sea walleye pollock trawl fishery and Gulf of Alaska groundfish fisheries. U.S. Dep. Commer., NOAA Tech. Memo. NMFS-AFSC-419, 73 p. </w:t>
      </w:r>
      <w:hyperlink r:id="rId143" w:history="1">
        <w:r w:rsidRPr="006D50F0">
          <w:rPr>
            <w:color w:val="337AB7"/>
            <w:sz w:val="22"/>
            <w:szCs w:val="22"/>
            <w:u w:val="single"/>
          </w:rPr>
          <w:t>View Online</w:t>
        </w:r>
      </w:hyperlink>
      <w:r w:rsidRPr="006D50F0">
        <w:rPr>
          <w:color w:val="000000"/>
          <w:sz w:val="22"/>
          <w:szCs w:val="22"/>
        </w:rPr>
        <w:t>.</w:t>
      </w:r>
    </w:p>
    <w:p w14:paraId="290D675E" w14:textId="77777777" w:rsidR="00DE3EE8" w:rsidRPr="002B7E6B" w:rsidRDefault="00DE3EE8" w:rsidP="00DE3EE8">
      <w:pPr>
        <w:spacing w:before="240" w:after="240"/>
        <w:rPr>
          <w:sz w:val="22"/>
          <w:szCs w:val="22"/>
        </w:rPr>
      </w:pPr>
      <w:r w:rsidRPr="002B7E6B">
        <w:rPr>
          <w:sz w:val="22"/>
          <w:szCs w:val="22"/>
        </w:rPr>
        <w:br w:type="page"/>
      </w:r>
    </w:p>
    <w:p w14:paraId="024343EA" w14:textId="77777777" w:rsidR="00DE3EE8" w:rsidRPr="002B7E6B" w:rsidRDefault="00DE3EE8" w:rsidP="00DE3EE8">
      <w:pPr>
        <w:rPr>
          <w:sz w:val="22"/>
          <w:szCs w:val="22"/>
        </w:rPr>
      </w:pPr>
    </w:p>
    <w:p w14:paraId="6991156A" w14:textId="5719D528" w:rsidR="00DE3EE8" w:rsidRPr="002B7E6B" w:rsidRDefault="00DE3EE8" w:rsidP="002B7E6B">
      <w:pPr>
        <w:pStyle w:val="Heading2"/>
        <w:rPr>
          <w:rFonts w:cs="Times New Roman"/>
          <w:sz w:val="22"/>
          <w:szCs w:val="22"/>
        </w:rPr>
      </w:pPr>
      <w:bookmarkStart w:id="180" w:name="_Toc131503920"/>
      <w:r w:rsidRPr="002B7E6B">
        <w:rPr>
          <w:rFonts w:cs="Times New Roman"/>
          <w:sz w:val="22"/>
          <w:szCs w:val="22"/>
        </w:rPr>
        <w:t>APPENDIX I.  RACE ORGANIZATION CHART</w:t>
      </w:r>
      <w:bookmarkEnd w:id="180"/>
    </w:p>
    <w:p w14:paraId="7DEF6031" w14:textId="1F60B10F" w:rsidR="00DE3EE8" w:rsidRDefault="008C638A" w:rsidP="00DE3EE8">
      <w:pPr>
        <w:rPr>
          <w:sz w:val="22"/>
          <w:szCs w:val="22"/>
        </w:rPr>
      </w:pPr>
      <w:r>
        <w:rPr>
          <w:sz w:val="22"/>
          <w:szCs w:val="22"/>
        </w:rPr>
        <w:t>Science and Research Director, Bob Foy; Deputy Science and Research Director, Jeremy Rusin</w:t>
      </w:r>
    </w:p>
    <w:p w14:paraId="5B754D69" w14:textId="77777777" w:rsidR="008C638A" w:rsidRPr="002B7E6B" w:rsidRDefault="008C638A" w:rsidP="00DE3EE8">
      <w:pPr>
        <w:rPr>
          <w:sz w:val="22"/>
          <w:szCs w:val="22"/>
        </w:rPr>
      </w:pPr>
    </w:p>
    <w:p w14:paraId="634A4317" w14:textId="5665F9EC" w:rsidR="00DE3EE8" w:rsidRPr="002B7E6B" w:rsidRDefault="008C638A" w:rsidP="008C638A">
      <w:pPr>
        <w:jc w:val="center"/>
        <w:rPr>
          <w:sz w:val="22"/>
          <w:szCs w:val="22"/>
        </w:rPr>
      </w:pPr>
      <w:r>
        <w:rPr>
          <w:noProof/>
          <w:sz w:val="22"/>
          <w:szCs w:val="22"/>
        </w:rPr>
        <w:drawing>
          <wp:inline distT="0" distB="0" distL="0" distR="0" wp14:anchorId="2131C407" wp14:editId="7C0AA55D">
            <wp:extent cx="4056202" cy="4680857"/>
            <wp:effectExtent l="0" t="0" r="1905"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ACE.JPG"/>
                    <pic:cNvPicPr/>
                  </pic:nvPicPr>
                  <pic:blipFill>
                    <a:blip r:embed="rId144">
                      <a:extLst>
                        <a:ext uri="{28A0092B-C50C-407E-A947-70E740481C1C}">
                          <a14:useLocalDpi xmlns:a14="http://schemas.microsoft.com/office/drawing/2010/main" val="0"/>
                        </a:ext>
                      </a:extLst>
                    </a:blip>
                    <a:stretch>
                      <a:fillRect/>
                    </a:stretch>
                  </pic:blipFill>
                  <pic:spPr>
                    <a:xfrm>
                      <a:off x="0" y="0"/>
                      <a:ext cx="4081008" cy="4709483"/>
                    </a:xfrm>
                    <a:prstGeom prst="rect">
                      <a:avLst/>
                    </a:prstGeom>
                  </pic:spPr>
                </pic:pic>
              </a:graphicData>
            </a:graphic>
          </wp:inline>
        </w:drawing>
      </w:r>
    </w:p>
    <w:p w14:paraId="32FCBCF9" w14:textId="77777777" w:rsidR="00DE3EE8" w:rsidRPr="002B7E6B" w:rsidRDefault="00DE3EE8" w:rsidP="00DE3EE8">
      <w:pPr>
        <w:rPr>
          <w:sz w:val="22"/>
          <w:szCs w:val="22"/>
        </w:rPr>
      </w:pPr>
    </w:p>
    <w:p w14:paraId="24EA5A5A" w14:textId="1BED86C1" w:rsidR="00DE3EE8" w:rsidRPr="002B7E6B" w:rsidRDefault="00DE3EE8" w:rsidP="002B7E6B">
      <w:pPr>
        <w:pStyle w:val="Heading2"/>
        <w:rPr>
          <w:rFonts w:cs="Times New Roman"/>
          <w:sz w:val="22"/>
          <w:szCs w:val="22"/>
        </w:rPr>
      </w:pPr>
      <w:r w:rsidRPr="002B7E6B">
        <w:rPr>
          <w:rFonts w:cs="Times New Roman"/>
          <w:sz w:val="22"/>
          <w:szCs w:val="22"/>
        </w:rPr>
        <w:br w:type="page"/>
      </w:r>
      <w:bookmarkStart w:id="181" w:name="_Toc131503921"/>
      <w:r w:rsidRPr="002B7E6B">
        <w:rPr>
          <w:rFonts w:cs="Times New Roman"/>
          <w:sz w:val="22"/>
          <w:szCs w:val="22"/>
        </w:rPr>
        <w:lastRenderedPageBreak/>
        <w:t>APPENDIX II.  REFM ORGANIZATION CHART</w:t>
      </w:r>
      <w:bookmarkEnd w:id="181"/>
    </w:p>
    <w:p w14:paraId="1DFE4880" w14:textId="77777777" w:rsidR="008C638A" w:rsidRDefault="008C638A" w:rsidP="008C638A">
      <w:pPr>
        <w:rPr>
          <w:sz w:val="22"/>
          <w:szCs w:val="22"/>
        </w:rPr>
      </w:pPr>
      <w:r>
        <w:rPr>
          <w:sz w:val="22"/>
          <w:szCs w:val="22"/>
        </w:rPr>
        <w:t>Science and Research Director, Bob Foy; Deputy Science and Research Director, Jeremy Rusin</w:t>
      </w:r>
    </w:p>
    <w:p w14:paraId="4D98E385" w14:textId="77777777" w:rsidR="00DE3EE8" w:rsidRPr="002B7E6B" w:rsidRDefault="00DE3EE8" w:rsidP="00DE3EE8">
      <w:pPr>
        <w:rPr>
          <w:sz w:val="22"/>
          <w:szCs w:val="22"/>
        </w:rPr>
      </w:pPr>
    </w:p>
    <w:p w14:paraId="7D5D4153" w14:textId="52BAC117" w:rsidR="00DE3EE8" w:rsidRPr="002B7E6B" w:rsidRDefault="008C638A" w:rsidP="008C638A">
      <w:pPr>
        <w:jc w:val="center"/>
        <w:rPr>
          <w:sz w:val="22"/>
          <w:szCs w:val="22"/>
        </w:rPr>
      </w:pPr>
      <w:r>
        <w:rPr>
          <w:noProof/>
          <w:sz w:val="22"/>
          <w:szCs w:val="22"/>
        </w:rPr>
        <w:drawing>
          <wp:inline distT="0" distB="0" distL="0" distR="0" wp14:anchorId="618E6F56" wp14:editId="08C6D86F">
            <wp:extent cx="5892879" cy="476794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REFM.JPG"/>
                    <pic:cNvPicPr/>
                  </pic:nvPicPr>
                  <pic:blipFill>
                    <a:blip r:embed="rId145">
                      <a:extLst>
                        <a:ext uri="{28A0092B-C50C-407E-A947-70E740481C1C}">
                          <a14:useLocalDpi xmlns:a14="http://schemas.microsoft.com/office/drawing/2010/main" val="0"/>
                        </a:ext>
                      </a:extLst>
                    </a:blip>
                    <a:stretch>
                      <a:fillRect/>
                    </a:stretch>
                  </pic:blipFill>
                  <pic:spPr>
                    <a:xfrm>
                      <a:off x="0" y="0"/>
                      <a:ext cx="5912445" cy="4783774"/>
                    </a:xfrm>
                    <a:prstGeom prst="rect">
                      <a:avLst/>
                    </a:prstGeom>
                  </pic:spPr>
                </pic:pic>
              </a:graphicData>
            </a:graphic>
          </wp:inline>
        </w:drawing>
      </w:r>
    </w:p>
    <w:p w14:paraId="7DA00F73" w14:textId="196B785C" w:rsidR="00DE3EE8" w:rsidRDefault="00DE3EE8" w:rsidP="002B7E6B">
      <w:pPr>
        <w:pStyle w:val="Heading2"/>
        <w:rPr>
          <w:rFonts w:cs="Times New Roman"/>
          <w:sz w:val="22"/>
          <w:szCs w:val="22"/>
        </w:rPr>
      </w:pPr>
      <w:r w:rsidRPr="002B7E6B">
        <w:rPr>
          <w:rFonts w:cs="Times New Roman"/>
          <w:sz w:val="22"/>
          <w:szCs w:val="22"/>
        </w:rPr>
        <w:br w:type="page"/>
      </w:r>
      <w:bookmarkStart w:id="182" w:name="_Toc131503922"/>
      <w:r w:rsidRPr="002B7E6B">
        <w:rPr>
          <w:rFonts w:cs="Times New Roman"/>
          <w:sz w:val="22"/>
          <w:szCs w:val="22"/>
        </w:rPr>
        <w:lastRenderedPageBreak/>
        <w:t>APPENDIX III. AUKE BAY LABORATORY ORGANIZATIONAL CHART</w:t>
      </w:r>
      <w:bookmarkEnd w:id="182"/>
    </w:p>
    <w:p w14:paraId="3AADA7AF" w14:textId="77777777" w:rsidR="008C638A" w:rsidRDefault="008C638A" w:rsidP="008C638A">
      <w:pPr>
        <w:rPr>
          <w:sz w:val="22"/>
          <w:szCs w:val="22"/>
        </w:rPr>
      </w:pPr>
      <w:r>
        <w:rPr>
          <w:sz w:val="22"/>
          <w:szCs w:val="22"/>
        </w:rPr>
        <w:t>Science and Research Director, Bob Foy; Deputy Science and Research Director, Jeremy Rusin</w:t>
      </w:r>
    </w:p>
    <w:p w14:paraId="4AF52A7A" w14:textId="77777777" w:rsidR="008C638A" w:rsidRPr="008C638A" w:rsidRDefault="008C638A" w:rsidP="008C638A"/>
    <w:p w14:paraId="216926F5" w14:textId="22B75751" w:rsidR="00DE3EE8" w:rsidRPr="002B7E6B" w:rsidRDefault="008C638A" w:rsidP="008C638A">
      <w:pPr>
        <w:widowControl/>
        <w:jc w:val="center"/>
        <w:rPr>
          <w:sz w:val="22"/>
          <w:szCs w:val="22"/>
        </w:rPr>
      </w:pPr>
      <w:bookmarkStart w:id="183" w:name="_heading=h.kyrjpjpsgqz" w:colFirst="0" w:colLast="0"/>
      <w:bookmarkStart w:id="184" w:name="_heading=h.1xrdshw" w:colFirst="0" w:colLast="0"/>
      <w:bookmarkEnd w:id="183"/>
      <w:bookmarkEnd w:id="184"/>
      <w:r>
        <w:rPr>
          <w:noProof/>
          <w:sz w:val="22"/>
          <w:szCs w:val="22"/>
        </w:rPr>
        <w:drawing>
          <wp:inline distT="0" distB="0" distL="0" distR="0" wp14:anchorId="6E9D7E43" wp14:editId="5768DBBF">
            <wp:extent cx="5888955" cy="476794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BL.JPG"/>
                    <pic:cNvPicPr/>
                  </pic:nvPicPr>
                  <pic:blipFill>
                    <a:blip r:embed="rId146">
                      <a:extLst>
                        <a:ext uri="{28A0092B-C50C-407E-A947-70E740481C1C}">
                          <a14:useLocalDpi xmlns:a14="http://schemas.microsoft.com/office/drawing/2010/main" val="0"/>
                        </a:ext>
                      </a:extLst>
                    </a:blip>
                    <a:stretch>
                      <a:fillRect/>
                    </a:stretch>
                  </pic:blipFill>
                  <pic:spPr>
                    <a:xfrm>
                      <a:off x="0" y="0"/>
                      <a:ext cx="5911765" cy="4786411"/>
                    </a:xfrm>
                    <a:prstGeom prst="rect">
                      <a:avLst/>
                    </a:prstGeom>
                  </pic:spPr>
                </pic:pic>
              </a:graphicData>
            </a:graphic>
          </wp:inline>
        </w:drawing>
      </w:r>
    </w:p>
    <w:p w14:paraId="5A084B49" w14:textId="77777777" w:rsidR="00DE3EE8" w:rsidRPr="002B7E6B" w:rsidRDefault="00DE3EE8" w:rsidP="00DE3EE8">
      <w:pPr>
        <w:widowControl/>
        <w:rPr>
          <w:sz w:val="22"/>
          <w:szCs w:val="22"/>
        </w:rPr>
      </w:pPr>
      <w:r w:rsidRPr="002B7E6B">
        <w:rPr>
          <w:sz w:val="22"/>
          <w:szCs w:val="22"/>
        </w:rPr>
        <w:br w:type="page"/>
      </w:r>
    </w:p>
    <w:p w14:paraId="0B3D17E6" w14:textId="77777777" w:rsidR="00DE3EE8" w:rsidRPr="002B7E6B" w:rsidRDefault="00DE3EE8" w:rsidP="002B7E6B">
      <w:pPr>
        <w:pStyle w:val="Heading2"/>
        <w:rPr>
          <w:rFonts w:cs="Times New Roman"/>
          <w:sz w:val="22"/>
          <w:szCs w:val="22"/>
        </w:rPr>
      </w:pPr>
      <w:bookmarkStart w:id="185" w:name="_Toc131503923"/>
      <w:r w:rsidRPr="002B7E6B">
        <w:rPr>
          <w:rFonts w:cs="Times New Roman"/>
          <w:sz w:val="22"/>
          <w:szCs w:val="22"/>
        </w:rPr>
        <w:lastRenderedPageBreak/>
        <w:t>APPENDIX IV. FMA ORGANIZATIONAL CHART</w:t>
      </w:r>
      <w:bookmarkEnd w:id="185"/>
    </w:p>
    <w:p w14:paraId="7FB02F2A" w14:textId="77777777" w:rsidR="008C638A" w:rsidRDefault="008C638A" w:rsidP="008C638A">
      <w:pPr>
        <w:rPr>
          <w:sz w:val="22"/>
          <w:szCs w:val="22"/>
        </w:rPr>
      </w:pPr>
      <w:r>
        <w:rPr>
          <w:sz w:val="22"/>
          <w:szCs w:val="22"/>
        </w:rPr>
        <w:t>Science and Research Director, Bob Foy; Deputy Science and Research Director, Jeremy Rusin</w:t>
      </w:r>
    </w:p>
    <w:p w14:paraId="41CA8701" w14:textId="77777777" w:rsidR="00DE3EE8" w:rsidRPr="002B7E6B" w:rsidRDefault="00DE3EE8" w:rsidP="00DE3EE8">
      <w:pPr>
        <w:rPr>
          <w:sz w:val="22"/>
          <w:szCs w:val="22"/>
        </w:rPr>
      </w:pPr>
    </w:p>
    <w:p w14:paraId="2DC3E307" w14:textId="3EA89539" w:rsidR="00882ABC" w:rsidRPr="002B7E6B" w:rsidRDefault="008C638A" w:rsidP="008C638A">
      <w:pPr>
        <w:jc w:val="center"/>
        <w:rPr>
          <w:sz w:val="22"/>
          <w:szCs w:val="22"/>
        </w:rPr>
      </w:pPr>
      <w:r>
        <w:rPr>
          <w:noProof/>
          <w:sz w:val="22"/>
          <w:szCs w:val="22"/>
        </w:rPr>
        <w:drawing>
          <wp:inline distT="0" distB="0" distL="0" distR="0" wp14:anchorId="64717044" wp14:editId="12382895">
            <wp:extent cx="5903308" cy="3563258"/>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MA.JPG"/>
                    <pic:cNvPicPr/>
                  </pic:nvPicPr>
                  <pic:blipFill>
                    <a:blip r:embed="rId147">
                      <a:extLst>
                        <a:ext uri="{28A0092B-C50C-407E-A947-70E740481C1C}">
                          <a14:useLocalDpi xmlns:a14="http://schemas.microsoft.com/office/drawing/2010/main" val="0"/>
                        </a:ext>
                      </a:extLst>
                    </a:blip>
                    <a:stretch>
                      <a:fillRect/>
                    </a:stretch>
                  </pic:blipFill>
                  <pic:spPr>
                    <a:xfrm>
                      <a:off x="0" y="0"/>
                      <a:ext cx="5914084" cy="3569762"/>
                    </a:xfrm>
                    <a:prstGeom prst="rect">
                      <a:avLst/>
                    </a:prstGeom>
                  </pic:spPr>
                </pic:pic>
              </a:graphicData>
            </a:graphic>
          </wp:inline>
        </w:drawing>
      </w:r>
    </w:p>
    <w:sectPr w:rsidR="00882ABC" w:rsidRPr="002B7E6B">
      <w:footerReference w:type="default" r:id="rId14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E185060" w14:textId="77777777" w:rsidR="00B92709" w:rsidRDefault="00B92709" w:rsidP="00857050">
      <w:r>
        <w:separator/>
      </w:r>
    </w:p>
  </w:endnote>
  <w:endnote w:type="continuationSeparator" w:id="0">
    <w:p w14:paraId="63EAD0D7" w14:textId="77777777" w:rsidR="00B92709" w:rsidRDefault="00B92709" w:rsidP="008570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Gungsuh">
    <w:altName w:val="Times New Roman"/>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82434442"/>
      <w:docPartObj>
        <w:docPartGallery w:val="Page Numbers (Bottom of Page)"/>
        <w:docPartUnique/>
      </w:docPartObj>
    </w:sdtPr>
    <w:sdtEndPr>
      <w:rPr>
        <w:noProof/>
      </w:rPr>
    </w:sdtEndPr>
    <w:sdtContent>
      <w:p w14:paraId="2AB8CF15" w14:textId="05D0AD49" w:rsidR="00B92709" w:rsidRDefault="00B92709">
        <w:pPr>
          <w:pStyle w:val="Footer"/>
          <w:jc w:val="center"/>
        </w:pPr>
        <w:r>
          <w:fldChar w:fldCharType="begin"/>
        </w:r>
        <w:r>
          <w:instrText xml:space="preserve"> PAGE   \* MERGEFORMAT </w:instrText>
        </w:r>
        <w:r>
          <w:fldChar w:fldCharType="separate"/>
        </w:r>
        <w:r w:rsidR="00A44DE9">
          <w:rPr>
            <w:noProof/>
          </w:rPr>
          <w:t>98</w:t>
        </w:r>
        <w:r>
          <w:rPr>
            <w:noProof/>
          </w:rPr>
          <w:fldChar w:fldCharType="end"/>
        </w:r>
      </w:p>
    </w:sdtContent>
  </w:sdt>
  <w:p w14:paraId="2B7941C6" w14:textId="77777777" w:rsidR="00B92709" w:rsidRPr="00576E10" w:rsidRDefault="00B9270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615395E" w14:textId="77777777" w:rsidR="00B92709" w:rsidRDefault="00B92709" w:rsidP="00857050">
      <w:r>
        <w:separator/>
      </w:r>
    </w:p>
  </w:footnote>
  <w:footnote w:type="continuationSeparator" w:id="0">
    <w:p w14:paraId="3B87D758" w14:textId="77777777" w:rsidR="00B92709" w:rsidRDefault="00B92709" w:rsidP="00857050">
      <w:r>
        <w:continuationSeparator/>
      </w:r>
    </w:p>
  </w:footnote>
  <w:footnote w:id="1">
    <w:p w14:paraId="0868413E" w14:textId="77777777" w:rsidR="00B92709" w:rsidRDefault="00B92709" w:rsidP="00DE3EE8">
      <w:pPr>
        <w:rPr>
          <w:sz w:val="20"/>
          <w:szCs w:val="20"/>
        </w:rPr>
      </w:pPr>
      <w:r>
        <w:rPr>
          <w:vertAlign w:val="superscript"/>
        </w:rPr>
        <w:footnoteRef/>
      </w:r>
      <w:r>
        <w:rPr>
          <w:sz w:val="20"/>
          <w:szCs w:val="20"/>
        </w:rPr>
        <w:t xml:space="preserve"> </w:t>
      </w:r>
      <w:r>
        <w:t xml:space="preserve"> </w:t>
      </w:r>
      <w:hyperlink r:id="rId1">
        <w:r>
          <w:rPr>
            <w:color w:val="1155CC"/>
            <w:u w:val="single"/>
          </w:rPr>
          <w:t>https://www.fisheries.noaa.gov/insight/understanding-ecosystem-based-fisheries-management</w:t>
        </w:r>
      </w:hyperlink>
    </w:p>
  </w:footnote>
  <w:footnote w:id="2">
    <w:p w14:paraId="229B93F5" w14:textId="77777777" w:rsidR="00B92709" w:rsidRDefault="00B92709" w:rsidP="00DE3EE8">
      <w:pPr>
        <w:rPr>
          <w:sz w:val="20"/>
          <w:szCs w:val="20"/>
        </w:rPr>
      </w:pPr>
      <w:r>
        <w:rPr>
          <w:vertAlign w:val="superscript"/>
        </w:rPr>
        <w:footnoteRef/>
      </w:r>
      <w:r>
        <w:rPr>
          <w:sz w:val="20"/>
          <w:szCs w:val="20"/>
        </w:rPr>
        <w:t xml:space="preserve"> ICES (2023): Workshop on Unavoidable Survey Effort Reduction 2 (WKUSER2). ICES Scientific Reports. Report. https://doi.org/10.17895/ices.pub.22086845.v1</w:t>
      </w:r>
    </w:p>
  </w:footnote>
  <w:footnote w:id="3">
    <w:p w14:paraId="4587ECD4" w14:textId="77777777" w:rsidR="00B92709" w:rsidRDefault="00B92709" w:rsidP="00DE3EE8">
      <w:pPr>
        <w:pStyle w:val="FootnoteText"/>
      </w:pPr>
      <w:r>
        <w:rPr>
          <w:rStyle w:val="FootnoteReference"/>
        </w:rPr>
        <w:footnoteRef/>
      </w:r>
      <w:r>
        <w:t xml:space="preserve"> PSMFC Alaska Fisheries Information Network: </w:t>
      </w:r>
      <w:r w:rsidRPr="00950262">
        <w:t>https://akfin.psmfc.org/</w:t>
      </w:r>
    </w:p>
  </w:footnote>
  <w:footnote w:id="4">
    <w:p w14:paraId="0A955E28" w14:textId="77777777" w:rsidR="00B92709" w:rsidRDefault="00B92709" w:rsidP="00DE3EE8">
      <w:pPr>
        <w:pStyle w:val="FootnoteText"/>
      </w:pPr>
      <w:r>
        <w:rPr>
          <w:rStyle w:val="FootnoteReference"/>
        </w:rPr>
        <w:footnoteRef/>
      </w:r>
      <w:r>
        <w:t xml:space="preserve"> NMFS Fisheries One-Stop Shop: </w:t>
      </w:r>
      <w:r w:rsidRPr="00E70349">
        <w:t>https://www.fisheries.noaa.gov/foss/f?p=215:28</w:t>
      </w:r>
    </w:p>
  </w:footnote>
  <w:footnote w:id="5">
    <w:p w14:paraId="67C925E6" w14:textId="77777777" w:rsidR="00B92709" w:rsidRDefault="00B92709" w:rsidP="004F29FB">
      <w:r w:rsidRPr="004F29FB">
        <w:rPr>
          <w:rStyle w:val="FootnoteCharacters"/>
          <w:sz w:val="16"/>
          <w:szCs w:val="16"/>
        </w:rPr>
        <w:footnoteRef/>
      </w:r>
      <w:r>
        <w:rPr>
          <w:sz w:val="20"/>
          <w:szCs w:val="20"/>
        </w:rPr>
        <w:t xml:space="preserve"> Von Szalay, P.G. and N. Raring. 2020. Data Report: 2018 Aleutian Islands Bottom Trawl Survey. NOAA Technical Memorandum NMFS-AFSC-409, 175 p.</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448330C"/>
    <w:multiLevelType w:val="multilevel"/>
    <w:tmpl w:val="37AACA76"/>
    <w:lvl w:ilvl="0">
      <w:start w:val="1"/>
      <w:numFmt w:val="upperLetter"/>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15790389"/>
    <w:multiLevelType w:val="multilevel"/>
    <w:tmpl w:val="B580850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 w15:restartNumberingAfterBreak="0">
    <w:nsid w:val="2BAA4A47"/>
    <w:multiLevelType w:val="multilevel"/>
    <w:tmpl w:val="936E8A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343061A7"/>
    <w:multiLevelType w:val="multilevel"/>
    <w:tmpl w:val="06F404A0"/>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 w15:restartNumberingAfterBreak="0">
    <w:nsid w:val="49FF715E"/>
    <w:multiLevelType w:val="multilevel"/>
    <w:tmpl w:val="EEF8484E"/>
    <w:lvl w:ilvl="0">
      <w:start w:val="1"/>
      <w:numFmt w:val="decimal"/>
      <w:lvlText w:val="%1."/>
      <w:lvlJc w:val="left"/>
      <w:pPr>
        <w:ind w:left="19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543C5273"/>
    <w:multiLevelType w:val="multilevel"/>
    <w:tmpl w:val="A684B47A"/>
    <w:lvl w:ilvl="0">
      <w:start w:val="1"/>
      <w:numFmt w:val="upperLetter"/>
      <w:lvlText w:val="%1."/>
      <w:lvlJc w:val="left"/>
      <w:pPr>
        <w:ind w:left="3420" w:hanging="360"/>
      </w:pPr>
    </w:lvl>
    <w:lvl w:ilvl="1">
      <w:start w:val="2"/>
      <w:numFmt w:val="decimal"/>
      <w:lvlText w:val="%2."/>
      <w:lvlJc w:val="left"/>
      <w:pPr>
        <w:ind w:left="198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610E2593"/>
    <w:multiLevelType w:val="multilevel"/>
    <w:tmpl w:val="65EEC3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67B26358"/>
    <w:multiLevelType w:val="multilevel"/>
    <w:tmpl w:val="FE603112"/>
    <w:lvl w:ilvl="0">
      <w:start w:val="1"/>
      <w:numFmt w:val="decimal"/>
      <w:lvlText w:val="%1."/>
      <w:lvlJc w:val="left"/>
      <w:pPr>
        <w:ind w:left="1800" w:hanging="360"/>
      </w:p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8" w15:restartNumberingAfterBreak="0">
    <w:nsid w:val="73F5565A"/>
    <w:multiLevelType w:val="multilevel"/>
    <w:tmpl w:val="FDF89AD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4"/>
  </w:num>
  <w:num w:numId="2">
    <w:abstractNumId w:val="2"/>
  </w:num>
  <w:num w:numId="3">
    <w:abstractNumId w:val="5"/>
  </w:num>
  <w:num w:numId="4">
    <w:abstractNumId w:val="0"/>
  </w:num>
  <w:num w:numId="5">
    <w:abstractNumId w:val="7"/>
  </w:num>
  <w:num w:numId="6">
    <w:abstractNumId w:val="8"/>
  </w:num>
  <w:num w:numId="7">
    <w:abstractNumId w:val="3"/>
  </w:num>
  <w:num w:numId="8">
    <w:abstractNumId w:val="6"/>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2ABC"/>
    <w:rsid w:val="000107EF"/>
    <w:rsid w:val="00012650"/>
    <w:rsid w:val="00017EC4"/>
    <w:rsid w:val="00102E51"/>
    <w:rsid w:val="001312D2"/>
    <w:rsid w:val="00162B24"/>
    <w:rsid w:val="001846FA"/>
    <w:rsid w:val="001E128C"/>
    <w:rsid w:val="002140E8"/>
    <w:rsid w:val="0024271A"/>
    <w:rsid w:val="002B7E6B"/>
    <w:rsid w:val="002C1E2B"/>
    <w:rsid w:val="003C4A60"/>
    <w:rsid w:val="004F29FB"/>
    <w:rsid w:val="00576E10"/>
    <w:rsid w:val="005A5ABD"/>
    <w:rsid w:val="005C77E5"/>
    <w:rsid w:val="005D5E55"/>
    <w:rsid w:val="00670053"/>
    <w:rsid w:val="00722E05"/>
    <w:rsid w:val="00744885"/>
    <w:rsid w:val="007D7588"/>
    <w:rsid w:val="007F2C0E"/>
    <w:rsid w:val="00804E1A"/>
    <w:rsid w:val="00833AE2"/>
    <w:rsid w:val="00836085"/>
    <w:rsid w:val="00841BD4"/>
    <w:rsid w:val="00857050"/>
    <w:rsid w:val="008609B7"/>
    <w:rsid w:val="00877217"/>
    <w:rsid w:val="00882ABC"/>
    <w:rsid w:val="008B6A44"/>
    <w:rsid w:val="008C5A5C"/>
    <w:rsid w:val="008C638A"/>
    <w:rsid w:val="008E1B78"/>
    <w:rsid w:val="008F42F1"/>
    <w:rsid w:val="008F75DB"/>
    <w:rsid w:val="0092772A"/>
    <w:rsid w:val="009E6D34"/>
    <w:rsid w:val="00A24238"/>
    <w:rsid w:val="00A44DE9"/>
    <w:rsid w:val="00A8025A"/>
    <w:rsid w:val="00AB0D0C"/>
    <w:rsid w:val="00AB6C04"/>
    <w:rsid w:val="00B05625"/>
    <w:rsid w:val="00B92709"/>
    <w:rsid w:val="00BB7140"/>
    <w:rsid w:val="00BD2341"/>
    <w:rsid w:val="00C33569"/>
    <w:rsid w:val="00C73735"/>
    <w:rsid w:val="00C80760"/>
    <w:rsid w:val="00CC4D6D"/>
    <w:rsid w:val="00D81716"/>
    <w:rsid w:val="00DB463A"/>
    <w:rsid w:val="00DC6ED0"/>
    <w:rsid w:val="00DE3EE8"/>
    <w:rsid w:val="00E26C52"/>
    <w:rsid w:val="00E36B47"/>
    <w:rsid w:val="00E404E3"/>
    <w:rsid w:val="00EA25B4"/>
    <w:rsid w:val="00FC1D9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0EC60564"/>
  <w15:chartTrackingRefBased/>
  <w15:docId w15:val="{ADC04D00-9F4F-49FD-A867-7F30B913F0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8C638A"/>
    <w:pPr>
      <w:widowControl w:val="0"/>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162B24"/>
    <w:pPr>
      <w:keepNext/>
      <w:keepLines/>
      <w:spacing w:before="40" w:after="60" w:line="360" w:lineRule="auto"/>
      <w:outlineLvl w:val="0"/>
    </w:pPr>
    <w:rPr>
      <w:rFonts w:eastAsiaTheme="majorEastAsia" w:cstheme="majorBidi"/>
      <w:b/>
      <w:caps/>
      <w:szCs w:val="32"/>
    </w:rPr>
  </w:style>
  <w:style w:type="paragraph" w:styleId="Heading2">
    <w:name w:val="heading 2"/>
    <w:basedOn w:val="Normal"/>
    <w:next w:val="Normal"/>
    <w:link w:val="Heading2Char"/>
    <w:unhideWhenUsed/>
    <w:qFormat/>
    <w:rsid w:val="002B7E6B"/>
    <w:pPr>
      <w:keepNext/>
      <w:keepLines/>
      <w:spacing w:before="60" w:after="40" w:line="360" w:lineRule="auto"/>
      <w:outlineLvl w:val="1"/>
    </w:pPr>
    <w:rPr>
      <w:rFonts w:eastAsiaTheme="majorEastAsia" w:cstheme="majorBidi"/>
      <w:szCs w:val="26"/>
      <w:u w:val="single"/>
    </w:rPr>
  </w:style>
  <w:style w:type="paragraph" w:styleId="Heading3">
    <w:name w:val="heading 3"/>
    <w:basedOn w:val="Normal"/>
    <w:next w:val="Normal"/>
    <w:link w:val="Heading3Char"/>
    <w:unhideWhenUsed/>
    <w:qFormat/>
    <w:rsid w:val="00162B24"/>
    <w:pPr>
      <w:keepNext/>
      <w:keepLines/>
      <w:spacing w:before="40" w:after="40"/>
      <w:outlineLvl w:val="2"/>
    </w:pPr>
    <w:rPr>
      <w:rFonts w:eastAsiaTheme="majorEastAsia" w:cstheme="majorBidi"/>
      <w:b/>
    </w:rPr>
  </w:style>
  <w:style w:type="paragraph" w:styleId="Heading4">
    <w:name w:val="heading 4"/>
    <w:basedOn w:val="Normal"/>
    <w:next w:val="Normal"/>
    <w:link w:val="Heading4Char"/>
    <w:rsid w:val="00841BD4"/>
    <w:pPr>
      <w:outlineLvl w:val="3"/>
    </w:pPr>
    <w:rPr>
      <w:sz w:val="22"/>
      <w:u w:val="single"/>
    </w:rPr>
  </w:style>
  <w:style w:type="paragraph" w:styleId="Heading5">
    <w:name w:val="heading 5"/>
    <w:basedOn w:val="Normal"/>
    <w:next w:val="Normal"/>
    <w:link w:val="Heading5Char"/>
    <w:rsid w:val="00DE3EE8"/>
    <w:pPr>
      <w:outlineLvl w:val="4"/>
    </w:pPr>
    <w:rPr>
      <w:i/>
    </w:rPr>
  </w:style>
  <w:style w:type="paragraph" w:styleId="Heading6">
    <w:name w:val="heading 6"/>
    <w:basedOn w:val="Normal"/>
    <w:next w:val="Normal"/>
    <w:link w:val="Heading6Char"/>
    <w:rsid w:val="00DE3EE8"/>
    <w:pPr>
      <w:outlineLvl w:val="5"/>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57050"/>
    <w:pPr>
      <w:tabs>
        <w:tab w:val="center" w:pos="4680"/>
        <w:tab w:val="right" w:pos="9360"/>
      </w:tabs>
    </w:pPr>
  </w:style>
  <w:style w:type="character" w:customStyle="1" w:styleId="HeaderChar">
    <w:name w:val="Header Char"/>
    <w:basedOn w:val="DefaultParagraphFont"/>
    <w:link w:val="Header"/>
    <w:uiPriority w:val="99"/>
    <w:rsid w:val="00857050"/>
  </w:style>
  <w:style w:type="paragraph" w:styleId="Footer">
    <w:name w:val="footer"/>
    <w:basedOn w:val="Normal"/>
    <w:link w:val="FooterChar"/>
    <w:uiPriority w:val="99"/>
    <w:unhideWhenUsed/>
    <w:rsid w:val="00857050"/>
    <w:pPr>
      <w:tabs>
        <w:tab w:val="center" w:pos="4680"/>
        <w:tab w:val="right" w:pos="9360"/>
      </w:tabs>
    </w:pPr>
  </w:style>
  <w:style w:type="character" w:customStyle="1" w:styleId="FooterChar">
    <w:name w:val="Footer Char"/>
    <w:basedOn w:val="DefaultParagraphFont"/>
    <w:link w:val="Footer"/>
    <w:uiPriority w:val="99"/>
    <w:rsid w:val="00857050"/>
  </w:style>
  <w:style w:type="paragraph" w:styleId="Caption">
    <w:name w:val="caption"/>
    <w:basedOn w:val="Normal"/>
    <w:next w:val="Normal"/>
    <w:uiPriority w:val="35"/>
    <w:unhideWhenUsed/>
    <w:qFormat/>
    <w:rsid w:val="00BB7140"/>
    <w:pPr>
      <w:spacing w:after="200"/>
    </w:pPr>
    <w:rPr>
      <w:iCs/>
      <w:szCs w:val="18"/>
    </w:rPr>
  </w:style>
  <w:style w:type="character" w:customStyle="1" w:styleId="Heading1Char">
    <w:name w:val="Heading 1 Char"/>
    <w:basedOn w:val="DefaultParagraphFont"/>
    <w:link w:val="Heading1"/>
    <w:rsid w:val="00162B24"/>
    <w:rPr>
      <w:rFonts w:ascii="Times New Roman" w:eastAsiaTheme="majorEastAsia" w:hAnsi="Times New Roman" w:cstheme="majorBidi"/>
      <w:b/>
      <w:caps/>
      <w:szCs w:val="32"/>
    </w:rPr>
  </w:style>
  <w:style w:type="character" w:customStyle="1" w:styleId="Heading2Char">
    <w:name w:val="Heading 2 Char"/>
    <w:basedOn w:val="DefaultParagraphFont"/>
    <w:link w:val="Heading2"/>
    <w:rsid w:val="002B7E6B"/>
    <w:rPr>
      <w:rFonts w:ascii="Times New Roman" w:eastAsiaTheme="majorEastAsia" w:hAnsi="Times New Roman" w:cstheme="majorBidi"/>
      <w:sz w:val="24"/>
      <w:szCs w:val="26"/>
      <w:u w:val="single"/>
    </w:rPr>
  </w:style>
  <w:style w:type="character" w:customStyle="1" w:styleId="Heading3Char">
    <w:name w:val="Heading 3 Char"/>
    <w:basedOn w:val="DefaultParagraphFont"/>
    <w:link w:val="Heading3"/>
    <w:rsid w:val="00162B24"/>
    <w:rPr>
      <w:rFonts w:ascii="Times New Roman" w:eastAsiaTheme="majorEastAsia" w:hAnsi="Times New Roman" w:cstheme="majorBidi"/>
      <w:b/>
      <w:szCs w:val="24"/>
    </w:rPr>
  </w:style>
  <w:style w:type="character" w:customStyle="1" w:styleId="Heading4Char">
    <w:name w:val="Heading 4 Char"/>
    <w:basedOn w:val="DefaultParagraphFont"/>
    <w:link w:val="Heading4"/>
    <w:rsid w:val="00841BD4"/>
    <w:rPr>
      <w:rFonts w:ascii="Times New Roman" w:eastAsia="Times New Roman" w:hAnsi="Times New Roman" w:cs="Times New Roman"/>
      <w:szCs w:val="24"/>
      <w:u w:val="single"/>
    </w:rPr>
  </w:style>
  <w:style w:type="character" w:customStyle="1" w:styleId="Heading5Char">
    <w:name w:val="Heading 5 Char"/>
    <w:basedOn w:val="DefaultParagraphFont"/>
    <w:link w:val="Heading5"/>
    <w:rsid w:val="00DE3EE8"/>
    <w:rPr>
      <w:rFonts w:ascii="Times New Roman" w:eastAsia="Times New Roman" w:hAnsi="Times New Roman" w:cs="Times New Roman"/>
      <w:i/>
      <w:sz w:val="24"/>
      <w:szCs w:val="24"/>
    </w:rPr>
  </w:style>
  <w:style w:type="character" w:customStyle="1" w:styleId="Heading6Char">
    <w:name w:val="Heading 6 Char"/>
    <w:basedOn w:val="DefaultParagraphFont"/>
    <w:link w:val="Heading6"/>
    <w:rsid w:val="00DE3EE8"/>
    <w:rPr>
      <w:rFonts w:ascii="Times New Roman" w:eastAsia="Times New Roman" w:hAnsi="Times New Roman" w:cs="Times New Roman"/>
      <w:b/>
      <w:sz w:val="24"/>
      <w:szCs w:val="24"/>
    </w:rPr>
  </w:style>
  <w:style w:type="paragraph" w:styleId="Title">
    <w:name w:val="Title"/>
    <w:basedOn w:val="Normal"/>
    <w:next w:val="Normal"/>
    <w:link w:val="TitleChar"/>
    <w:rsid w:val="00DE3EE8"/>
    <w:pPr>
      <w:spacing w:after="240"/>
      <w:jc w:val="center"/>
    </w:pPr>
    <w:rPr>
      <w:b/>
    </w:rPr>
  </w:style>
  <w:style w:type="character" w:customStyle="1" w:styleId="TitleChar">
    <w:name w:val="Title Char"/>
    <w:basedOn w:val="DefaultParagraphFont"/>
    <w:link w:val="Title"/>
    <w:rsid w:val="00DE3EE8"/>
    <w:rPr>
      <w:rFonts w:ascii="Times New Roman" w:eastAsia="Times New Roman" w:hAnsi="Times New Roman" w:cs="Times New Roman"/>
      <w:b/>
      <w:sz w:val="24"/>
      <w:szCs w:val="24"/>
    </w:rPr>
  </w:style>
  <w:style w:type="paragraph" w:styleId="Subtitle">
    <w:name w:val="Subtitle"/>
    <w:basedOn w:val="Normal"/>
    <w:next w:val="Normal"/>
    <w:link w:val="SubtitleChar"/>
    <w:rsid w:val="00DE3EE8"/>
    <w:pPr>
      <w:spacing w:after="60"/>
      <w:jc w:val="center"/>
    </w:pPr>
    <w:rPr>
      <w:rFonts w:ascii="Cambria" w:eastAsia="Cambria" w:hAnsi="Cambria" w:cs="Cambria"/>
    </w:rPr>
  </w:style>
  <w:style w:type="character" w:customStyle="1" w:styleId="SubtitleChar">
    <w:name w:val="Subtitle Char"/>
    <w:basedOn w:val="DefaultParagraphFont"/>
    <w:link w:val="Subtitle"/>
    <w:rsid w:val="00DE3EE8"/>
    <w:rPr>
      <w:rFonts w:ascii="Cambria" w:eastAsia="Cambria" w:hAnsi="Cambria" w:cs="Cambria"/>
      <w:sz w:val="24"/>
      <w:szCs w:val="24"/>
    </w:rPr>
  </w:style>
  <w:style w:type="paragraph" w:styleId="TOC1">
    <w:name w:val="toc 1"/>
    <w:basedOn w:val="Normal"/>
    <w:next w:val="Normal"/>
    <w:autoRedefine/>
    <w:uiPriority w:val="39"/>
    <w:unhideWhenUsed/>
    <w:rsid w:val="00DE3EE8"/>
    <w:pPr>
      <w:spacing w:after="100"/>
    </w:pPr>
  </w:style>
  <w:style w:type="paragraph" w:styleId="TOC2">
    <w:name w:val="toc 2"/>
    <w:basedOn w:val="Normal"/>
    <w:next w:val="Normal"/>
    <w:autoRedefine/>
    <w:uiPriority w:val="39"/>
    <w:unhideWhenUsed/>
    <w:rsid w:val="00DE3EE8"/>
    <w:pPr>
      <w:spacing w:after="100"/>
      <w:ind w:left="240"/>
    </w:pPr>
  </w:style>
  <w:style w:type="paragraph" w:styleId="TOC3">
    <w:name w:val="toc 3"/>
    <w:basedOn w:val="Normal"/>
    <w:next w:val="Normal"/>
    <w:autoRedefine/>
    <w:uiPriority w:val="39"/>
    <w:unhideWhenUsed/>
    <w:rsid w:val="00DE3EE8"/>
    <w:pPr>
      <w:spacing w:after="100"/>
      <w:ind w:left="480"/>
    </w:pPr>
  </w:style>
  <w:style w:type="paragraph" w:styleId="TOC4">
    <w:name w:val="toc 4"/>
    <w:basedOn w:val="Normal"/>
    <w:next w:val="Normal"/>
    <w:autoRedefine/>
    <w:uiPriority w:val="39"/>
    <w:unhideWhenUsed/>
    <w:rsid w:val="00DE3EE8"/>
    <w:pPr>
      <w:spacing w:after="100"/>
      <w:ind w:left="720"/>
    </w:pPr>
  </w:style>
  <w:style w:type="paragraph" w:styleId="TOC5">
    <w:name w:val="toc 5"/>
    <w:basedOn w:val="Normal"/>
    <w:next w:val="Normal"/>
    <w:autoRedefine/>
    <w:uiPriority w:val="39"/>
    <w:unhideWhenUsed/>
    <w:rsid w:val="0024271A"/>
    <w:pPr>
      <w:tabs>
        <w:tab w:val="right" w:pos="9350"/>
      </w:tabs>
      <w:spacing w:after="100"/>
      <w:ind w:left="960"/>
    </w:pPr>
  </w:style>
  <w:style w:type="paragraph" w:styleId="TOC6">
    <w:name w:val="toc 6"/>
    <w:basedOn w:val="Normal"/>
    <w:next w:val="Normal"/>
    <w:autoRedefine/>
    <w:uiPriority w:val="39"/>
    <w:unhideWhenUsed/>
    <w:rsid w:val="00DE3EE8"/>
    <w:pPr>
      <w:widowControl/>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DE3EE8"/>
    <w:pPr>
      <w:widowControl/>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DE3EE8"/>
    <w:pPr>
      <w:widowControl/>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DE3EE8"/>
    <w:pPr>
      <w:widowControl/>
      <w:spacing w:after="100" w:line="259" w:lineRule="auto"/>
      <w:ind w:left="1760"/>
    </w:pPr>
    <w:rPr>
      <w:rFonts w:asciiTheme="minorHAnsi" w:eastAsiaTheme="minorEastAsia" w:hAnsiTheme="minorHAnsi" w:cstheme="minorBidi"/>
      <w:sz w:val="22"/>
      <w:szCs w:val="22"/>
    </w:rPr>
  </w:style>
  <w:style w:type="character" w:styleId="Hyperlink">
    <w:name w:val="Hyperlink"/>
    <w:basedOn w:val="DefaultParagraphFont"/>
    <w:uiPriority w:val="99"/>
    <w:unhideWhenUsed/>
    <w:rsid w:val="00DE3EE8"/>
    <w:rPr>
      <w:color w:val="0563C1" w:themeColor="hyperlink"/>
      <w:u w:val="single"/>
    </w:rPr>
  </w:style>
  <w:style w:type="paragraph" w:styleId="CommentText">
    <w:name w:val="annotation text"/>
    <w:basedOn w:val="Normal"/>
    <w:link w:val="CommentTextChar"/>
    <w:uiPriority w:val="99"/>
    <w:semiHidden/>
    <w:unhideWhenUsed/>
    <w:rsid w:val="00DE3EE8"/>
    <w:rPr>
      <w:sz w:val="20"/>
      <w:szCs w:val="20"/>
    </w:rPr>
  </w:style>
  <w:style w:type="character" w:customStyle="1" w:styleId="CommentTextChar">
    <w:name w:val="Comment Text Char"/>
    <w:basedOn w:val="DefaultParagraphFont"/>
    <w:link w:val="CommentText"/>
    <w:uiPriority w:val="99"/>
    <w:semiHidden/>
    <w:rsid w:val="00DE3EE8"/>
    <w:rPr>
      <w:rFonts w:ascii="Times New Roman" w:eastAsia="Times New Roman" w:hAnsi="Times New Roman" w:cs="Times New Roman"/>
      <w:sz w:val="20"/>
      <w:szCs w:val="20"/>
    </w:rPr>
  </w:style>
  <w:style w:type="character" w:styleId="CommentReference">
    <w:name w:val="annotation reference"/>
    <w:basedOn w:val="DefaultParagraphFont"/>
    <w:uiPriority w:val="99"/>
    <w:semiHidden/>
    <w:unhideWhenUsed/>
    <w:rsid w:val="00DE3EE8"/>
    <w:rPr>
      <w:sz w:val="16"/>
      <w:szCs w:val="16"/>
    </w:rPr>
  </w:style>
  <w:style w:type="paragraph" w:styleId="BalloonText">
    <w:name w:val="Balloon Text"/>
    <w:basedOn w:val="Normal"/>
    <w:link w:val="BalloonTextChar"/>
    <w:uiPriority w:val="99"/>
    <w:semiHidden/>
    <w:unhideWhenUsed/>
    <w:rsid w:val="00DE3EE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E3EE8"/>
    <w:rPr>
      <w:rFonts w:ascii="Segoe UI" w:eastAsia="Times New Roman" w:hAnsi="Segoe UI" w:cs="Segoe UI"/>
      <w:sz w:val="18"/>
      <w:szCs w:val="18"/>
    </w:rPr>
  </w:style>
  <w:style w:type="paragraph" w:styleId="FootnoteText">
    <w:name w:val="footnote text"/>
    <w:basedOn w:val="Normal"/>
    <w:link w:val="FootnoteTextChar"/>
    <w:uiPriority w:val="99"/>
    <w:semiHidden/>
    <w:unhideWhenUsed/>
    <w:rsid w:val="00DE3EE8"/>
    <w:rPr>
      <w:sz w:val="20"/>
      <w:szCs w:val="20"/>
    </w:rPr>
  </w:style>
  <w:style w:type="character" w:customStyle="1" w:styleId="FootnoteTextChar">
    <w:name w:val="Footnote Text Char"/>
    <w:basedOn w:val="DefaultParagraphFont"/>
    <w:link w:val="FootnoteText"/>
    <w:uiPriority w:val="99"/>
    <w:semiHidden/>
    <w:rsid w:val="00DE3EE8"/>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DE3EE8"/>
    <w:rPr>
      <w:vertAlign w:val="superscript"/>
    </w:rPr>
  </w:style>
  <w:style w:type="paragraph" w:styleId="ListParagraph">
    <w:name w:val="List Paragraph"/>
    <w:basedOn w:val="Normal"/>
    <w:uiPriority w:val="34"/>
    <w:qFormat/>
    <w:rsid w:val="008F75DB"/>
    <w:pPr>
      <w:ind w:left="720"/>
      <w:contextualSpacing/>
    </w:pPr>
  </w:style>
  <w:style w:type="character" w:customStyle="1" w:styleId="FootnoteCharacters">
    <w:name w:val="Footnote Characters"/>
    <w:basedOn w:val="DefaultParagraphFont"/>
    <w:qFormat/>
    <w:rsid w:val="004F29FB"/>
  </w:style>
  <w:style w:type="character" w:customStyle="1" w:styleId="InternetLink">
    <w:name w:val="Internet Link"/>
    <w:basedOn w:val="DefaultParagraphFont"/>
    <w:uiPriority w:val="99"/>
    <w:unhideWhenUsed/>
    <w:rsid w:val="004F29FB"/>
    <w:rPr>
      <w:color w:val="0563C1" w:themeColor="hyperlink"/>
      <w:u w:val="single"/>
    </w:rPr>
  </w:style>
  <w:style w:type="character" w:customStyle="1" w:styleId="FootnoteAnchor">
    <w:name w:val="Footnote Anchor"/>
    <w:rsid w:val="004F29FB"/>
    <w:rPr>
      <w:vertAlign w:val="superscript"/>
    </w:rPr>
  </w:style>
  <w:style w:type="paragraph" w:styleId="NormalWeb">
    <w:name w:val="Normal (Web)"/>
    <w:basedOn w:val="Normal"/>
    <w:uiPriority w:val="99"/>
    <w:semiHidden/>
    <w:unhideWhenUsed/>
    <w:rsid w:val="008E1B78"/>
    <w:pPr>
      <w:widowControl/>
      <w:spacing w:before="100" w:beforeAutospacing="1" w:after="100" w:afterAutospacing="1"/>
    </w:pPr>
  </w:style>
  <w:style w:type="paragraph" w:styleId="CommentSubject">
    <w:name w:val="annotation subject"/>
    <w:basedOn w:val="CommentText"/>
    <w:next w:val="CommentText"/>
    <w:link w:val="CommentSubjectChar"/>
    <w:uiPriority w:val="99"/>
    <w:semiHidden/>
    <w:unhideWhenUsed/>
    <w:rsid w:val="00836085"/>
    <w:rPr>
      <w:b/>
      <w:bCs/>
    </w:rPr>
  </w:style>
  <w:style w:type="character" w:customStyle="1" w:styleId="CommentSubjectChar">
    <w:name w:val="Comment Subject Char"/>
    <w:basedOn w:val="CommentTextChar"/>
    <w:link w:val="CommentSubject"/>
    <w:uiPriority w:val="99"/>
    <w:semiHidden/>
    <w:rsid w:val="00836085"/>
    <w:rPr>
      <w:rFonts w:ascii="Times New Roman" w:eastAsia="Times New Roman" w:hAnsi="Times New Roman" w:cs="Times New Roman"/>
      <w:b/>
      <w:bCs/>
      <w:sz w:val="20"/>
      <w:szCs w:val="20"/>
    </w:rPr>
  </w:style>
  <w:style w:type="paragraph" w:customStyle="1" w:styleId="Default">
    <w:name w:val="Default"/>
    <w:rsid w:val="009E6D34"/>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2806254">
      <w:bodyDiv w:val="1"/>
      <w:marLeft w:val="0"/>
      <w:marRight w:val="0"/>
      <w:marTop w:val="0"/>
      <w:marBottom w:val="0"/>
      <w:divBdr>
        <w:top w:val="none" w:sz="0" w:space="0" w:color="auto"/>
        <w:left w:val="none" w:sz="0" w:space="0" w:color="auto"/>
        <w:bottom w:val="none" w:sz="0" w:space="0" w:color="auto"/>
        <w:right w:val="none" w:sz="0" w:space="0" w:color="auto"/>
      </w:divBdr>
    </w:div>
    <w:div w:id="1273243598">
      <w:bodyDiv w:val="1"/>
      <w:marLeft w:val="0"/>
      <w:marRight w:val="0"/>
      <w:marTop w:val="0"/>
      <w:marBottom w:val="0"/>
      <w:divBdr>
        <w:top w:val="none" w:sz="0" w:space="0" w:color="auto"/>
        <w:left w:val="none" w:sz="0" w:space="0" w:color="auto"/>
        <w:bottom w:val="none" w:sz="0" w:space="0" w:color="auto"/>
        <w:right w:val="none" w:sz="0" w:space="0" w:color="auto"/>
      </w:divBdr>
    </w:div>
    <w:div w:id="18699502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repository.library.noaa.gov/view/noaa/47923" TargetMode="External"/><Relationship Id="rId21" Type="http://schemas.openxmlformats.org/officeDocument/2006/relationships/image" Target="media/image6.png"/><Relationship Id="rId42" Type="http://schemas.openxmlformats.org/officeDocument/2006/relationships/hyperlink" Target="mailto:cindy.tribuzio@noaa.gov" TargetMode="External"/><Relationship Id="rId63" Type="http://schemas.openxmlformats.org/officeDocument/2006/relationships/hyperlink" Target="mailto:steve.barbeaux@noaa.gov" TargetMode="External"/><Relationship Id="rId84" Type="http://schemas.openxmlformats.org/officeDocument/2006/relationships/hyperlink" Target="mailto:carey.mcgilliard@noaa.gov" TargetMode="External"/><Relationship Id="rId138" Type="http://schemas.openxmlformats.org/officeDocument/2006/relationships/hyperlink" Target="https://repository.library.noaa.gov/view/noaa/45360" TargetMode="External"/><Relationship Id="rId107" Type="http://schemas.openxmlformats.org/officeDocument/2006/relationships/hyperlink" Target="mailto:mark.zimmermann@noaa.gov" TargetMode="External"/><Relationship Id="rId11" Type="http://schemas.openxmlformats.org/officeDocument/2006/relationships/hyperlink" Target="https://www.fisheries.noaa.gov/alaska/ecosystems/ecosystem-status-reports-gulf-alaska-bering-sea-and-aleutian-islands" TargetMode="External"/><Relationship Id="rId32" Type="http://schemas.openxmlformats.org/officeDocument/2006/relationships/image" Target="media/image11.jpg"/><Relationship Id="rId53" Type="http://schemas.openxmlformats.org/officeDocument/2006/relationships/hyperlink" Target="mailto:steve.barbeaux@noaa.gov" TargetMode="External"/><Relationship Id="rId74" Type="http://schemas.openxmlformats.org/officeDocument/2006/relationships/hyperlink" Target="https://repository.library.noaa.gov/view/noaa/39401" TargetMode="External"/><Relationship Id="rId128" Type="http://schemas.openxmlformats.org/officeDocument/2006/relationships/hyperlink" Target="https://repository.library.noaa.gov/view/noaa/28763" TargetMode="External"/><Relationship Id="rId149" Type="http://schemas.openxmlformats.org/officeDocument/2006/relationships/fontTable" Target="fontTable.xml"/><Relationship Id="rId5" Type="http://schemas.openxmlformats.org/officeDocument/2006/relationships/webSettings" Target="webSettings.xml"/><Relationship Id="rId95" Type="http://schemas.openxmlformats.org/officeDocument/2006/relationships/hyperlink" Target="about:blank" TargetMode="External"/><Relationship Id="rId22" Type="http://schemas.openxmlformats.org/officeDocument/2006/relationships/hyperlink" Target="mailto:Wayne.Palsson@noaa.gov" TargetMode="External"/><Relationship Id="rId27" Type="http://schemas.openxmlformats.org/officeDocument/2006/relationships/hyperlink" Target="mailto:sandy.parker-stetter@noaa.gov" TargetMode="External"/><Relationship Id="rId43" Type="http://schemas.openxmlformats.org/officeDocument/2006/relationships/image" Target="media/image16.png"/><Relationship Id="rId48" Type="http://schemas.openxmlformats.org/officeDocument/2006/relationships/hyperlink" Target="mailto:cindy.tribuzio@noaa.gov" TargetMode="External"/><Relationship Id="rId64" Type="http://schemas.openxmlformats.org/officeDocument/2006/relationships/hyperlink" Target="mailto:cole.monnahan@noaa.gov" TargetMode="External"/><Relationship Id="rId69" Type="http://schemas.openxmlformats.org/officeDocument/2006/relationships/hyperlink" Target="mailto:jane.sullivan@noaa.gov" TargetMode="External"/><Relationship Id="rId113" Type="http://schemas.openxmlformats.org/officeDocument/2006/relationships/hyperlink" Target="https://reports.psmfc.org/akfin" TargetMode="External"/><Relationship Id="rId118" Type="http://schemas.openxmlformats.org/officeDocument/2006/relationships/hyperlink" Target="https://repository.library.noaa.gov/view/noaa/35779" TargetMode="External"/><Relationship Id="rId134" Type="http://schemas.openxmlformats.org/officeDocument/2006/relationships/hyperlink" Target="https://repository.library.noaa.gov/view/noaa/32075" TargetMode="External"/><Relationship Id="rId139" Type="http://schemas.openxmlformats.org/officeDocument/2006/relationships/hyperlink" Target="https://repository.library.noaa.gov/view/noaa/41598" TargetMode="External"/><Relationship Id="rId80" Type="http://schemas.openxmlformats.org/officeDocument/2006/relationships/hyperlink" Target="mailto:alison.deary@noaa.gov" TargetMode="External"/><Relationship Id="rId85" Type="http://schemas.openxmlformats.org/officeDocument/2006/relationships/hyperlink" Target="https://www.npfmc.org/" TargetMode="External"/><Relationship Id="rId150" Type="http://schemas.openxmlformats.org/officeDocument/2006/relationships/theme" Target="theme/theme1.xml"/><Relationship Id="rId12" Type="http://schemas.openxmlformats.org/officeDocument/2006/relationships/hyperlink" Target="http://www.afsc.noaa.gov/images/useez.jpg" TargetMode="External"/><Relationship Id="rId17" Type="http://schemas.openxmlformats.org/officeDocument/2006/relationships/image" Target="media/image2.png"/><Relationship Id="rId33" Type="http://schemas.openxmlformats.org/officeDocument/2006/relationships/hyperlink" Target="mailto:Jennifer.Ferdinand@noaa.gov" TargetMode="External"/><Relationship Id="rId38" Type="http://schemas.openxmlformats.org/officeDocument/2006/relationships/image" Target="media/image14.png"/><Relationship Id="rId59" Type="http://schemas.openxmlformats.org/officeDocument/2006/relationships/image" Target="media/image23.png"/><Relationship Id="rId103" Type="http://schemas.openxmlformats.org/officeDocument/2006/relationships/image" Target="media/image36.png"/><Relationship Id="rId108" Type="http://schemas.openxmlformats.org/officeDocument/2006/relationships/hyperlink" Target="https://apps-afsc.fisheries.noaa.gov/refm/reem/ecoweb/index.php" TargetMode="External"/><Relationship Id="rId124" Type="http://schemas.openxmlformats.org/officeDocument/2006/relationships/hyperlink" Target="https://repository.library.noaa.gov/view/noaa/45362" TargetMode="External"/><Relationship Id="rId129" Type="http://schemas.openxmlformats.org/officeDocument/2006/relationships/hyperlink" Target="https://repository.library.noaa.gov/view/noaa/31530" TargetMode="External"/><Relationship Id="rId54" Type="http://schemas.openxmlformats.org/officeDocument/2006/relationships/hyperlink" Target="mailto:thomas.hurst@noaa.gov" TargetMode="External"/><Relationship Id="rId70" Type="http://schemas.openxmlformats.org/officeDocument/2006/relationships/hyperlink" Target="mailto:katy.echave@noaa.gov" TargetMode="External"/><Relationship Id="rId75" Type="http://schemas.openxmlformats.org/officeDocument/2006/relationships/hyperlink" Target="https://repository.library.noaa.gov/view/noaa/39401" TargetMode="External"/><Relationship Id="rId91" Type="http://schemas.openxmlformats.org/officeDocument/2006/relationships/hyperlink" Target="mailto:sarah.friedman@noaa.gov" TargetMode="External"/><Relationship Id="rId96" Type="http://schemas.openxmlformats.org/officeDocument/2006/relationships/image" Target="media/image29.jpg"/><Relationship Id="rId140" Type="http://schemas.openxmlformats.org/officeDocument/2006/relationships/hyperlink" Target="https://repository.library.noaa.gov/view/noaa/37520" TargetMode="External"/><Relationship Id="rId145" Type="http://schemas.openxmlformats.org/officeDocument/2006/relationships/image" Target="media/image40.JP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jpg"/><Relationship Id="rId28" Type="http://schemas.openxmlformats.org/officeDocument/2006/relationships/hyperlink" Target="mailto:sandy.parker-stetter@noaa.gov" TargetMode="External"/><Relationship Id="rId49" Type="http://schemas.openxmlformats.org/officeDocument/2006/relationships/image" Target="media/image18.png"/><Relationship Id="rId114" Type="http://schemas.openxmlformats.org/officeDocument/2006/relationships/hyperlink" Target="https://reports.psmfc.org/akfin" TargetMode="External"/><Relationship Id="rId119" Type="http://schemas.openxmlformats.org/officeDocument/2006/relationships/hyperlink" Target="https://repository.library.noaa.gov/view/noaa/38940" TargetMode="External"/><Relationship Id="rId44" Type="http://schemas.openxmlformats.org/officeDocument/2006/relationships/hyperlink" Target="https://www.sciencedirect.com/science/article/pii/S0304380023000108" TargetMode="External"/><Relationship Id="rId60" Type="http://schemas.openxmlformats.org/officeDocument/2006/relationships/hyperlink" Target="mailto:Alan.Haynie@noaa.gov" TargetMode="External"/><Relationship Id="rId65" Type="http://schemas.openxmlformats.org/officeDocument/2006/relationships/hyperlink" Target="mailto:paul.spencer@noaa.gov" TargetMode="External"/><Relationship Id="rId81" Type="http://schemas.openxmlformats.org/officeDocument/2006/relationships/hyperlink" Target="mailto:daniel.goethel@noaa.gov" TargetMode="External"/><Relationship Id="rId86" Type="http://schemas.openxmlformats.org/officeDocument/2006/relationships/hyperlink" Target="mailto:jim.ianelli@noaa.gov" TargetMode="External"/><Relationship Id="rId130" Type="http://schemas.openxmlformats.org/officeDocument/2006/relationships/hyperlink" Target="https://repository.library.noaa.gov/view/noaa/48659" TargetMode="External"/><Relationship Id="rId135" Type="http://schemas.openxmlformats.org/officeDocument/2006/relationships/hyperlink" Target="https://repository.library.noaa.gov/view/noaa/38939" TargetMode="External"/><Relationship Id="rId13" Type="http://schemas.openxmlformats.org/officeDocument/2006/relationships/hyperlink" Target="https://www.fisheries.noaa.gov/alaska/habitat-conservation/habitat-research-alaska" TargetMode="External"/><Relationship Id="rId18" Type="http://schemas.openxmlformats.org/officeDocument/2006/relationships/image" Target="media/image3.png"/><Relationship Id="rId39" Type="http://schemas.openxmlformats.org/officeDocument/2006/relationships/image" Target="media/image15.png"/><Relationship Id="rId109" Type="http://schemas.openxmlformats.org/officeDocument/2006/relationships/hyperlink" Target="https://apps-afsc.fisheries.noaa.gov/refm/reem/webdietdata/dietdataintro.php" TargetMode="External"/><Relationship Id="rId34" Type="http://schemas.openxmlformats.org/officeDocument/2006/relationships/hyperlink" Target="https://www.fisheries.noaa.gov/alaska/population-assessments/north-pacific-groundfish-stock-assessments-and-fishery-evaluation" TargetMode="External"/><Relationship Id="rId50" Type="http://schemas.openxmlformats.org/officeDocument/2006/relationships/hyperlink" Target="https://apps-afsc.fisheries.noaa.gov/refm/docs/2021/GOAskate.pdf)%20in%202021" TargetMode="External"/><Relationship Id="rId55" Type="http://schemas.openxmlformats.org/officeDocument/2006/relationships/hyperlink" Target="mailto:emily.slesinger@noaa.gov" TargetMode="External"/><Relationship Id="rId76" Type="http://schemas.openxmlformats.org/officeDocument/2006/relationships/hyperlink" Target="https://www.fisheries.noaa.gov/resource/map/alaska-groundfish-tagging-map" TargetMode="External"/><Relationship Id="rId97" Type="http://schemas.openxmlformats.org/officeDocument/2006/relationships/image" Target="media/image30.jpg"/><Relationship Id="rId104" Type="http://schemas.openxmlformats.org/officeDocument/2006/relationships/image" Target="media/image37.png"/><Relationship Id="rId120" Type="http://schemas.openxmlformats.org/officeDocument/2006/relationships/hyperlink" Target="https://repository.library.noaa.gov/view/noaa/32909" TargetMode="External"/><Relationship Id="rId125" Type="http://schemas.openxmlformats.org/officeDocument/2006/relationships/hyperlink" Target="https://repository.library.noaa.gov/view/noaa/45361" TargetMode="External"/><Relationship Id="rId141" Type="http://schemas.openxmlformats.org/officeDocument/2006/relationships/hyperlink" Target="https://repository.library.noaa.gov/view/noaa/45100" TargetMode="External"/><Relationship Id="rId146" Type="http://schemas.openxmlformats.org/officeDocument/2006/relationships/image" Target="media/image41.JPG"/><Relationship Id="rId7" Type="http://schemas.openxmlformats.org/officeDocument/2006/relationships/endnotes" Target="endnotes.xml"/><Relationship Id="rId71" Type="http://schemas.openxmlformats.org/officeDocument/2006/relationships/hyperlink" Target="mailto:maia.kapur@noaa.gov" TargetMode="External"/><Relationship Id="rId92" Type="http://schemas.openxmlformats.org/officeDocument/2006/relationships/hyperlink" Target="mailto:thaddaeus.buser@noaa.gov" TargetMode="External"/><Relationship Id="rId2" Type="http://schemas.openxmlformats.org/officeDocument/2006/relationships/numbering" Target="numbering.xml"/><Relationship Id="rId29" Type="http://schemas.openxmlformats.org/officeDocument/2006/relationships/hyperlink" Target="https://apps-afsc.fisheries.noaa.gov/maps/longline/Map.php" TargetMode="External"/><Relationship Id="rId24" Type="http://schemas.openxmlformats.org/officeDocument/2006/relationships/image" Target="media/image8.jpg"/><Relationship Id="rId40" Type="http://schemas.openxmlformats.org/officeDocument/2006/relationships/hyperlink" Target="mailto:kalei.shotwell@noaa.gov" TargetMode="External"/><Relationship Id="rId45" Type="http://schemas.openxmlformats.org/officeDocument/2006/relationships/hyperlink" Target="https://www.facebook.com/ADFGUnderseaWorldOfSalmonAndSharks" TargetMode="External"/><Relationship Id="rId66" Type="http://schemas.openxmlformats.org/officeDocument/2006/relationships/hyperlink" Target="mailto:ben.william@noaa.gov" TargetMode="External"/><Relationship Id="rId87" Type="http://schemas.openxmlformats.org/officeDocument/2006/relationships/image" Target="media/image28.jpeg"/><Relationship Id="rId110" Type="http://schemas.openxmlformats.org/officeDocument/2006/relationships/hyperlink" Target="https://apps-afsc.fisheries.noaa.gov/refm/reem/webdietdata/diettableintro.php" TargetMode="External"/><Relationship Id="rId115" Type="http://schemas.openxmlformats.org/officeDocument/2006/relationships/hyperlink" Target="https://reports.psmfc.org/akfin" TargetMode="External"/><Relationship Id="rId131" Type="http://schemas.openxmlformats.org/officeDocument/2006/relationships/hyperlink" Target="https://repository.library.noaa.gov/view/noaa/47710" TargetMode="External"/><Relationship Id="rId136" Type="http://schemas.openxmlformats.org/officeDocument/2006/relationships/hyperlink" Target="https://www.google.com/url?q=https://doi.org/10.1007/s00300-022-03088-3&amp;sa=D&amp;source=docs&amp;ust=1680633303197403&amp;usg=AOvVaw14Ly6VXGrkxdy_5OqwxFbZ" TargetMode="External"/><Relationship Id="rId61" Type="http://schemas.openxmlformats.org/officeDocument/2006/relationships/hyperlink" Target="mailto:jim.ianelli@noaa.gov" TargetMode="External"/><Relationship Id="rId82" Type="http://schemas.openxmlformats.org/officeDocument/2006/relationships/image" Target="media/image26.png"/><Relationship Id="rId19" Type="http://schemas.openxmlformats.org/officeDocument/2006/relationships/image" Target="media/image4.png"/><Relationship Id="rId14" Type="http://schemas.openxmlformats.org/officeDocument/2006/relationships/hyperlink" Target="https://www.fisheries.noaa.gov/alaska/habitat-conservation/essential-fish-habitat-research-plan-alaska" TargetMode="External"/><Relationship Id="rId30" Type="http://schemas.openxmlformats.org/officeDocument/2006/relationships/hyperlink" Target="mailto:cara.rodgveller@noaa.gov" TargetMode="External"/><Relationship Id="rId35" Type="http://schemas.openxmlformats.org/officeDocument/2006/relationships/image" Target="media/image12.png"/><Relationship Id="rId56" Type="http://schemas.openxmlformats.org/officeDocument/2006/relationships/image" Target="media/image20.png"/><Relationship Id="rId77" Type="http://schemas.openxmlformats.org/officeDocument/2006/relationships/hyperlink" Target="mailto:katy.echave@noaa.gov" TargetMode="External"/><Relationship Id="rId100" Type="http://schemas.openxmlformats.org/officeDocument/2006/relationships/image" Target="media/image33.jpg"/><Relationship Id="rId105" Type="http://schemas.openxmlformats.org/officeDocument/2006/relationships/image" Target="media/image38.png"/><Relationship Id="rId126" Type="http://schemas.openxmlformats.org/officeDocument/2006/relationships/hyperlink" Target="https://repository.library.noaa.gov/view/noaa/48658" TargetMode="External"/><Relationship Id="rId147" Type="http://schemas.openxmlformats.org/officeDocument/2006/relationships/image" Target="media/image42.JPG"/><Relationship Id="rId8" Type="http://schemas.openxmlformats.org/officeDocument/2006/relationships/hyperlink" Target="https://www.fisheries.noaa.gov/feature-story/sharing-our-2021-priorities-and-annual-guidance" TargetMode="External"/><Relationship Id="rId51" Type="http://schemas.openxmlformats.org/officeDocument/2006/relationships/image" Target="media/image19.png"/><Relationship Id="rId72" Type="http://schemas.openxmlformats.org/officeDocument/2006/relationships/image" Target="media/image24.png"/><Relationship Id="rId93" Type="http://schemas.openxmlformats.org/officeDocument/2006/relationships/hyperlink" Target="mailto:meredith.everett@noaa.gov" TargetMode="External"/><Relationship Id="rId98" Type="http://schemas.openxmlformats.org/officeDocument/2006/relationships/image" Target="media/image31.png"/><Relationship Id="rId121" Type="http://schemas.openxmlformats.org/officeDocument/2006/relationships/hyperlink" Target="https://repository.library.noaa.gov/view/noaa/34439" TargetMode="External"/><Relationship Id="rId142" Type="http://schemas.openxmlformats.org/officeDocument/2006/relationships/hyperlink" Target="https://repository.library.noaa.gov/view/noaa/30603" TargetMode="External"/><Relationship Id="rId3" Type="http://schemas.openxmlformats.org/officeDocument/2006/relationships/styles" Target="styles.xml"/><Relationship Id="rId25" Type="http://schemas.openxmlformats.org/officeDocument/2006/relationships/image" Target="media/image9.jpg"/><Relationship Id="rId46" Type="http://schemas.openxmlformats.org/officeDocument/2006/relationships/image" Target="media/image17.png"/><Relationship Id="rId67" Type="http://schemas.openxmlformats.org/officeDocument/2006/relationships/hyperlink" Target="mailto:Katy.Echave@noaa.gov" TargetMode="External"/><Relationship Id="rId116" Type="http://schemas.openxmlformats.org/officeDocument/2006/relationships/hyperlink" Target="https://repository.library.noaa.gov/view/noaa/47922" TargetMode="External"/><Relationship Id="rId137" Type="http://schemas.openxmlformats.org/officeDocument/2006/relationships/hyperlink" Target="https://repository.library.noaa.gov/view/noaa/48006" TargetMode="External"/><Relationship Id="rId20" Type="http://schemas.openxmlformats.org/officeDocument/2006/relationships/image" Target="media/image5.png"/><Relationship Id="rId41" Type="http://schemas.openxmlformats.org/officeDocument/2006/relationships/hyperlink" Target="https://academic.oup.com/jhered/advance-article/doi/10.1093/jhered/esac064/6881712" TargetMode="External"/><Relationship Id="rId62" Type="http://schemas.openxmlformats.org/officeDocument/2006/relationships/hyperlink" Target="mailto:jim.ianelli@noaa.gov" TargetMode="External"/><Relationship Id="rId83" Type="http://schemas.openxmlformats.org/officeDocument/2006/relationships/image" Target="media/image27.png"/><Relationship Id="rId88" Type="http://schemas.openxmlformats.org/officeDocument/2006/relationships/hyperlink" Target="https://doi.org/10.1016/j.csr.2022.104745" TargetMode="External"/><Relationship Id="rId111" Type="http://schemas.openxmlformats.org/officeDocument/2006/relationships/hyperlink" Target="https://apps-afsc.fisheries.noaa.gov/refm/reem/lhweb/index.php" TargetMode="External"/><Relationship Id="rId132" Type="http://schemas.openxmlformats.org/officeDocument/2006/relationships/hyperlink" Target="https://repository.library.noaa.gov/view/noaa/47706" TargetMode="External"/><Relationship Id="rId15" Type="http://schemas.openxmlformats.org/officeDocument/2006/relationships/hyperlink" Target="mailto:james.thorson@noaa.gov" TargetMode="External"/><Relationship Id="rId36" Type="http://schemas.openxmlformats.org/officeDocument/2006/relationships/image" Target="media/image13.png"/><Relationship Id="rId57" Type="http://schemas.openxmlformats.org/officeDocument/2006/relationships/image" Target="media/image21.png"/><Relationship Id="rId106" Type="http://schemas.openxmlformats.org/officeDocument/2006/relationships/hyperlink" Target="mailto:madison.hall@noaa.gov" TargetMode="External"/><Relationship Id="rId127" Type="http://schemas.openxmlformats.org/officeDocument/2006/relationships/hyperlink" Target="https://repository.library.noaa.gov/view/noaa/28174" TargetMode="External"/><Relationship Id="rId10" Type="http://schemas.openxmlformats.org/officeDocument/2006/relationships/hyperlink" Target="https://www.npfmc.org/library/safe-reports/" TargetMode="External"/><Relationship Id="rId31" Type="http://schemas.openxmlformats.org/officeDocument/2006/relationships/image" Target="media/image10.png"/><Relationship Id="rId52" Type="http://schemas.openxmlformats.org/officeDocument/2006/relationships/hyperlink" Target="mailto:bharris@alaskapacific.edu" TargetMode="External"/><Relationship Id="rId73" Type="http://schemas.openxmlformats.org/officeDocument/2006/relationships/image" Target="media/image25.png"/><Relationship Id="rId78" Type="http://schemas.openxmlformats.org/officeDocument/2006/relationships/hyperlink" Target="mailto:katy.echave@noaa.gov" TargetMode="External"/><Relationship Id="rId94" Type="http://schemas.openxmlformats.org/officeDocument/2006/relationships/hyperlink" Target="mailto:Lehnert@spongetaxonomics.de" TargetMode="External"/><Relationship Id="rId99" Type="http://schemas.openxmlformats.org/officeDocument/2006/relationships/image" Target="media/image32.png"/><Relationship Id="rId101" Type="http://schemas.openxmlformats.org/officeDocument/2006/relationships/image" Target="media/image34.jpg"/><Relationship Id="rId122" Type="http://schemas.openxmlformats.org/officeDocument/2006/relationships/hyperlink" Target="https://repository.library.noaa.gov/view/noaa/29539" TargetMode="External"/><Relationship Id="rId143" Type="http://schemas.openxmlformats.org/officeDocument/2006/relationships/hyperlink" Target="https://repository.library.noaa.gov/view/noaa/30602" TargetMode="External"/><Relationship Id="rId148"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www.fisheries.noaa.gov/alaska/science-data/alaska-fisheries-science-center-publications" TargetMode="External"/><Relationship Id="rId26" Type="http://schemas.openxmlformats.org/officeDocument/2006/relationships/hyperlink" Target="mailto:sandy.parker-stetter@noaa.gov" TargetMode="External"/><Relationship Id="rId47" Type="http://schemas.openxmlformats.org/officeDocument/2006/relationships/hyperlink" Target="mailto:cindy.tribuzio@noaa.gov" TargetMode="External"/><Relationship Id="rId68" Type="http://schemas.openxmlformats.org/officeDocument/2006/relationships/hyperlink" Target="mailto:jane.sullivan@noaa.gov" TargetMode="External"/><Relationship Id="rId89" Type="http://schemas.openxmlformats.org/officeDocument/2006/relationships/hyperlink" Target="mailto:Mark.Zimmermann@noaa.gov" TargetMode="External"/><Relationship Id="rId112" Type="http://schemas.openxmlformats.org/officeDocument/2006/relationships/hyperlink" Target="https://www.fisheries.noaa.gov/alaska/socioeconomics/alaska-economic-and-social-sciences-research" TargetMode="External"/><Relationship Id="rId133" Type="http://schemas.openxmlformats.org/officeDocument/2006/relationships/hyperlink" Target="https://repository.library.noaa.gov/view/noaa/47705" TargetMode="External"/><Relationship Id="rId16" Type="http://schemas.openxmlformats.org/officeDocument/2006/relationships/image" Target="media/image1.png"/><Relationship Id="rId37" Type="http://schemas.openxmlformats.org/officeDocument/2006/relationships/hyperlink" Target="https://meetings.npfmc.org/CommentReview/DownloadFile?p=b0e846bf-0674-4707-97ed-32f55af846aa.pdf&amp;fileName=C5%20GOA%20Groundfish%20SAFE%20Intro.pdf" TargetMode="External"/><Relationship Id="rId58" Type="http://schemas.openxmlformats.org/officeDocument/2006/relationships/image" Target="media/image22.png"/><Relationship Id="rId79" Type="http://schemas.openxmlformats.org/officeDocument/2006/relationships/hyperlink" Target="mailto:mariela.brooks@noaa.gov" TargetMode="External"/><Relationship Id="rId102" Type="http://schemas.openxmlformats.org/officeDocument/2006/relationships/image" Target="media/image35.png"/><Relationship Id="rId123" Type="http://schemas.openxmlformats.org/officeDocument/2006/relationships/hyperlink" Target="https://repository.library.noaa.gov/view/noaa/29529" TargetMode="External"/><Relationship Id="rId144" Type="http://schemas.openxmlformats.org/officeDocument/2006/relationships/image" Target="media/image39.JPG"/><Relationship Id="rId90" Type="http://schemas.openxmlformats.org/officeDocument/2006/relationships/hyperlink" Target="https://www.govinfo.gov/content/pkg/CFR-2019-title50-vol12/xml/CFR-2019-title50-vol12-part600.xml"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www.fisheries.noaa.gov/insight/understanding-ecosystem-based-fisheries-managemen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E45695-7BA5-468B-9C36-A1A38004D6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1405</TotalTime>
  <Pages>111</Pages>
  <Words>41730</Words>
  <Characters>237867</Characters>
  <Application>Microsoft Office Word</Application>
  <DocSecurity>0</DocSecurity>
  <Lines>1982</Lines>
  <Paragraphs>558</Paragraphs>
  <ScaleCrop>false</ScaleCrop>
  <HeadingPairs>
    <vt:vector size="2" baseType="variant">
      <vt:variant>
        <vt:lpstr>Title</vt:lpstr>
      </vt:variant>
      <vt:variant>
        <vt:i4>1</vt:i4>
      </vt:variant>
    </vt:vector>
  </HeadingPairs>
  <TitlesOfParts>
    <vt:vector size="1" baseType="lpstr">
      <vt:lpstr/>
    </vt:vector>
  </TitlesOfParts>
  <Company>NOAA AFSC</Company>
  <LinksUpToDate>false</LinksUpToDate>
  <CharactersWithSpaces>279039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Ned Laman</dc:creator>
  <cp:keywords/>
  <dc:description/>
  <cp:lastModifiedBy>Ned Laman</cp:lastModifiedBy>
  <cp:revision>30</cp:revision>
  <dcterms:created xsi:type="dcterms:W3CDTF">2023-04-02T22:22:00Z</dcterms:created>
  <dcterms:modified xsi:type="dcterms:W3CDTF">2023-04-04T22:05:00Z</dcterms:modified>
</cp:coreProperties>
</file>