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CC" w:rsidRPr="00E769F3" w:rsidRDefault="00302CCC">
      <w:pPr>
        <w:rPr>
          <w:rFonts w:ascii="Garamond" w:hAnsi="Garamond"/>
          <w:sz w:val="24"/>
          <w:szCs w:val="24"/>
          <w:lang w:val="en-US"/>
        </w:rPr>
      </w:pPr>
      <w:r w:rsidRPr="00E769F3">
        <w:rPr>
          <w:rFonts w:ascii="Garamond" w:hAnsi="Garamond"/>
          <w:sz w:val="24"/>
          <w:szCs w:val="24"/>
          <w:lang w:val="en-US"/>
        </w:rPr>
        <w:t>Diversity and Resilience—Planning Ahead</w:t>
      </w:r>
    </w:p>
    <w:p w:rsidR="00894791" w:rsidRPr="00E769F3" w:rsidRDefault="00302CCC">
      <w:pPr>
        <w:rPr>
          <w:rFonts w:ascii="Garamond" w:hAnsi="Garamond"/>
          <w:sz w:val="24"/>
          <w:szCs w:val="24"/>
          <w:lang w:val="en-US"/>
        </w:rPr>
      </w:pPr>
      <w:r w:rsidRPr="00E769F3">
        <w:rPr>
          <w:rFonts w:ascii="Garamond" w:hAnsi="Garamond"/>
          <w:sz w:val="24"/>
          <w:szCs w:val="24"/>
          <w:lang w:val="en-US"/>
        </w:rPr>
        <w:t>Jonathan W. Moore</w:t>
      </w:r>
    </w:p>
    <w:p w:rsidR="00302CCC" w:rsidRPr="00E769F3" w:rsidRDefault="00302CCC">
      <w:pPr>
        <w:rPr>
          <w:rFonts w:ascii="Garamond" w:hAnsi="Garamond"/>
          <w:sz w:val="24"/>
          <w:szCs w:val="24"/>
          <w:lang w:val="en-US"/>
        </w:rPr>
      </w:pPr>
    </w:p>
    <w:p w:rsidR="00302CCC" w:rsidRPr="00302CCC" w:rsidRDefault="00302CCC">
      <w:pPr>
        <w:rPr>
          <w:lang w:val="en-US"/>
        </w:rPr>
      </w:pPr>
      <w:r w:rsidRPr="00E769F3">
        <w:rPr>
          <w:rFonts w:ascii="Garamond" w:hAnsi="Garamond"/>
          <w:sz w:val="24"/>
          <w:szCs w:val="24"/>
          <w:lang w:val="en-US"/>
        </w:rPr>
        <w:t xml:space="preserve">In this era of increasing environmental variability, it is increasingly important to understand the resilience and stability of populations to these changes. Here I discuss collaborative projects that are related to the diversity and resilience of steelhead. </w:t>
      </w:r>
      <w:r w:rsidR="003311E0" w:rsidRPr="00E769F3">
        <w:rPr>
          <w:rFonts w:ascii="Garamond" w:hAnsi="Garamond"/>
          <w:sz w:val="24"/>
          <w:szCs w:val="24"/>
        </w:rPr>
        <w:t>We</w:t>
      </w:r>
      <w:r w:rsidRPr="00E769F3">
        <w:rPr>
          <w:rFonts w:ascii="Garamond" w:hAnsi="Garamond"/>
          <w:sz w:val="24"/>
          <w:szCs w:val="24"/>
        </w:rPr>
        <w:t xml:space="preserve"> examine</w:t>
      </w:r>
      <w:r w:rsidR="003311E0" w:rsidRPr="00E769F3">
        <w:rPr>
          <w:rFonts w:ascii="Garamond" w:hAnsi="Garamond"/>
          <w:sz w:val="24"/>
          <w:szCs w:val="24"/>
        </w:rPr>
        <w:t>d</w:t>
      </w:r>
      <w:r w:rsidRPr="00E769F3">
        <w:rPr>
          <w:rFonts w:ascii="Garamond" w:hAnsi="Garamond"/>
          <w:sz w:val="24"/>
          <w:szCs w:val="24"/>
        </w:rPr>
        <w:t xml:space="preserve"> life-history diversity and its importance to stability for </w:t>
      </w:r>
      <w:r w:rsidR="003311E0" w:rsidRPr="00E769F3">
        <w:rPr>
          <w:rFonts w:ascii="Garamond" w:hAnsi="Garamond"/>
          <w:sz w:val="24"/>
          <w:szCs w:val="24"/>
        </w:rPr>
        <w:t xml:space="preserve">steelhead in </w:t>
      </w:r>
      <w:r w:rsidRPr="00E769F3">
        <w:rPr>
          <w:rFonts w:ascii="Garamond" w:hAnsi="Garamond"/>
          <w:sz w:val="24"/>
          <w:szCs w:val="24"/>
        </w:rPr>
        <w:t xml:space="preserve">the Skeena and </w:t>
      </w:r>
      <w:proofErr w:type="spellStart"/>
      <w:r w:rsidRPr="00E769F3">
        <w:rPr>
          <w:rFonts w:ascii="Garamond" w:hAnsi="Garamond"/>
          <w:sz w:val="24"/>
          <w:szCs w:val="24"/>
        </w:rPr>
        <w:t>Nass</w:t>
      </w:r>
      <w:proofErr w:type="spellEnd"/>
      <w:r w:rsidR="003311E0" w:rsidRPr="00E769F3">
        <w:rPr>
          <w:rFonts w:ascii="Garamond" w:hAnsi="Garamond"/>
          <w:sz w:val="24"/>
          <w:szCs w:val="24"/>
        </w:rPr>
        <w:t xml:space="preserve"> watersheds</w:t>
      </w:r>
      <w:r w:rsidRPr="00E769F3">
        <w:rPr>
          <w:rFonts w:ascii="Garamond" w:hAnsi="Garamond"/>
          <w:sz w:val="24"/>
          <w:szCs w:val="24"/>
        </w:rPr>
        <w:t xml:space="preserve"> in northwestern British Columbia, Canada. We synthesized life-history information derived from scales collected from adult steelhead (N = 7227) in these watersheds across a decade.</w:t>
      </w:r>
      <w:r w:rsidR="003311E0" w:rsidRPr="00E769F3">
        <w:rPr>
          <w:rFonts w:ascii="Garamond" w:hAnsi="Garamond"/>
          <w:sz w:val="24"/>
          <w:szCs w:val="24"/>
          <w:lang w:val="en-US"/>
        </w:rPr>
        <w:t xml:space="preserve"> </w:t>
      </w:r>
      <w:r w:rsidRPr="00E769F3">
        <w:rPr>
          <w:rFonts w:ascii="Garamond" w:hAnsi="Garamond"/>
          <w:sz w:val="24"/>
          <w:szCs w:val="24"/>
        </w:rPr>
        <w:t xml:space="preserve">These migratory fishes expressed 36 different manifestations of the </w:t>
      </w:r>
      <w:proofErr w:type="spellStart"/>
      <w:r w:rsidRPr="00E769F3">
        <w:rPr>
          <w:rFonts w:ascii="Garamond" w:hAnsi="Garamond"/>
          <w:sz w:val="24"/>
          <w:szCs w:val="24"/>
        </w:rPr>
        <w:t>anadromous</w:t>
      </w:r>
      <w:proofErr w:type="spellEnd"/>
      <w:r w:rsidRPr="00E769F3">
        <w:rPr>
          <w:rFonts w:ascii="Garamond" w:hAnsi="Garamond"/>
          <w:sz w:val="24"/>
          <w:szCs w:val="24"/>
        </w:rPr>
        <w:t xml:space="preserve"> life-history strategy, with diversity in years spent in freshwater, the ocean, and the number of spawning events. Furthermore, different life-histories were dif</w:t>
      </w:r>
      <w:r w:rsidR="003311E0" w:rsidRPr="00E769F3">
        <w:rPr>
          <w:rFonts w:ascii="Garamond" w:hAnsi="Garamond"/>
          <w:sz w:val="24"/>
          <w:szCs w:val="24"/>
        </w:rPr>
        <w:t xml:space="preserve">ferently prevalent through time </w:t>
      </w:r>
      <w:r w:rsidRPr="00E769F3">
        <w:rPr>
          <w:rFonts w:ascii="Garamond" w:hAnsi="Garamond"/>
          <w:sz w:val="24"/>
          <w:szCs w:val="24"/>
        </w:rPr>
        <w:t xml:space="preserve">and no life-history ever represented more than 45% of the population. These asynchronous dynamics among life-histories decreased the variability of the aggregated population so that it was </w:t>
      </w:r>
      <w:r w:rsidR="003311E0" w:rsidRPr="00E769F3">
        <w:rPr>
          <w:rFonts w:ascii="Garamond" w:hAnsi="Garamond"/>
          <w:sz w:val="24"/>
          <w:szCs w:val="24"/>
        </w:rPr>
        <w:t>&gt;</w:t>
      </w:r>
      <w:r w:rsidRPr="00E769F3">
        <w:rPr>
          <w:rFonts w:ascii="Garamond" w:hAnsi="Garamond"/>
          <w:sz w:val="24"/>
          <w:szCs w:val="24"/>
        </w:rPr>
        <w:t>2</w:t>
      </w:r>
      <w:r w:rsidR="003311E0" w:rsidRPr="00E769F3">
        <w:rPr>
          <w:rFonts w:ascii="Garamond" w:hAnsi="Garamond"/>
          <w:sz w:val="24"/>
          <w:szCs w:val="24"/>
        </w:rPr>
        <w:t>0</w:t>
      </w:r>
      <w:r w:rsidRPr="00E769F3">
        <w:rPr>
          <w:rFonts w:ascii="Garamond" w:hAnsi="Garamond"/>
          <w:sz w:val="24"/>
          <w:szCs w:val="24"/>
        </w:rPr>
        <w:t>% more stable than the stability of the weighted average of specific life-histories, evidence of a substantial portfolio effect. Year of ocean entry was a key driver of dynamics; the median correlation coefficient of abundance of life-histories that entered the ocean the same year was 3.6 times higher than the median pairwise coefficient of life-histories that entered the ocean at different times.</w:t>
      </w:r>
      <w:r w:rsidR="00E769F3" w:rsidRPr="00E769F3">
        <w:rPr>
          <w:rFonts w:ascii="Garamond" w:hAnsi="Garamond"/>
          <w:sz w:val="24"/>
          <w:szCs w:val="24"/>
        </w:rPr>
        <w:t xml:space="preserve"> Thus, s</w:t>
      </w:r>
      <w:r w:rsidR="003311E0" w:rsidRPr="00E769F3">
        <w:rPr>
          <w:rFonts w:ascii="Garamond" w:hAnsi="Garamond"/>
          <w:sz w:val="24"/>
          <w:szCs w:val="24"/>
        </w:rPr>
        <w:t xml:space="preserve">teelhead </w:t>
      </w:r>
      <w:r w:rsidRPr="00E769F3">
        <w:rPr>
          <w:rFonts w:ascii="Garamond" w:hAnsi="Garamond"/>
          <w:sz w:val="24"/>
          <w:szCs w:val="24"/>
        </w:rPr>
        <w:t xml:space="preserve">life-history diversity can dampen fluctuations in population abundances. </w:t>
      </w:r>
      <w:r w:rsidR="00E769F3" w:rsidRPr="00E769F3">
        <w:rPr>
          <w:rFonts w:ascii="Garamond" w:hAnsi="Garamond"/>
          <w:sz w:val="24"/>
          <w:szCs w:val="24"/>
        </w:rPr>
        <w:t xml:space="preserve">In addition, collaborations and modeling exercises also reveal the potential for rapid shifts in the expression of </w:t>
      </w:r>
      <w:proofErr w:type="spellStart"/>
      <w:r w:rsidR="00E769F3" w:rsidRPr="00E769F3">
        <w:rPr>
          <w:rFonts w:ascii="Garamond" w:hAnsi="Garamond"/>
          <w:sz w:val="24"/>
          <w:szCs w:val="24"/>
        </w:rPr>
        <w:t>anadromy</w:t>
      </w:r>
      <w:proofErr w:type="spellEnd"/>
      <w:r w:rsidR="00E769F3" w:rsidRPr="00E769F3">
        <w:rPr>
          <w:rFonts w:ascii="Garamond" w:hAnsi="Garamond"/>
          <w:sz w:val="24"/>
          <w:szCs w:val="24"/>
        </w:rPr>
        <w:t xml:space="preserve">/residency, which may also influence the persistence of populations. </w:t>
      </w:r>
      <w:r w:rsidR="00E769F3" w:rsidRPr="00E769F3">
        <w:rPr>
          <w:rFonts w:ascii="Garamond" w:hAnsi="Garamond"/>
          <w:sz w:val="24"/>
          <w:szCs w:val="24"/>
        </w:rPr>
        <w:t>Conserving genetic integrity and habitat diversity can enable a diversity of life-histories that increases stability to environmental variability.</w:t>
      </w:r>
      <w:r w:rsidR="00E769F3" w:rsidRPr="00E769F3">
        <w:rPr>
          <w:rFonts w:ascii="Garamond" w:hAnsi="Garamond"/>
          <w:sz w:val="24"/>
          <w:szCs w:val="24"/>
        </w:rPr>
        <w:t xml:space="preserve"> However, k</w:t>
      </w:r>
      <w:proofErr w:type="spellStart"/>
      <w:r w:rsidRPr="00E769F3">
        <w:rPr>
          <w:rFonts w:ascii="Garamond" w:hAnsi="Garamond"/>
          <w:sz w:val="24"/>
          <w:szCs w:val="24"/>
          <w:lang w:val="en-US"/>
        </w:rPr>
        <w:t>ey</w:t>
      </w:r>
      <w:proofErr w:type="spellEnd"/>
      <w:r w:rsidRPr="00E769F3">
        <w:rPr>
          <w:rFonts w:ascii="Garamond" w:hAnsi="Garamond"/>
          <w:sz w:val="24"/>
          <w:szCs w:val="24"/>
          <w:lang w:val="en-US"/>
        </w:rPr>
        <w:t xml:space="preserve"> challenges include </w:t>
      </w:r>
      <w:r w:rsidR="00E769F3">
        <w:rPr>
          <w:rFonts w:ascii="Garamond" w:hAnsi="Garamond"/>
          <w:sz w:val="24"/>
          <w:szCs w:val="24"/>
          <w:lang w:val="en-US"/>
        </w:rPr>
        <w:t xml:space="preserve">unknown </w:t>
      </w:r>
      <w:r w:rsidRPr="00E769F3">
        <w:rPr>
          <w:rFonts w:ascii="Garamond" w:hAnsi="Garamond"/>
          <w:sz w:val="24"/>
          <w:szCs w:val="24"/>
          <w:lang w:val="en-US"/>
        </w:rPr>
        <w:t xml:space="preserve">limits and trade-offs associated with this </w:t>
      </w:r>
      <w:r w:rsidR="00E769F3">
        <w:rPr>
          <w:rFonts w:ascii="Garamond" w:hAnsi="Garamond"/>
          <w:sz w:val="24"/>
          <w:szCs w:val="24"/>
          <w:lang w:val="en-US"/>
        </w:rPr>
        <w:t xml:space="preserve">diversity and </w:t>
      </w:r>
      <w:r w:rsidRPr="00E769F3">
        <w:rPr>
          <w:rFonts w:ascii="Garamond" w:hAnsi="Garamond"/>
          <w:sz w:val="24"/>
          <w:szCs w:val="24"/>
          <w:lang w:val="en-US"/>
        </w:rPr>
        <w:t>resilience, and how</w:t>
      </w:r>
      <w:bookmarkStart w:id="0" w:name="_GoBack"/>
      <w:bookmarkEnd w:id="0"/>
      <w:r w:rsidRPr="00E769F3">
        <w:rPr>
          <w:rFonts w:ascii="Garamond" w:hAnsi="Garamond"/>
          <w:sz w:val="24"/>
          <w:szCs w:val="24"/>
          <w:lang w:val="en-US"/>
        </w:rPr>
        <w:t xml:space="preserve"> to manage and conserve for this resilience.</w:t>
      </w:r>
      <w:r>
        <w:rPr>
          <w:lang w:val="en-US"/>
        </w:rPr>
        <w:t xml:space="preserve"> </w:t>
      </w:r>
    </w:p>
    <w:sectPr w:rsidR="00302CCC" w:rsidRPr="00302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0"/>
    <w:rsid w:val="00302CCC"/>
    <w:rsid w:val="003311E0"/>
    <w:rsid w:val="00894791"/>
    <w:rsid w:val="00D71780"/>
    <w:rsid w:val="00E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Moore</dc:creator>
  <cp:keywords/>
  <dc:description/>
  <cp:lastModifiedBy>Jonathan Moore</cp:lastModifiedBy>
  <cp:revision>2</cp:revision>
  <dcterms:created xsi:type="dcterms:W3CDTF">2014-02-25T23:35:00Z</dcterms:created>
  <dcterms:modified xsi:type="dcterms:W3CDTF">2014-02-26T00:04:00Z</dcterms:modified>
</cp:coreProperties>
</file>