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B036" w14:textId="1E39CF49" w:rsidR="00A37B8F" w:rsidRDefault="001F5019">
      <w:r w:rsidRPr="001F5019">
        <w:t xml:space="preserve">Fisheries in Washington’s Lower Columbia River tributaries require federally approved Fishery Management and Evaluation Plans (FMEPs) to ensure that harvest activities remain compatible with the recovery of four ESA-listed salmonid species: Chinook, coho, chum, and steelhead. The existing FMEP, last approved in 2003, </w:t>
      </w:r>
      <w:r>
        <w:t>was the first to be approved in the Columbia River Basin but needs to be updated</w:t>
      </w:r>
      <w:r w:rsidRPr="001F5019">
        <w:t>. To address this gap, we developed an updated FMEP using a Structured Decision-Making (SDM) framework that integrates biological modeling, risk analysis, policy constraints, and public values. The process incorporated hierarchical integrated population models to estimate key demographic parameters under uncertainty, and a Management Strategy Evaluation (MSE) to project population responses to a suite of alternative harvest control rules (HCRs) while accounting for hatchery effects and ocean and mainstem fisheries. A statewide public survey (n ≈ 4,000) was implemented to characterize societal preferences and risk tolerance related to tributary harvest impacts. Iterative engagement among WDFW scientists, fisheries managers, and federal partners facilitated transparent evaluation of quasi-extinction risk, recruitment potential, and allowable total impact rates for each population. Resulting HCR recommendations vary by species and population designation (2.5–15% impact rates) and incorporate explicit thresholds for acceptable changes in extinction risk and productivity. The updated FMEP establishes a streamlined, repeatable, and transparent cycle for adaptive management, including annual monitoring and 5–10-year reevaluation via updated MSE analyses. This SDM-based approach provides a robust foundation for balancing fishing opportunity with conservation objectives and demonstrates how structured, empirical, and participatory processes can improve fisheries governance for ESA-listed species.</w:t>
      </w:r>
    </w:p>
    <w:sectPr w:rsidR="00A37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19"/>
    <w:rsid w:val="001F5019"/>
    <w:rsid w:val="00921F73"/>
    <w:rsid w:val="00A37B8F"/>
    <w:rsid w:val="00B1099D"/>
    <w:rsid w:val="00B355AD"/>
    <w:rsid w:val="00BA3CD3"/>
    <w:rsid w:val="00DD3580"/>
    <w:rsid w:val="00F3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7869"/>
  <w15:chartTrackingRefBased/>
  <w15:docId w15:val="{25AC93F2-A9B5-4C15-B8FF-FA3B0DF3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011977-b912-4387-97a4-f4c94a801377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Harbison, Toby (DFW)</dc:creator>
  <cp:keywords/>
  <dc:description/>
  <cp:lastModifiedBy>Harbison, Toby (DFW)</cp:lastModifiedBy>
  <cp:revision>2</cp:revision>
  <dcterms:created xsi:type="dcterms:W3CDTF">2025-11-21T00:42:00Z</dcterms:created>
  <dcterms:modified xsi:type="dcterms:W3CDTF">2025-11-21T00:42:00Z</dcterms:modified>
</cp:coreProperties>
</file>